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45F" w:rsidRDefault="00DA345F" w:rsidP="00DA345F">
      <w:pPr>
        <w:widowControl/>
        <w:shd w:val="clear" w:color="auto" w:fill="FFFFFF"/>
        <w:spacing w:line="360" w:lineRule="atLeast"/>
        <w:ind w:firstLine="480"/>
        <w:jc w:val="left"/>
        <w:rPr>
          <w:rFonts w:ascii="Arial" w:eastAsia="宋体" w:hAnsi="Arial" w:cs="Arial" w:hint="eastAsia"/>
          <w:b/>
          <w:bCs/>
          <w:color w:val="333333"/>
          <w:kern w:val="0"/>
          <w:szCs w:val="21"/>
        </w:rPr>
      </w:pPr>
      <w:r>
        <w:rPr>
          <w:rFonts w:ascii="微软雅黑" w:eastAsia="微软雅黑" w:hAnsi="微软雅黑" w:hint="eastAsia"/>
          <w:color w:val="000000"/>
          <w:sz w:val="51"/>
          <w:szCs w:val="51"/>
          <w:shd w:val="clear" w:color="auto" w:fill="FFFFFF"/>
        </w:rPr>
        <w:t>货币市场基金管理暂行规定</w:t>
      </w:r>
      <w:bookmarkStart w:id="0" w:name="_GoBack"/>
      <w:bookmarkEnd w:id="0"/>
    </w:p>
    <w:p w:rsidR="00DA345F" w:rsidRDefault="00DA345F" w:rsidP="00DA345F">
      <w:pPr>
        <w:widowControl/>
        <w:shd w:val="clear" w:color="auto" w:fill="FFFFFF"/>
        <w:spacing w:line="360" w:lineRule="atLeast"/>
        <w:ind w:firstLine="480"/>
        <w:jc w:val="left"/>
        <w:rPr>
          <w:rFonts w:ascii="Arial" w:eastAsia="宋体" w:hAnsi="Arial" w:cs="Arial" w:hint="eastAsia"/>
          <w:b/>
          <w:bCs/>
          <w:color w:val="333333"/>
          <w:kern w:val="0"/>
          <w:szCs w:val="21"/>
        </w:rPr>
      </w:pP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b/>
          <w:bCs/>
          <w:color w:val="333333"/>
          <w:kern w:val="0"/>
          <w:szCs w:val="21"/>
        </w:rPr>
        <w:t>第一条</w:t>
      </w:r>
      <w:r w:rsidRPr="00DA345F">
        <w:rPr>
          <w:rFonts w:ascii="Arial" w:eastAsia="宋体" w:hAnsi="Arial" w:cs="Arial"/>
          <w:b/>
          <w:bCs/>
          <w:color w:val="333333"/>
          <w:kern w:val="0"/>
          <w:szCs w:val="21"/>
        </w:rPr>
        <w:t> </w:t>
      </w:r>
      <w:r w:rsidRPr="00DA345F">
        <w:rPr>
          <w:rFonts w:ascii="Arial" w:eastAsia="宋体" w:hAnsi="Arial" w:cs="Arial"/>
          <w:color w:val="333333"/>
          <w:kern w:val="0"/>
          <w:szCs w:val="21"/>
        </w:rPr>
        <w:t>为了促进证券投资基金（以下简称基金）的发展，规范货币市场基金的募集、运作及相关活动，保护投资人及相关当事人的合法权益，根据《证券投资基金法》、《证券投资基金运作管理办法》、《基金管理公司进入银行间同业市场管理规定》等有关规定，制定本规定。</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b/>
          <w:bCs/>
          <w:color w:val="333333"/>
          <w:kern w:val="0"/>
          <w:szCs w:val="21"/>
        </w:rPr>
        <w:t>第二条</w:t>
      </w:r>
      <w:r w:rsidRPr="00DA345F">
        <w:rPr>
          <w:rFonts w:ascii="Arial" w:eastAsia="宋体" w:hAnsi="Arial" w:cs="Arial"/>
          <w:color w:val="333333"/>
          <w:kern w:val="0"/>
          <w:szCs w:val="21"/>
        </w:rPr>
        <w:t> </w:t>
      </w:r>
      <w:r w:rsidRPr="00DA345F">
        <w:rPr>
          <w:rFonts w:ascii="Arial" w:eastAsia="宋体" w:hAnsi="Arial" w:cs="Arial"/>
          <w:color w:val="333333"/>
          <w:kern w:val="0"/>
          <w:szCs w:val="21"/>
        </w:rPr>
        <w:t>本规定所称货币市场基金是指仅投资于</w:t>
      </w:r>
      <w:hyperlink r:id="rId5" w:tgtFrame="_blank" w:history="1">
        <w:r w:rsidRPr="00DA345F">
          <w:rPr>
            <w:rFonts w:ascii="Arial" w:eastAsia="宋体" w:hAnsi="Arial" w:cs="Arial"/>
            <w:color w:val="136EC2"/>
            <w:kern w:val="0"/>
            <w:szCs w:val="21"/>
          </w:rPr>
          <w:t>货币市场工具</w:t>
        </w:r>
      </w:hyperlink>
      <w:r w:rsidRPr="00DA345F">
        <w:rPr>
          <w:rFonts w:ascii="Arial" w:eastAsia="宋体" w:hAnsi="Arial" w:cs="Arial"/>
          <w:color w:val="333333"/>
          <w:kern w:val="0"/>
          <w:szCs w:val="21"/>
        </w:rPr>
        <w:t>的基金。</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color w:val="333333"/>
          <w:kern w:val="0"/>
          <w:szCs w:val="21"/>
        </w:rPr>
        <w:t>在基金名称中使用</w:t>
      </w:r>
      <w:r w:rsidRPr="00DA345F">
        <w:rPr>
          <w:rFonts w:ascii="Arial" w:eastAsia="宋体" w:hAnsi="Arial" w:cs="Arial"/>
          <w:color w:val="333333"/>
          <w:kern w:val="0"/>
          <w:szCs w:val="21"/>
        </w:rPr>
        <w:t>“</w:t>
      </w:r>
      <w:r w:rsidRPr="00DA345F">
        <w:rPr>
          <w:rFonts w:ascii="Arial" w:eastAsia="宋体" w:hAnsi="Arial" w:cs="Arial"/>
          <w:color w:val="333333"/>
          <w:kern w:val="0"/>
          <w:szCs w:val="21"/>
        </w:rPr>
        <w:t>货币</w:t>
      </w:r>
      <w:r w:rsidRPr="00DA345F">
        <w:rPr>
          <w:rFonts w:ascii="Arial" w:eastAsia="宋体" w:hAnsi="Arial" w:cs="Arial"/>
          <w:color w:val="333333"/>
          <w:kern w:val="0"/>
          <w:szCs w:val="21"/>
        </w:rPr>
        <w:t>”</w:t>
      </w:r>
      <w:r w:rsidRPr="00DA345F">
        <w:rPr>
          <w:rFonts w:ascii="Arial" w:eastAsia="宋体" w:hAnsi="Arial" w:cs="Arial"/>
          <w:color w:val="333333"/>
          <w:kern w:val="0"/>
          <w:szCs w:val="21"/>
        </w:rPr>
        <w:t>、</w:t>
      </w:r>
      <w:r w:rsidRPr="00DA345F">
        <w:rPr>
          <w:rFonts w:ascii="Arial" w:eastAsia="宋体" w:hAnsi="Arial" w:cs="Arial"/>
          <w:color w:val="333333"/>
          <w:kern w:val="0"/>
          <w:szCs w:val="21"/>
        </w:rPr>
        <w:t>“</w:t>
      </w:r>
      <w:hyperlink r:id="rId6" w:tgtFrame="_blank" w:history="1">
        <w:r w:rsidRPr="00DA345F">
          <w:rPr>
            <w:rFonts w:ascii="Arial" w:eastAsia="宋体" w:hAnsi="Arial" w:cs="Arial"/>
            <w:color w:val="136EC2"/>
            <w:kern w:val="0"/>
            <w:szCs w:val="21"/>
          </w:rPr>
          <w:t>现金</w:t>
        </w:r>
      </w:hyperlink>
      <w:r w:rsidRPr="00DA345F">
        <w:rPr>
          <w:rFonts w:ascii="Arial" w:eastAsia="宋体" w:hAnsi="Arial" w:cs="Arial"/>
          <w:color w:val="333333"/>
          <w:kern w:val="0"/>
          <w:szCs w:val="21"/>
        </w:rPr>
        <w:t>”</w:t>
      </w:r>
      <w:r w:rsidRPr="00DA345F">
        <w:rPr>
          <w:rFonts w:ascii="Arial" w:eastAsia="宋体" w:hAnsi="Arial" w:cs="Arial"/>
          <w:color w:val="333333"/>
          <w:kern w:val="0"/>
          <w:szCs w:val="21"/>
        </w:rPr>
        <w:t>、</w:t>
      </w:r>
      <w:r w:rsidRPr="00DA345F">
        <w:rPr>
          <w:rFonts w:ascii="Arial" w:eastAsia="宋体" w:hAnsi="Arial" w:cs="Arial"/>
          <w:color w:val="333333"/>
          <w:kern w:val="0"/>
          <w:szCs w:val="21"/>
        </w:rPr>
        <w:t>“</w:t>
      </w:r>
      <w:r w:rsidRPr="00DA345F">
        <w:rPr>
          <w:rFonts w:ascii="Arial" w:eastAsia="宋体" w:hAnsi="Arial" w:cs="Arial"/>
          <w:color w:val="333333"/>
          <w:kern w:val="0"/>
          <w:szCs w:val="21"/>
        </w:rPr>
        <w:t>流动</w:t>
      </w:r>
      <w:r w:rsidRPr="00DA345F">
        <w:rPr>
          <w:rFonts w:ascii="Arial" w:eastAsia="宋体" w:hAnsi="Arial" w:cs="Arial"/>
          <w:color w:val="333333"/>
          <w:kern w:val="0"/>
          <w:szCs w:val="21"/>
        </w:rPr>
        <w:t>”</w:t>
      </w:r>
      <w:r w:rsidRPr="00DA345F">
        <w:rPr>
          <w:rFonts w:ascii="Arial" w:eastAsia="宋体" w:hAnsi="Arial" w:cs="Arial"/>
          <w:color w:val="333333"/>
          <w:kern w:val="0"/>
          <w:szCs w:val="21"/>
        </w:rPr>
        <w:t>、</w:t>
      </w:r>
      <w:r w:rsidRPr="00DA345F">
        <w:rPr>
          <w:rFonts w:ascii="Arial" w:eastAsia="宋体" w:hAnsi="Arial" w:cs="Arial"/>
          <w:color w:val="333333"/>
          <w:kern w:val="0"/>
          <w:szCs w:val="21"/>
        </w:rPr>
        <w:t>“</w:t>
      </w:r>
      <w:r w:rsidRPr="00DA345F">
        <w:rPr>
          <w:rFonts w:ascii="Arial" w:eastAsia="宋体" w:hAnsi="Arial" w:cs="Arial"/>
          <w:color w:val="333333"/>
          <w:kern w:val="0"/>
          <w:szCs w:val="21"/>
        </w:rPr>
        <w:t>现款</w:t>
      </w:r>
      <w:r w:rsidRPr="00DA345F">
        <w:rPr>
          <w:rFonts w:ascii="Arial" w:eastAsia="宋体" w:hAnsi="Arial" w:cs="Arial"/>
          <w:color w:val="333333"/>
          <w:kern w:val="0"/>
          <w:szCs w:val="21"/>
        </w:rPr>
        <w:t>”</w:t>
      </w:r>
      <w:r w:rsidRPr="00DA345F">
        <w:rPr>
          <w:rFonts w:ascii="Arial" w:eastAsia="宋体" w:hAnsi="Arial" w:cs="Arial"/>
          <w:color w:val="333333"/>
          <w:kern w:val="0"/>
          <w:szCs w:val="21"/>
        </w:rPr>
        <w:t>、</w:t>
      </w:r>
      <w:r w:rsidRPr="00DA345F">
        <w:rPr>
          <w:rFonts w:ascii="Arial" w:eastAsia="宋体" w:hAnsi="Arial" w:cs="Arial"/>
          <w:color w:val="333333"/>
          <w:kern w:val="0"/>
          <w:szCs w:val="21"/>
        </w:rPr>
        <w:t>“</w:t>
      </w:r>
      <w:hyperlink r:id="rId7" w:tgtFrame="_blank" w:history="1">
        <w:r w:rsidRPr="00DA345F">
          <w:rPr>
            <w:rFonts w:ascii="Arial" w:eastAsia="宋体" w:hAnsi="Arial" w:cs="Arial"/>
            <w:color w:val="136EC2"/>
            <w:kern w:val="0"/>
            <w:szCs w:val="21"/>
          </w:rPr>
          <w:t>短期债券</w:t>
        </w:r>
      </w:hyperlink>
      <w:r w:rsidRPr="00DA345F">
        <w:rPr>
          <w:rFonts w:ascii="Arial" w:eastAsia="宋体" w:hAnsi="Arial" w:cs="Arial"/>
          <w:color w:val="333333"/>
          <w:kern w:val="0"/>
          <w:szCs w:val="21"/>
        </w:rPr>
        <w:t>”</w:t>
      </w:r>
      <w:r w:rsidRPr="00DA345F">
        <w:rPr>
          <w:rFonts w:ascii="Arial" w:eastAsia="宋体" w:hAnsi="Arial" w:cs="Arial"/>
          <w:color w:val="333333"/>
          <w:kern w:val="0"/>
          <w:szCs w:val="21"/>
        </w:rPr>
        <w:t>等类似字样的基金，应当符合本规定的有关要求。</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b/>
          <w:bCs/>
          <w:color w:val="333333"/>
          <w:kern w:val="0"/>
          <w:szCs w:val="21"/>
        </w:rPr>
        <w:t>第三条</w:t>
      </w:r>
      <w:r w:rsidRPr="00DA345F">
        <w:rPr>
          <w:rFonts w:ascii="Arial" w:eastAsia="宋体" w:hAnsi="Arial" w:cs="Arial"/>
          <w:color w:val="333333"/>
          <w:kern w:val="0"/>
          <w:szCs w:val="21"/>
        </w:rPr>
        <w:t> </w:t>
      </w:r>
      <w:r w:rsidRPr="00DA345F">
        <w:rPr>
          <w:rFonts w:ascii="Arial" w:eastAsia="宋体" w:hAnsi="Arial" w:cs="Arial"/>
          <w:color w:val="333333"/>
          <w:kern w:val="0"/>
          <w:szCs w:val="21"/>
        </w:rPr>
        <w:t>货币市场基金应当投资于以下金融工具：</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color w:val="333333"/>
          <w:kern w:val="0"/>
          <w:szCs w:val="21"/>
        </w:rPr>
        <w:t>（一）</w:t>
      </w:r>
      <w:hyperlink r:id="rId8" w:tgtFrame="_blank" w:history="1">
        <w:r w:rsidRPr="00DA345F">
          <w:rPr>
            <w:rFonts w:ascii="Arial" w:eastAsia="宋体" w:hAnsi="Arial" w:cs="Arial"/>
            <w:color w:val="136EC2"/>
            <w:kern w:val="0"/>
            <w:szCs w:val="21"/>
          </w:rPr>
          <w:t>现金</w:t>
        </w:r>
      </w:hyperlink>
      <w:r w:rsidRPr="00DA345F">
        <w:rPr>
          <w:rFonts w:ascii="Arial" w:eastAsia="宋体" w:hAnsi="Arial" w:cs="Arial"/>
          <w:color w:val="333333"/>
          <w:kern w:val="0"/>
          <w:szCs w:val="21"/>
        </w:rPr>
        <w:t>；</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color w:val="333333"/>
          <w:kern w:val="0"/>
          <w:szCs w:val="21"/>
        </w:rPr>
        <w:t>（二）一年以内（含一年）的银行</w:t>
      </w:r>
      <w:hyperlink r:id="rId9" w:tgtFrame="_blank" w:history="1">
        <w:r w:rsidRPr="00DA345F">
          <w:rPr>
            <w:rFonts w:ascii="Arial" w:eastAsia="宋体" w:hAnsi="Arial" w:cs="Arial"/>
            <w:color w:val="136EC2"/>
            <w:kern w:val="0"/>
            <w:szCs w:val="21"/>
          </w:rPr>
          <w:t>定期存款</w:t>
        </w:r>
      </w:hyperlink>
      <w:r w:rsidRPr="00DA345F">
        <w:rPr>
          <w:rFonts w:ascii="Arial" w:eastAsia="宋体" w:hAnsi="Arial" w:cs="Arial"/>
          <w:color w:val="333333"/>
          <w:kern w:val="0"/>
          <w:szCs w:val="21"/>
        </w:rPr>
        <w:t>、</w:t>
      </w:r>
      <w:hyperlink r:id="rId10" w:tgtFrame="_blank" w:history="1">
        <w:r w:rsidRPr="00DA345F">
          <w:rPr>
            <w:rFonts w:ascii="Arial" w:eastAsia="宋体" w:hAnsi="Arial" w:cs="Arial"/>
            <w:color w:val="136EC2"/>
            <w:kern w:val="0"/>
            <w:szCs w:val="21"/>
          </w:rPr>
          <w:t>大额存单</w:t>
        </w:r>
      </w:hyperlink>
      <w:r w:rsidRPr="00DA345F">
        <w:rPr>
          <w:rFonts w:ascii="Arial" w:eastAsia="宋体" w:hAnsi="Arial" w:cs="Arial"/>
          <w:color w:val="333333"/>
          <w:kern w:val="0"/>
          <w:szCs w:val="21"/>
        </w:rPr>
        <w:t>；</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color w:val="333333"/>
          <w:kern w:val="0"/>
          <w:szCs w:val="21"/>
        </w:rPr>
        <w:t>（三）</w:t>
      </w:r>
      <w:hyperlink r:id="rId11" w:tgtFrame="_blank" w:history="1">
        <w:r w:rsidRPr="00DA345F">
          <w:rPr>
            <w:rFonts w:ascii="Arial" w:eastAsia="宋体" w:hAnsi="Arial" w:cs="Arial"/>
            <w:color w:val="136EC2"/>
            <w:kern w:val="0"/>
            <w:szCs w:val="21"/>
          </w:rPr>
          <w:t>剩余期限</w:t>
        </w:r>
      </w:hyperlink>
      <w:r w:rsidRPr="00DA345F">
        <w:rPr>
          <w:rFonts w:ascii="Arial" w:eastAsia="宋体" w:hAnsi="Arial" w:cs="Arial"/>
          <w:color w:val="333333"/>
          <w:kern w:val="0"/>
          <w:szCs w:val="21"/>
        </w:rPr>
        <w:t>在三百九十七天以内（含三百九十七天）的</w:t>
      </w:r>
      <w:hyperlink r:id="rId12" w:tgtFrame="_blank" w:history="1">
        <w:r w:rsidRPr="00DA345F">
          <w:rPr>
            <w:rFonts w:ascii="Arial" w:eastAsia="宋体" w:hAnsi="Arial" w:cs="Arial"/>
            <w:color w:val="136EC2"/>
            <w:kern w:val="0"/>
            <w:szCs w:val="21"/>
          </w:rPr>
          <w:t>债券</w:t>
        </w:r>
      </w:hyperlink>
      <w:r w:rsidRPr="00DA345F">
        <w:rPr>
          <w:rFonts w:ascii="Arial" w:eastAsia="宋体" w:hAnsi="Arial" w:cs="Arial"/>
          <w:color w:val="333333"/>
          <w:kern w:val="0"/>
          <w:szCs w:val="21"/>
        </w:rPr>
        <w:t>；</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color w:val="333333"/>
          <w:kern w:val="0"/>
          <w:szCs w:val="21"/>
        </w:rPr>
        <w:t>（四）期限在一年以内（含一年）的</w:t>
      </w:r>
      <w:hyperlink r:id="rId13" w:tgtFrame="_blank" w:history="1">
        <w:r w:rsidRPr="00DA345F">
          <w:rPr>
            <w:rFonts w:ascii="Arial" w:eastAsia="宋体" w:hAnsi="Arial" w:cs="Arial"/>
            <w:color w:val="136EC2"/>
            <w:kern w:val="0"/>
            <w:szCs w:val="21"/>
          </w:rPr>
          <w:t>债券回购</w:t>
        </w:r>
      </w:hyperlink>
      <w:r w:rsidRPr="00DA345F">
        <w:rPr>
          <w:rFonts w:ascii="Arial" w:eastAsia="宋体" w:hAnsi="Arial" w:cs="Arial"/>
          <w:color w:val="333333"/>
          <w:kern w:val="0"/>
          <w:szCs w:val="21"/>
        </w:rPr>
        <w:t>；</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color w:val="333333"/>
          <w:kern w:val="0"/>
          <w:szCs w:val="21"/>
        </w:rPr>
        <w:t>（五）期限在一年以内（含一年）的</w:t>
      </w:r>
      <w:hyperlink r:id="rId14" w:tgtFrame="_blank" w:history="1">
        <w:r w:rsidRPr="00DA345F">
          <w:rPr>
            <w:rFonts w:ascii="Arial" w:eastAsia="宋体" w:hAnsi="Arial" w:cs="Arial"/>
            <w:color w:val="136EC2"/>
            <w:kern w:val="0"/>
            <w:szCs w:val="21"/>
          </w:rPr>
          <w:t>中央银行票据</w:t>
        </w:r>
      </w:hyperlink>
      <w:r w:rsidRPr="00DA345F">
        <w:rPr>
          <w:rFonts w:ascii="Arial" w:eastAsia="宋体" w:hAnsi="Arial" w:cs="Arial"/>
          <w:color w:val="333333"/>
          <w:kern w:val="0"/>
          <w:szCs w:val="21"/>
        </w:rPr>
        <w:t>；</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color w:val="333333"/>
          <w:kern w:val="0"/>
          <w:szCs w:val="21"/>
        </w:rPr>
        <w:t>（六）中国证监会、中国人民银行认可的其他具有良好流动性的</w:t>
      </w:r>
      <w:hyperlink r:id="rId15" w:tgtFrame="_blank" w:history="1">
        <w:r w:rsidRPr="00DA345F">
          <w:rPr>
            <w:rFonts w:ascii="Arial" w:eastAsia="宋体" w:hAnsi="Arial" w:cs="Arial"/>
            <w:color w:val="136EC2"/>
            <w:kern w:val="0"/>
            <w:szCs w:val="21"/>
          </w:rPr>
          <w:t>货币市场工具</w:t>
        </w:r>
      </w:hyperlink>
      <w:r w:rsidRPr="00DA345F">
        <w:rPr>
          <w:rFonts w:ascii="Arial" w:eastAsia="宋体" w:hAnsi="Arial" w:cs="Arial"/>
          <w:color w:val="333333"/>
          <w:kern w:val="0"/>
          <w:szCs w:val="21"/>
        </w:rPr>
        <w:t>。</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b/>
          <w:bCs/>
          <w:color w:val="333333"/>
          <w:kern w:val="0"/>
          <w:szCs w:val="21"/>
        </w:rPr>
        <w:t>第四条</w:t>
      </w:r>
      <w:r w:rsidRPr="00DA345F">
        <w:rPr>
          <w:rFonts w:ascii="Arial" w:eastAsia="宋体" w:hAnsi="Arial" w:cs="Arial"/>
          <w:color w:val="333333"/>
          <w:kern w:val="0"/>
          <w:szCs w:val="21"/>
        </w:rPr>
        <w:t> </w:t>
      </w:r>
      <w:r w:rsidRPr="00DA345F">
        <w:rPr>
          <w:rFonts w:ascii="Arial" w:eastAsia="宋体" w:hAnsi="Arial" w:cs="Arial"/>
          <w:color w:val="333333"/>
          <w:kern w:val="0"/>
          <w:szCs w:val="21"/>
        </w:rPr>
        <w:t>货币市场基金不得投资于以下金融工具：</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color w:val="333333"/>
          <w:kern w:val="0"/>
          <w:szCs w:val="21"/>
        </w:rPr>
        <w:t>（一）股票；</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color w:val="333333"/>
          <w:kern w:val="0"/>
          <w:szCs w:val="21"/>
        </w:rPr>
        <w:t>（二）</w:t>
      </w:r>
      <w:hyperlink r:id="rId16" w:tgtFrame="_blank" w:history="1">
        <w:r w:rsidRPr="00DA345F">
          <w:rPr>
            <w:rFonts w:ascii="Arial" w:eastAsia="宋体" w:hAnsi="Arial" w:cs="Arial"/>
            <w:color w:val="136EC2"/>
            <w:kern w:val="0"/>
            <w:szCs w:val="21"/>
          </w:rPr>
          <w:t>可转换债券</w:t>
        </w:r>
      </w:hyperlink>
      <w:r w:rsidRPr="00DA345F">
        <w:rPr>
          <w:rFonts w:ascii="Arial" w:eastAsia="宋体" w:hAnsi="Arial" w:cs="Arial"/>
          <w:color w:val="333333"/>
          <w:kern w:val="0"/>
          <w:szCs w:val="21"/>
        </w:rPr>
        <w:t>；</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color w:val="333333"/>
          <w:kern w:val="0"/>
          <w:szCs w:val="21"/>
        </w:rPr>
        <w:t>（三）</w:t>
      </w:r>
      <w:hyperlink r:id="rId17" w:tgtFrame="_blank" w:history="1">
        <w:r w:rsidRPr="00DA345F">
          <w:rPr>
            <w:rFonts w:ascii="Arial" w:eastAsia="宋体" w:hAnsi="Arial" w:cs="Arial"/>
            <w:color w:val="136EC2"/>
            <w:kern w:val="0"/>
            <w:szCs w:val="21"/>
          </w:rPr>
          <w:t>剩余期限</w:t>
        </w:r>
      </w:hyperlink>
      <w:r w:rsidRPr="00DA345F">
        <w:rPr>
          <w:rFonts w:ascii="Arial" w:eastAsia="宋体" w:hAnsi="Arial" w:cs="Arial"/>
          <w:color w:val="333333"/>
          <w:kern w:val="0"/>
          <w:szCs w:val="21"/>
        </w:rPr>
        <w:t>超过三百九十七天的</w:t>
      </w:r>
      <w:hyperlink r:id="rId18" w:tgtFrame="_blank" w:history="1">
        <w:r w:rsidRPr="00DA345F">
          <w:rPr>
            <w:rFonts w:ascii="Arial" w:eastAsia="宋体" w:hAnsi="Arial" w:cs="Arial"/>
            <w:color w:val="136EC2"/>
            <w:kern w:val="0"/>
            <w:szCs w:val="21"/>
          </w:rPr>
          <w:t>债券</w:t>
        </w:r>
      </w:hyperlink>
      <w:r w:rsidRPr="00DA345F">
        <w:rPr>
          <w:rFonts w:ascii="Arial" w:eastAsia="宋体" w:hAnsi="Arial" w:cs="Arial"/>
          <w:color w:val="333333"/>
          <w:kern w:val="0"/>
          <w:szCs w:val="21"/>
        </w:rPr>
        <w:t>；</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color w:val="333333"/>
          <w:kern w:val="0"/>
          <w:szCs w:val="21"/>
        </w:rPr>
        <w:t>（四）信用等级在</w:t>
      </w:r>
      <w:r w:rsidRPr="00DA345F">
        <w:rPr>
          <w:rFonts w:ascii="Arial" w:eastAsia="宋体" w:hAnsi="Arial" w:cs="Arial"/>
          <w:color w:val="333333"/>
          <w:kern w:val="0"/>
          <w:szCs w:val="21"/>
        </w:rPr>
        <w:t>AAA</w:t>
      </w:r>
      <w:r w:rsidRPr="00DA345F">
        <w:rPr>
          <w:rFonts w:ascii="Arial" w:eastAsia="宋体" w:hAnsi="Arial" w:cs="Arial"/>
          <w:color w:val="333333"/>
          <w:kern w:val="0"/>
          <w:szCs w:val="21"/>
        </w:rPr>
        <w:t>级以下的企业债券；</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color w:val="333333"/>
          <w:kern w:val="0"/>
          <w:szCs w:val="21"/>
        </w:rPr>
        <w:t>（五）中国证监会、中国人民银行禁止投资的其他金融工具。</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b/>
          <w:bCs/>
          <w:color w:val="333333"/>
          <w:kern w:val="0"/>
          <w:szCs w:val="21"/>
        </w:rPr>
        <w:t>第五条</w:t>
      </w:r>
      <w:r w:rsidRPr="00DA345F">
        <w:rPr>
          <w:rFonts w:ascii="Arial" w:eastAsia="宋体" w:hAnsi="Arial" w:cs="Arial"/>
          <w:color w:val="333333"/>
          <w:kern w:val="0"/>
          <w:szCs w:val="21"/>
        </w:rPr>
        <w:t> </w:t>
      </w:r>
      <w:r w:rsidRPr="00DA345F">
        <w:rPr>
          <w:rFonts w:ascii="Arial" w:eastAsia="宋体" w:hAnsi="Arial" w:cs="Arial"/>
          <w:color w:val="333333"/>
          <w:kern w:val="0"/>
          <w:szCs w:val="21"/>
        </w:rPr>
        <w:t>货币市场基金的投资组合应当符合下列规定：</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color w:val="333333"/>
          <w:kern w:val="0"/>
          <w:szCs w:val="21"/>
        </w:rPr>
        <w:t>（一）投资于同一公司发行的短期企业债券的比例，不得超过</w:t>
      </w:r>
      <w:hyperlink r:id="rId19" w:tgtFrame="_blank" w:history="1">
        <w:r w:rsidRPr="00DA345F">
          <w:rPr>
            <w:rFonts w:ascii="Arial" w:eastAsia="宋体" w:hAnsi="Arial" w:cs="Arial"/>
            <w:color w:val="136EC2"/>
            <w:kern w:val="0"/>
            <w:szCs w:val="21"/>
          </w:rPr>
          <w:t>基金资产净值</w:t>
        </w:r>
      </w:hyperlink>
      <w:r w:rsidRPr="00DA345F">
        <w:rPr>
          <w:rFonts w:ascii="Arial" w:eastAsia="宋体" w:hAnsi="Arial" w:cs="Arial"/>
          <w:color w:val="333333"/>
          <w:kern w:val="0"/>
          <w:szCs w:val="21"/>
        </w:rPr>
        <w:t>的百分之十；</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color w:val="333333"/>
          <w:kern w:val="0"/>
          <w:szCs w:val="21"/>
        </w:rPr>
        <w:t>（二）存放在具有基金托管资格的同一商业银行的存款，不得超过</w:t>
      </w:r>
      <w:hyperlink r:id="rId20" w:tgtFrame="_blank" w:history="1">
        <w:r w:rsidRPr="00DA345F">
          <w:rPr>
            <w:rFonts w:ascii="Arial" w:eastAsia="宋体" w:hAnsi="Arial" w:cs="Arial"/>
            <w:color w:val="136EC2"/>
            <w:kern w:val="0"/>
            <w:szCs w:val="21"/>
          </w:rPr>
          <w:t>基金资产净值</w:t>
        </w:r>
      </w:hyperlink>
      <w:r w:rsidRPr="00DA345F">
        <w:rPr>
          <w:rFonts w:ascii="Arial" w:eastAsia="宋体" w:hAnsi="Arial" w:cs="Arial"/>
          <w:color w:val="333333"/>
          <w:kern w:val="0"/>
          <w:szCs w:val="21"/>
        </w:rPr>
        <w:t>的百分之三十；存放在不具有基金托管资格的同一商业银行的存款，不得超过</w:t>
      </w:r>
      <w:hyperlink r:id="rId21" w:tgtFrame="_blank" w:history="1">
        <w:r w:rsidRPr="00DA345F">
          <w:rPr>
            <w:rFonts w:ascii="Arial" w:eastAsia="宋体" w:hAnsi="Arial" w:cs="Arial"/>
            <w:color w:val="136EC2"/>
            <w:kern w:val="0"/>
            <w:szCs w:val="21"/>
          </w:rPr>
          <w:t>基金资产净值</w:t>
        </w:r>
      </w:hyperlink>
      <w:r w:rsidRPr="00DA345F">
        <w:rPr>
          <w:rFonts w:ascii="Arial" w:eastAsia="宋体" w:hAnsi="Arial" w:cs="Arial"/>
          <w:color w:val="333333"/>
          <w:kern w:val="0"/>
          <w:szCs w:val="21"/>
        </w:rPr>
        <w:t>的百分之五；</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color w:val="333333"/>
          <w:kern w:val="0"/>
          <w:szCs w:val="21"/>
        </w:rPr>
        <w:t>（三）在全国银行间债券市场</w:t>
      </w:r>
      <w:hyperlink r:id="rId22" w:tgtFrame="_blank" w:history="1">
        <w:r w:rsidRPr="00DA345F">
          <w:rPr>
            <w:rFonts w:ascii="Arial" w:eastAsia="宋体" w:hAnsi="Arial" w:cs="Arial"/>
            <w:color w:val="136EC2"/>
            <w:kern w:val="0"/>
            <w:szCs w:val="21"/>
          </w:rPr>
          <w:t>债券正回购</w:t>
        </w:r>
      </w:hyperlink>
      <w:r w:rsidRPr="00DA345F">
        <w:rPr>
          <w:rFonts w:ascii="Arial" w:eastAsia="宋体" w:hAnsi="Arial" w:cs="Arial"/>
          <w:color w:val="333333"/>
          <w:kern w:val="0"/>
          <w:szCs w:val="21"/>
        </w:rPr>
        <w:t>的资金余额不得超过基金资产净值的百分之四十；</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color w:val="333333"/>
          <w:kern w:val="0"/>
          <w:szCs w:val="21"/>
        </w:rPr>
        <w:t>（四）中国证监会、中国人民银行规定的其他比例限制。</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b/>
          <w:bCs/>
          <w:color w:val="333333"/>
          <w:kern w:val="0"/>
          <w:szCs w:val="21"/>
        </w:rPr>
        <w:t>第六条</w:t>
      </w:r>
      <w:r w:rsidRPr="00DA345F">
        <w:rPr>
          <w:rFonts w:ascii="Arial" w:eastAsia="宋体" w:hAnsi="Arial" w:cs="Arial"/>
          <w:color w:val="333333"/>
          <w:kern w:val="0"/>
          <w:szCs w:val="21"/>
        </w:rPr>
        <w:t> </w:t>
      </w:r>
      <w:r w:rsidRPr="00DA345F">
        <w:rPr>
          <w:rFonts w:ascii="Arial" w:eastAsia="宋体" w:hAnsi="Arial" w:cs="Arial"/>
          <w:color w:val="333333"/>
          <w:kern w:val="0"/>
          <w:szCs w:val="21"/>
        </w:rPr>
        <w:t>货币市场基金</w:t>
      </w:r>
      <w:hyperlink r:id="rId23" w:tgtFrame="_blank" w:history="1">
        <w:r w:rsidRPr="00DA345F">
          <w:rPr>
            <w:rFonts w:ascii="Arial" w:eastAsia="宋体" w:hAnsi="Arial" w:cs="Arial"/>
            <w:color w:val="136EC2"/>
            <w:kern w:val="0"/>
            <w:szCs w:val="21"/>
          </w:rPr>
          <w:t>投资组合</w:t>
        </w:r>
      </w:hyperlink>
      <w:r w:rsidRPr="00DA345F">
        <w:rPr>
          <w:rFonts w:ascii="Arial" w:eastAsia="宋体" w:hAnsi="Arial" w:cs="Arial"/>
          <w:color w:val="333333"/>
          <w:kern w:val="0"/>
          <w:szCs w:val="21"/>
        </w:rPr>
        <w:t>的平均剩余期限，不得超过一百八十天。</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b/>
          <w:bCs/>
          <w:color w:val="333333"/>
          <w:kern w:val="0"/>
          <w:szCs w:val="21"/>
        </w:rPr>
        <w:t>第七条</w:t>
      </w:r>
      <w:r w:rsidRPr="00DA345F">
        <w:rPr>
          <w:rFonts w:ascii="Arial" w:eastAsia="宋体" w:hAnsi="Arial" w:cs="Arial"/>
          <w:color w:val="333333"/>
          <w:kern w:val="0"/>
          <w:szCs w:val="21"/>
        </w:rPr>
        <w:t> </w:t>
      </w:r>
      <w:r w:rsidRPr="00DA345F">
        <w:rPr>
          <w:rFonts w:ascii="Arial" w:eastAsia="宋体" w:hAnsi="Arial" w:cs="Arial"/>
          <w:color w:val="333333"/>
          <w:kern w:val="0"/>
          <w:szCs w:val="21"/>
        </w:rPr>
        <w:t>除以下列明的情况外，组合中</w:t>
      </w:r>
      <w:hyperlink r:id="rId24" w:tgtFrame="_blank" w:history="1">
        <w:r w:rsidRPr="00DA345F">
          <w:rPr>
            <w:rFonts w:ascii="Arial" w:eastAsia="宋体" w:hAnsi="Arial" w:cs="Arial"/>
            <w:color w:val="136EC2"/>
            <w:kern w:val="0"/>
            <w:szCs w:val="21"/>
          </w:rPr>
          <w:t>债券</w:t>
        </w:r>
      </w:hyperlink>
      <w:r w:rsidRPr="00DA345F">
        <w:rPr>
          <w:rFonts w:ascii="Arial" w:eastAsia="宋体" w:hAnsi="Arial" w:cs="Arial"/>
          <w:color w:val="333333"/>
          <w:kern w:val="0"/>
          <w:szCs w:val="21"/>
        </w:rPr>
        <w:t>的</w:t>
      </w:r>
      <w:hyperlink r:id="rId25" w:tgtFrame="_blank" w:history="1">
        <w:r w:rsidRPr="00DA345F">
          <w:rPr>
            <w:rFonts w:ascii="Arial" w:eastAsia="宋体" w:hAnsi="Arial" w:cs="Arial"/>
            <w:color w:val="136EC2"/>
            <w:kern w:val="0"/>
            <w:szCs w:val="21"/>
          </w:rPr>
          <w:t>剩余期限</w:t>
        </w:r>
      </w:hyperlink>
      <w:r w:rsidRPr="00DA345F">
        <w:rPr>
          <w:rFonts w:ascii="Arial" w:eastAsia="宋体" w:hAnsi="Arial" w:cs="Arial"/>
          <w:color w:val="333333"/>
          <w:kern w:val="0"/>
          <w:szCs w:val="21"/>
        </w:rPr>
        <w:t>是指计算日至</w:t>
      </w:r>
      <w:hyperlink r:id="rId26" w:tgtFrame="_blank" w:history="1">
        <w:r w:rsidRPr="00DA345F">
          <w:rPr>
            <w:rFonts w:ascii="Arial" w:eastAsia="宋体" w:hAnsi="Arial" w:cs="Arial"/>
            <w:color w:val="136EC2"/>
            <w:kern w:val="0"/>
            <w:szCs w:val="21"/>
          </w:rPr>
          <w:t>债券到期日</w:t>
        </w:r>
      </w:hyperlink>
      <w:r w:rsidRPr="00DA345F">
        <w:rPr>
          <w:rFonts w:ascii="Arial" w:eastAsia="宋体" w:hAnsi="Arial" w:cs="Arial"/>
          <w:color w:val="333333"/>
          <w:kern w:val="0"/>
          <w:szCs w:val="21"/>
        </w:rPr>
        <w:t>为止所剩余的天数：</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color w:val="333333"/>
          <w:kern w:val="0"/>
          <w:szCs w:val="21"/>
        </w:rPr>
        <w:t>（一）以</w:t>
      </w:r>
      <w:hyperlink r:id="rId27" w:tgtFrame="_blank" w:history="1">
        <w:r w:rsidRPr="00DA345F">
          <w:rPr>
            <w:rFonts w:ascii="Arial" w:eastAsia="宋体" w:hAnsi="Arial" w:cs="Arial"/>
            <w:color w:val="136EC2"/>
            <w:kern w:val="0"/>
            <w:szCs w:val="21"/>
          </w:rPr>
          <w:t>市场利率</w:t>
        </w:r>
      </w:hyperlink>
      <w:r w:rsidRPr="00DA345F">
        <w:rPr>
          <w:rFonts w:ascii="Arial" w:eastAsia="宋体" w:hAnsi="Arial" w:cs="Arial"/>
          <w:color w:val="333333"/>
          <w:kern w:val="0"/>
          <w:szCs w:val="21"/>
        </w:rPr>
        <w:t>为</w:t>
      </w:r>
      <w:hyperlink r:id="rId28" w:tgtFrame="_blank" w:history="1">
        <w:r w:rsidRPr="00DA345F">
          <w:rPr>
            <w:rFonts w:ascii="Arial" w:eastAsia="宋体" w:hAnsi="Arial" w:cs="Arial"/>
            <w:color w:val="136EC2"/>
            <w:kern w:val="0"/>
            <w:szCs w:val="21"/>
          </w:rPr>
          <w:t>基准利率</w:t>
        </w:r>
      </w:hyperlink>
      <w:r w:rsidRPr="00DA345F">
        <w:rPr>
          <w:rFonts w:ascii="Arial" w:eastAsia="宋体" w:hAnsi="Arial" w:cs="Arial"/>
          <w:color w:val="333333"/>
          <w:kern w:val="0"/>
          <w:szCs w:val="21"/>
        </w:rPr>
        <w:t>的可变利率或</w:t>
      </w:r>
      <w:hyperlink r:id="rId29" w:tgtFrame="_blank" w:history="1">
        <w:r w:rsidRPr="00DA345F">
          <w:rPr>
            <w:rFonts w:ascii="Arial" w:eastAsia="宋体" w:hAnsi="Arial" w:cs="Arial"/>
            <w:color w:val="136EC2"/>
            <w:kern w:val="0"/>
            <w:szCs w:val="21"/>
          </w:rPr>
          <w:t>浮动利率债券</w:t>
        </w:r>
      </w:hyperlink>
      <w:r w:rsidRPr="00DA345F">
        <w:rPr>
          <w:rFonts w:ascii="Arial" w:eastAsia="宋体" w:hAnsi="Arial" w:cs="Arial"/>
          <w:color w:val="333333"/>
          <w:kern w:val="0"/>
          <w:szCs w:val="21"/>
        </w:rPr>
        <w:t>，利率调整频率小于一年的债券的</w:t>
      </w:r>
      <w:hyperlink r:id="rId30" w:tgtFrame="_blank" w:history="1">
        <w:r w:rsidRPr="00DA345F">
          <w:rPr>
            <w:rFonts w:ascii="Arial" w:eastAsia="宋体" w:hAnsi="Arial" w:cs="Arial"/>
            <w:color w:val="136EC2"/>
            <w:kern w:val="0"/>
            <w:szCs w:val="21"/>
          </w:rPr>
          <w:t>剩余期限</w:t>
        </w:r>
      </w:hyperlink>
      <w:r w:rsidRPr="00DA345F">
        <w:rPr>
          <w:rFonts w:ascii="Arial" w:eastAsia="宋体" w:hAnsi="Arial" w:cs="Arial"/>
          <w:color w:val="333333"/>
          <w:kern w:val="0"/>
          <w:szCs w:val="21"/>
        </w:rPr>
        <w:t>等于计算日距下一个利率调整日的剩余时间；</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color w:val="333333"/>
          <w:kern w:val="0"/>
          <w:szCs w:val="21"/>
        </w:rPr>
        <w:t>（二）</w:t>
      </w:r>
      <w:hyperlink r:id="rId31" w:tgtFrame="_blank" w:history="1">
        <w:r w:rsidRPr="00DA345F">
          <w:rPr>
            <w:rFonts w:ascii="Arial" w:eastAsia="宋体" w:hAnsi="Arial" w:cs="Arial"/>
            <w:color w:val="136EC2"/>
            <w:kern w:val="0"/>
            <w:szCs w:val="21"/>
          </w:rPr>
          <w:t>回购协议</w:t>
        </w:r>
      </w:hyperlink>
      <w:r w:rsidRPr="00DA345F">
        <w:rPr>
          <w:rFonts w:ascii="Arial" w:eastAsia="宋体" w:hAnsi="Arial" w:cs="Arial"/>
          <w:color w:val="333333"/>
          <w:kern w:val="0"/>
          <w:szCs w:val="21"/>
        </w:rPr>
        <w:t>的剩余期限等于计算日</w:t>
      </w:r>
      <w:proofErr w:type="gramStart"/>
      <w:r w:rsidRPr="00DA345F">
        <w:rPr>
          <w:rFonts w:ascii="Arial" w:eastAsia="宋体" w:hAnsi="Arial" w:cs="Arial"/>
          <w:color w:val="333333"/>
          <w:kern w:val="0"/>
          <w:szCs w:val="21"/>
        </w:rPr>
        <w:t>距协议</w:t>
      </w:r>
      <w:proofErr w:type="gramEnd"/>
      <w:r w:rsidRPr="00DA345F">
        <w:rPr>
          <w:rFonts w:ascii="Arial" w:eastAsia="宋体" w:hAnsi="Arial" w:cs="Arial"/>
          <w:color w:val="333333"/>
          <w:kern w:val="0"/>
          <w:szCs w:val="21"/>
        </w:rPr>
        <w:t>规定的交易基础</w:t>
      </w:r>
      <w:hyperlink r:id="rId32" w:tgtFrame="_blank" w:history="1">
        <w:r w:rsidRPr="00DA345F">
          <w:rPr>
            <w:rFonts w:ascii="Arial" w:eastAsia="宋体" w:hAnsi="Arial" w:cs="Arial"/>
            <w:color w:val="136EC2"/>
            <w:kern w:val="0"/>
            <w:szCs w:val="21"/>
          </w:rPr>
          <w:t>债券</w:t>
        </w:r>
      </w:hyperlink>
      <w:r w:rsidRPr="00DA345F">
        <w:rPr>
          <w:rFonts w:ascii="Arial" w:eastAsia="宋体" w:hAnsi="Arial" w:cs="Arial"/>
          <w:color w:val="333333"/>
          <w:kern w:val="0"/>
          <w:szCs w:val="21"/>
        </w:rPr>
        <w:t>的日期的剩余时间；</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color w:val="333333"/>
          <w:kern w:val="0"/>
          <w:szCs w:val="21"/>
        </w:rPr>
        <w:lastRenderedPageBreak/>
        <w:t>（三）中国证监会另有规定的其他情况。</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b/>
          <w:bCs/>
          <w:color w:val="333333"/>
          <w:kern w:val="0"/>
          <w:szCs w:val="21"/>
        </w:rPr>
        <w:t>第八条</w:t>
      </w:r>
      <w:r w:rsidRPr="00DA345F">
        <w:rPr>
          <w:rFonts w:ascii="Arial" w:eastAsia="宋体" w:hAnsi="Arial" w:cs="Arial"/>
          <w:b/>
          <w:bCs/>
          <w:color w:val="333333"/>
          <w:kern w:val="0"/>
          <w:szCs w:val="21"/>
        </w:rPr>
        <w:t> </w:t>
      </w:r>
      <w:r w:rsidRPr="00DA345F">
        <w:rPr>
          <w:rFonts w:ascii="Arial" w:eastAsia="宋体" w:hAnsi="Arial" w:cs="Arial"/>
          <w:color w:val="333333"/>
          <w:kern w:val="0"/>
          <w:szCs w:val="21"/>
        </w:rPr>
        <w:t>货币市场基金应当在年度报告、半年度报告和季度报告的</w:t>
      </w:r>
      <w:hyperlink r:id="rId33" w:tgtFrame="_blank" w:history="1">
        <w:r w:rsidRPr="00DA345F">
          <w:rPr>
            <w:rFonts w:ascii="Arial" w:eastAsia="宋体" w:hAnsi="Arial" w:cs="Arial"/>
            <w:color w:val="136EC2"/>
            <w:kern w:val="0"/>
            <w:szCs w:val="21"/>
          </w:rPr>
          <w:t>投资组合</w:t>
        </w:r>
      </w:hyperlink>
      <w:r w:rsidRPr="00DA345F">
        <w:rPr>
          <w:rFonts w:ascii="Arial" w:eastAsia="宋体" w:hAnsi="Arial" w:cs="Arial"/>
          <w:color w:val="333333"/>
          <w:kern w:val="0"/>
          <w:szCs w:val="21"/>
        </w:rPr>
        <w:t>报告部分披露基金投资组合的平均剩余期限。</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b/>
          <w:bCs/>
          <w:color w:val="333333"/>
          <w:kern w:val="0"/>
          <w:szCs w:val="21"/>
        </w:rPr>
        <w:t>第九条</w:t>
      </w:r>
      <w:r w:rsidRPr="00DA345F">
        <w:rPr>
          <w:rFonts w:ascii="Arial" w:eastAsia="宋体" w:hAnsi="Arial" w:cs="Arial"/>
          <w:b/>
          <w:bCs/>
          <w:color w:val="333333"/>
          <w:kern w:val="0"/>
          <w:szCs w:val="21"/>
        </w:rPr>
        <w:t> </w:t>
      </w:r>
      <w:r w:rsidRPr="00DA345F">
        <w:rPr>
          <w:rFonts w:ascii="Arial" w:eastAsia="宋体" w:hAnsi="Arial" w:cs="Arial"/>
          <w:color w:val="333333"/>
          <w:kern w:val="0"/>
          <w:szCs w:val="21"/>
        </w:rPr>
        <w:t>对于每日按照</w:t>
      </w:r>
      <w:hyperlink r:id="rId34" w:tgtFrame="_blank" w:history="1">
        <w:r w:rsidRPr="00DA345F">
          <w:rPr>
            <w:rFonts w:ascii="Arial" w:eastAsia="宋体" w:hAnsi="Arial" w:cs="Arial"/>
            <w:color w:val="136EC2"/>
            <w:kern w:val="0"/>
            <w:szCs w:val="21"/>
          </w:rPr>
          <w:t>面值</w:t>
        </w:r>
      </w:hyperlink>
      <w:r w:rsidRPr="00DA345F">
        <w:rPr>
          <w:rFonts w:ascii="Arial" w:eastAsia="宋体" w:hAnsi="Arial" w:cs="Arial"/>
          <w:color w:val="333333"/>
          <w:kern w:val="0"/>
          <w:szCs w:val="21"/>
        </w:rPr>
        <w:t>进行</w:t>
      </w:r>
      <w:hyperlink r:id="rId35" w:tgtFrame="_blank" w:history="1">
        <w:r w:rsidRPr="00DA345F">
          <w:rPr>
            <w:rFonts w:ascii="Arial" w:eastAsia="宋体" w:hAnsi="Arial" w:cs="Arial"/>
            <w:color w:val="136EC2"/>
            <w:kern w:val="0"/>
            <w:szCs w:val="21"/>
          </w:rPr>
          <w:t>报价</w:t>
        </w:r>
      </w:hyperlink>
      <w:r w:rsidRPr="00DA345F">
        <w:rPr>
          <w:rFonts w:ascii="Arial" w:eastAsia="宋体" w:hAnsi="Arial" w:cs="Arial"/>
          <w:color w:val="333333"/>
          <w:kern w:val="0"/>
          <w:szCs w:val="21"/>
        </w:rPr>
        <w:t>的货币市场基金，可以在基金合同中将</w:t>
      </w:r>
      <w:hyperlink r:id="rId36" w:tgtFrame="_blank" w:history="1">
        <w:r w:rsidRPr="00DA345F">
          <w:rPr>
            <w:rFonts w:ascii="Arial" w:eastAsia="宋体" w:hAnsi="Arial" w:cs="Arial"/>
            <w:color w:val="136EC2"/>
            <w:kern w:val="0"/>
            <w:szCs w:val="21"/>
          </w:rPr>
          <w:t>收益分配</w:t>
        </w:r>
      </w:hyperlink>
      <w:r w:rsidRPr="00DA345F">
        <w:rPr>
          <w:rFonts w:ascii="Arial" w:eastAsia="宋体" w:hAnsi="Arial" w:cs="Arial"/>
          <w:color w:val="333333"/>
          <w:kern w:val="0"/>
          <w:szCs w:val="21"/>
        </w:rPr>
        <w:t>的方式约定为</w:t>
      </w:r>
      <w:hyperlink r:id="rId37" w:tgtFrame="_blank" w:history="1">
        <w:r w:rsidRPr="00DA345F">
          <w:rPr>
            <w:rFonts w:ascii="Arial" w:eastAsia="宋体" w:hAnsi="Arial" w:cs="Arial"/>
            <w:color w:val="136EC2"/>
            <w:kern w:val="0"/>
            <w:szCs w:val="21"/>
          </w:rPr>
          <w:t>红利再投资</w:t>
        </w:r>
      </w:hyperlink>
      <w:r w:rsidRPr="00DA345F">
        <w:rPr>
          <w:rFonts w:ascii="Arial" w:eastAsia="宋体" w:hAnsi="Arial" w:cs="Arial"/>
          <w:color w:val="333333"/>
          <w:kern w:val="0"/>
          <w:szCs w:val="21"/>
        </w:rPr>
        <w:t>，并应当每日进行收益分配。</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b/>
          <w:bCs/>
          <w:color w:val="333333"/>
          <w:kern w:val="0"/>
          <w:szCs w:val="21"/>
        </w:rPr>
        <w:t>第十条</w:t>
      </w:r>
      <w:r w:rsidRPr="00DA345F">
        <w:rPr>
          <w:rFonts w:ascii="Arial" w:eastAsia="宋体" w:hAnsi="Arial" w:cs="Arial"/>
          <w:color w:val="333333"/>
          <w:kern w:val="0"/>
          <w:szCs w:val="21"/>
        </w:rPr>
        <w:t> </w:t>
      </w:r>
      <w:r w:rsidRPr="00DA345F">
        <w:rPr>
          <w:rFonts w:ascii="Arial" w:eastAsia="宋体" w:hAnsi="Arial" w:cs="Arial"/>
          <w:color w:val="333333"/>
          <w:kern w:val="0"/>
          <w:szCs w:val="21"/>
        </w:rPr>
        <w:t>对于不收取申购、</w:t>
      </w:r>
      <w:hyperlink r:id="rId38" w:tgtFrame="_blank" w:history="1">
        <w:r w:rsidRPr="00DA345F">
          <w:rPr>
            <w:rFonts w:ascii="Arial" w:eastAsia="宋体" w:hAnsi="Arial" w:cs="Arial"/>
            <w:color w:val="136EC2"/>
            <w:kern w:val="0"/>
            <w:szCs w:val="21"/>
          </w:rPr>
          <w:t>赎回费</w:t>
        </w:r>
      </w:hyperlink>
      <w:r w:rsidRPr="00DA345F">
        <w:rPr>
          <w:rFonts w:ascii="Arial" w:eastAsia="宋体" w:hAnsi="Arial" w:cs="Arial"/>
          <w:color w:val="333333"/>
          <w:kern w:val="0"/>
          <w:szCs w:val="21"/>
        </w:rPr>
        <w:t>的货币市场基金，可以按照不高于千分之二点五的比例从基金资产计提一定的费用，专门用于本基金的销售与</w:t>
      </w:r>
      <w:hyperlink r:id="rId39" w:tgtFrame="_blank" w:history="1">
        <w:r w:rsidRPr="00DA345F">
          <w:rPr>
            <w:rFonts w:ascii="Arial" w:eastAsia="宋体" w:hAnsi="Arial" w:cs="Arial"/>
            <w:color w:val="136EC2"/>
            <w:kern w:val="0"/>
            <w:szCs w:val="21"/>
          </w:rPr>
          <w:t>基金持有人</w:t>
        </w:r>
      </w:hyperlink>
      <w:r w:rsidRPr="00DA345F">
        <w:rPr>
          <w:rFonts w:ascii="Arial" w:eastAsia="宋体" w:hAnsi="Arial" w:cs="Arial"/>
          <w:color w:val="333333"/>
          <w:kern w:val="0"/>
          <w:szCs w:val="21"/>
        </w:rPr>
        <w:t>服务。</w:t>
      </w:r>
      <w:hyperlink r:id="rId40" w:tgtFrame="_blank" w:history="1">
        <w:r w:rsidRPr="00DA345F">
          <w:rPr>
            <w:rFonts w:ascii="Arial" w:eastAsia="宋体" w:hAnsi="Arial" w:cs="Arial"/>
            <w:color w:val="136EC2"/>
            <w:kern w:val="0"/>
            <w:szCs w:val="21"/>
          </w:rPr>
          <w:t>基金年度报告</w:t>
        </w:r>
      </w:hyperlink>
      <w:r w:rsidRPr="00DA345F">
        <w:rPr>
          <w:rFonts w:ascii="Arial" w:eastAsia="宋体" w:hAnsi="Arial" w:cs="Arial"/>
          <w:color w:val="333333"/>
          <w:kern w:val="0"/>
          <w:szCs w:val="21"/>
        </w:rPr>
        <w:t>应当对该项费用的列支情况作专项说明。</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b/>
          <w:bCs/>
          <w:color w:val="333333"/>
          <w:kern w:val="0"/>
          <w:szCs w:val="21"/>
        </w:rPr>
        <w:t>第十一条</w:t>
      </w:r>
      <w:r w:rsidRPr="00DA345F">
        <w:rPr>
          <w:rFonts w:ascii="Arial" w:eastAsia="宋体" w:hAnsi="Arial" w:cs="Arial"/>
          <w:color w:val="333333"/>
          <w:kern w:val="0"/>
          <w:szCs w:val="21"/>
        </w:rPr>
        <w:t> </w:t>
      </w:r>
      <w:r w:rsidRPr="00DA345F">
        <w:rPr>
          <w:rFonts w:ascii="Arial" w:eastAsia="宋体" w:hAnsi="Arial" w:cs="Arial"/>
          <w:color w:val="333333"/>
          <w:kern w:val="0"/>
          <w:szCs w:val="21"/>
        </w:rPr>
        <w:t>基金管理公司应当在货币市场基金的</w:t>
      </w:r>
      <w:hyperlink r:id="rId41" w:tgtFrame="_blank" w:history="1">
        <w:r w:rsidRPr="00DA345F">
          <w:rPr>
            <w:rFonts w:ascii="Arial" w:eastAsia="宋体" w:hAnsi="Arial" w:cs="Arial"/>
            <w:color w:val="136EC2"/>
            <w:kern w:val="0"/>
            <w:szCs w:val="21"/>
          </w:rPr>
          <w:t>招募说明书</w:t>
        </w:r>
      </w:hyperlink>
      <w:r w:rsidRPr="00DA345F">
        <w:rPr>
          <w:rFonts w:ascii="Arial" w:eastAsia="宋体" w:hAnsi="Arial" w:cs="Arial"/>
          <w:color w:val="333333"/>
          <w:kern w:val="0"/>
          <w:szCs w:val="21"/>
        </w:rPr>
        <w:t>及宣传推介材料中列明，投资者购买货币市场基金并不等于将资金作为存款存放在银行或存款类</w:t>
      </w:r>
      <w:hyperlink r:id="rId42" w:tgtFrame="_blank" w:history="1">
        <w:r w:rsidRPr="00DA345F">
          <w:rPr>
            <w:rFonts w:ascii="Arial" w:eastAsia="宋体" w:hAnsi="Arial" w:cs="Arial"/>
            <w:color w:val="136EC2"/>
            <w:kern w:val="0"/>
            <w:szCs w:val="21"/>
          </w:rPr>
          <w:t>金融机构</w:t>
        </w:r>
      </w:hyperlink>
      <w:r w:rsidRPr="00DA345F">
        <w:rPr>
          <w:rFonts w:ascii="Arial" w:eastAsia="宋体" w:hAnsi="Arial" w:cs="Arial"/>
          <w:color w:val="333333"/>
          <w:kern w:val="0"/>
          <w:szCs w:val="21"/>
        </w:rPr>
        <w:t>，基金管理公司不保证基金一定盈利，也不保证最低收益。</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b/>
          <w:bCs/>
          <w:color w:val="333333"/>
          <w:kern w:val="0"/>
          <w:szCs w:val="21"/>
        </w:rPr>
        <w:t>第十二条</w:t>
      </w:r>
      <w:r w:rsidRPr="00DA345F">
        <w:rPr>
          <w:rFonts w:ascii="Arial" w:eastAsia="宋体" w:hAnsi="Arial" w:cs="Arial"/>
          <w:b/>
          <w:bCs/>
          <w:color w:val="333333"/>
          <w:kern w:val="0"/>
          <w:szCs w:val="21"/>
        </w:rPr>
        <w:t> </w:t>
      </w:r>
      <w:r w:rsidRPr="00DA345F">
        <w:rPr>
          <w:rFonts w:ascii="Arial" w:eastAsia="宋体" w:hAnsi="Arial" w:cs="Arial"/>
          <w:color w:val="333333"/>
          <w:kern w:val="0"/>
          <w:szCs w:val="21"/>
        </w:rPr>
        <w:t>货币市场基金应当采取稳健、适当的会计核算和</w:t>
      </w:r>
      <w:hyperlink r:id="rId43" w:tgtFrame="_blank" w:history="1">
        <w:r w:rsidRPr="00DA345F">
          <w:rPr>
            <w:rFonts w:ascii="Arial" w:eastAsia="宋体" w:hAnsi="Arial" w:cs="Arial"/>
            <w:color w:val="136EC2"/>
            <w:kern w:val="0"/>
            <w:szCs w:val="21"/>
          </w:rPr>
          <w:t>估值</w:t>
        </w:r>
      </w:hyperlink>
      <w:r w:rsidRPr="00DA345F">
        <w:rPr>
          <w:rFonts w:ascii="Arial" w:eastAsia="宋体" w:hAnsi="Arial" w:cs="Arial"/>
          <w:color w:val="333333"/>
          <w:kern w:val="0"/>
          <w:szCs w:val="21"/>
        </w:rPr>
        <w:t>方法，确保</w:t>
      </w:r>
      <w:hyperlink r:id="rId44" w:tgtFrame="_blank" w:history="1">
        <w:r w:rsidRPr="00DA345F">
          <w:rPr>
            <w:rFonts w:ascii="Arial" w:eastAsia="宋体" w:hAnsi="Arial" w:cs="Arial"/>
            <w:color w:val="136EC2"/>
            <w:kern w:val="0"/>
            <w:szCs w:val="21"/>
          </w:rPr>
          <w:t>基金资产净值</w:t>
        </w:r>
      </w:hyperlink>
      <w:r w:rsidRPr="00DA345F">
        <w:rPr>
          <w:rFonts w:ascii="Arial" w:eastAsia="宋体" w:hAnsi="Arial" w:cs="Arial"/>
          <w:color w:val="333333"/>
          <w:kern w:val="0"/>
          <w:szCs w:val="21"/>
        </w:rPr>
        <w:t>能够公允地反映基金的价值，所采用的会计核算办法应当在基金合同中订明，并应当在</w:t>
      </w:r>
      <w:hyperlink r:id="rId45" w:tgtFrame="_blank" w:history="1">
        <w:r w:rsidRPr="00DA345F">
          <w:rPr>
            <w:rFonts w:ascii="Arial" w:eastAsia="宋体" w:hAnsi="Arial" w:cs="Arial"/>
            <w:color w:val="136EC2"/>
            <w:kern w:val="0"/>
            <w:szCs w:val="21"/>
          </w:rPr>
          <w:t>招募说明书</w:t>
        </w:r>
      </w:hyperlink>
      <w:r w:rsidRPr="00DA345F">
        <w:rPr>
          <w:rFonts w:ascii="Arial" w:eastAsia="宋体" w:hAnsi="Arial" w:cs="Arial"/>
          <w:color w:val="333333"/>
          <w:kern w:val="0"/>
          <w:szCs w:val="21"/>
        </w:rPr>
        <w:t>中披露采用该方法可能对</w:t>
      </w:r>
      <w:hyperlink r:id="rId46" w:tgtFrame="_blank" w:history="1">
        <w:r w:rsidRPr="00DA345F">
          <w:rPr>
            <w:rFonts w:ascii="Arial" w:eastAsia="宋体" w:hAnsi="Arial" w:cs="Arial"/>
            <w:color w:val="136EC2"/>
            <w:kern w:val="0"/>
            <w:szCs w:val="21"/>
          </w:rPr>
          <w:t>基金净值</w:t>
        </w:r>
      </w:hyperlink>
      <w:r w:rsidRPr="00DA345F">
        <w:rPr>
          <w:rFonts w:ascii="Arial" w:eastAsia="宋体" w:hAnsi="Arial" w:cs="Arial"/>
          <w:color w:val="333333"/>
          <w:kern w:val="0"/>
          <w:szCs w:val="21"/>
        </w:rPr>
        <w:t>波动带来的影响。</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color w:val="333333"/>
          <w:kern w:val="0"/>
          <w:szCs w:val="21"/>
        </w:rPr>
        <w:t>前款规定的基金</w:t>
      </w:r>
      <w:hyperlink r:id="rId47" w:tgtFrame="_blank" w:history="1">
        <w:r w:rsidRPr="00DA345F">
          <w:rPr>
            <w:rFonts w:ascii="Arial" w:eastAsia="宋体" w:hAnsi="Arial" w:cs="Arial"/>
            <w:color w:val="136EC2"/>
            <w:kern w:val="0"/>
            <w:szCs w:val="21"/>
          </w:rPr>
          <w:t>估值</w:t>
        </w:r>
      </w:hyperlink>
      <w:r w:rsidRPr="00DA345F">
        <w:rPr>
          <w:rFonts w:ascii="Arial" w:eastAsia="宋体" w:hAnsi="Arial" w:cs="Arial"/>
          <w:color w:val="333333"/>
          <w:kern w:val="0"/>
          <w:szCs w:val="21"/>
        </w:rPr>
        <w:t>方法在特殊情形下不能公允反映基金价值的，货币市场基金可以采用其他估值方法。该特殊情形及该</w:t>
      </w:r>
      <w:hyperlink r:id="rId48" w:tgtFrame="_blank" w:history="1">
        <w:r w:rsidRPr="00DA345F">
          <w:rPr>
            <w:rFonts w:ascii="Arial" w:eastAsia="宋体" w:hAnsi="Arial" w:cs="Arial"/>
            <w:color w:val="136EC2"/>
            <w:kern w:val="0"/>
            <w:szCs w:val="21"/>
          </w:rPr>
          <w:t>估值</w:t>
        </w:r>
      </w:hyperlink>
      <w:r w:rsidRPr="00DA345F">
        <w:rPr>
          <w:rFonts w:ascii="Arial" w:eastAsia="宋体" w:hAnsi="Arial" w:cs="Arial"/>
          <w:color w:val="333333"/>
          <w:kern w:val="0"/>
          <w:szCs w:val="21"/>
        </w:rPr>
        <w:t>方法应当在基金合同中约定。</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color w:val="333333"/>
          <w:kern w:val="0"/>
          <w:szCs w:val="21"/>
        </w:rPr>
        <w:t>货币市场基金发生前款所述情形的，应当在年度报告、半年度报告中的财务会计报告部分予以披露。</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b/>
          <w:bCs/>
          <w:color w:val="333333"/>
          <w:kern w:val="0"/>
          <w:szCs w:val="21"/>
        </w:rPr>
        <w:t>第十三条</w:t>
      </w:r>
      <w:r w:rsidRPr="00DA345F">
        <w:rPr>
          <w:rFonts w:ascii="Arial" w:eastAsia="宋体" w:hAnsi="Arial" w:cs="Arial"/>
          <w:b/>
          <w:bCs/>
          <w:color w:val="333333"/>
          <w:kern w:val="0"/>
          <w:szCs w:val="21"/>
        </w:rPr>
        <w:t> </w:t>
      </w:r>
      <w:r w:rsidRPr="00DA345F">
        <w:rPr>
          <w:rFonts w:ascii="Arial" w:eastAsia="宋体" w:hAnsi="Arial" w:cs="Arial"/>
          <w:color w:val="333333"/>
          <w:kern w:val="0"/>
          <w:szCs w:val="21"/>
        </w:rPr>
        <w:t>货币市场基金的募集、申购、</w:t>
      </w:r>
      <w:hyperlink r:id="rId49" w:tgtFrame="_blank" w:history="1">
        <w:r w:rsidRPr="00DA345F">
          <w:rPr>
            <w:rFonts w:ascii="Arial" w:eastAsia="宋体" w:hAnsi="Arial" w:cs="Arial"/>
            <w:color w:val="136EC2"/>
            <w:kern w:val="0"/>
            <w:szCs w:val="21"/>
          </w:rPr>
          <w:t>赎回</w:t>
        </w:r>
      </w:hyperlink>
      <w:r w:rsidRPr="00DA345F">
        <w:rPr>
          <w:rFonts w:ascii="Arial" w:eastAsia="宋体" w:hAnsi="Arial" w:cs="Arial"/>
          <w:color w:val="333333"/>
          <w:kern w:val="0"/>
          <w:szCs w:val="21"/>
        </w:rPr>
        <w:t>、投资、</w:t>
      </w:r>
      <w:hyperlink r:id="rId50" w:tgtFrame="_blank" w:history="1">
        <w:r w:rsidRPr="00DA345F">
          <w:rPr>
            <w:rFonts w:ascii="Arial" w:eastAsia="宋体" w:hAnsi="Arial" w:cs="Arial"/>
            <w:color w:val="136EC2"/>
            <w:kern w:val="0"/>
            <w:szCs w:val="21"/>
          </w:rPr>
          <w:t>信息披露</w:t>
        </w:r>
      </w:hyperlink>
      <w:r w:rsidRPr="00DA345F">
        <w:rPr>
          <w:rFonts w:ascii="Arial" w:eastAsia="宋体" w:hAnsi="Arial" w:cs="Arial"/>
          <w:color w:val="333333"/>
          <w:kern w:val="0"/>
          <w:szCs w:val="21"/>
        </w:rPr>
        <w:t>、宣传推介等活动，除应当遵守本规定的外，还应当符合《证券投资基金法》、《证券投资基金运作管理办法》、《证券投资基金销售管理办法》、《证券投资基金信息披露管理办法》、《基金管理公司进入银行间同业市场管理规定》等有关规定。</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b/>
          <w:bCs/>
          <w:color w:val="333333"/>
          <w:kern w:val="0"/>
          <w:szCs w:val="21"/>
        </w:rPr>
        <w:t>第十四条</w:t>
      </w:r>
      <w:r w:rsidRPr="00DA345F">
        <w:rPr>
          <w:rFonts w:ascii="Arial" w:eastAsia="宋体" w:hAnsi="Arial" w:cs="Arial"/>
          <w:color w:val="333333"/>
          <w:kern w:val="0"/>
          <w:szCs w:val="21"/>
        </w:rPr>
        <w:t> </w:t>
      </w:r>
      <w:r w:rsidRPr="00DA345F">
        <w:rPr>
          <w:rFonts w:ascii="Arial" w:eastAsia="宋体" w:hAnsi="Arial" w:cs="Arial"/>
          <w:color w:val="333333"/>
          <w:kern w:val="0"/>
          <w:szCs w:val="21"/>
        </w:rPr>
        <w:t>货币市场基金在全国银行间市场的交易、</w:t>
      </w:r>
      <w:hyperlink r:id="rId51" w:tgtFrame="_blank" w:history="1">
        <w:r w:rsidRPr="00DA345F">
          <w:rPr>
            <w:rFonts w:ascii="Arial" w:eastAsia="宋体" w:hAnsi="Arial" w:cs="Arial"/>
            <w:color w:val="136EC2"/>
            <w:kern w:val="0"/>
            <w:szCs w:val="21"/>
          </w:rPr>
          <w:t>结算</w:t>
        </w:r>
      </w:hyperlink>
      <w:r w:rsidRPr="00DA345F">
        <w:rPr>
          <w:rFonts w:ascii="Arial" w:eastAsia="宋体" w:hAnsi="Arial" w:cs="Arial"/>
          <w:color w:val="333333"/>
          <w:kern w:val="0"/>
          <w:szCs w:val="21"/>
        </w:rPr>
        <w:t>活动，应当遵守中国人民银行关于全国银行间市场的管理规定，并接受中国人民银行的监管和动态检查。</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b/>
          <w:bCs/>
          <w:color w:val="333333"/>
          <w:kern w:val="0"/>
          <w:szCs w:val="21"/>
        </w:rPr>
        <w:t>第十五条</w:t>
      </w:r>
      <w:r w:rsidRPr="00DA345F">
        <w:rPr>
          <w:rFonts w:ascii="Arial" w:eastAsia="宋体" w:hAnsi="Arial" w:cs="Arial"/>
          <w:color w:val="333333"/>
          <w:kern w:val="0"/>
          <w:szCs w:val="21"/>
        </w:rPr>
        <w:t> </w:t>
      </w:r>
      <w:r w:rsidRPr="00DA345F">
        <w:rPr>
          <w:rFonts w:ascii="Arial" w:eastAsia="宋体" w:hAnsi="Arial" w:cs="Arial"/>
          <w:color w:val="333333"/>
          <w:kern w:val="0"/>
          <w:szCs w:val="21"/>
        </w:rPr>
        <w:t>本规定由中国证监会、中国人民银行负责解释。</w:t>
      </w:r>
    </w:p>
    <w:p w:rsidR="00DA345F" w:rsidRPr="00DA345F" w:rsidRDefault="00DA345F" w:rsidP="00DA345F">
      <w:pPr>
        <w:widowControl/>
        <w:shd w:val="clear" w:color="auto" w:fill="FFFFFF"/>
        <w:spacing w:line="360" w:lineRule="atLeast"/>
        <w:ind w:firstLine="480"/>
        <w:jc w:val="left"/>
        <w:rPr>
          <w:rFonts w:ascii="Arial" w:eastAsia="宋体" w:hAnsi="Arial" w:cs="Arial"/>
          <w:color w:val="333333"/>
          <w:kern w:val="0"/>
          <w:szCs w:val="21"/>
        </w:rPr>
      </w:pPr>
      <w:r w:rsidRPr="00DA345F">
        <w:rPr>
          <w:rFonts w:ascii="Arial" w:eastAsia="宋体" w:hAnsi="Arial" w:cs="Arial"/>
          <w:b/>
          <w:bCs/>
          <w:color w:val="333333"/>
          <w:kern w:val="0"/>
          <w:szCs w:val="21"/>
        </w:rPr>
        <w:t>第十六条</w:t>
      </w:r>
      <w:r w:rsidRPr="00DA345F">
        <w:rPr>
          <w:rFonts w:ascii="Arial" w:eastAsia="宋体" w:hAnsi="Arial" w:cs="Arial"/>
          <w:color w:val="333333"/>
          <w:kern w:val="0"/>
          <w:szCs w:val="21"/>
        </w:rPr>
        <w:t> </w:t>
      </w:r>
      <w:r w:rsidRPr="00DA345F">
        <w:rPr>
          <w:rFonts w:ascii="Arial" w:eastAsia="宋体" w:hAnsi="Arial" w:cs="Arial"/>
          <w:color w:val="333333"/>
          <w:kern w:val="0"/>
          <w:szCs w:val="21"/>
        </w:rPr>
        <w:t>本规定自发布之日起施行。</w:t>
      </w:r>
      <w:r w:rsidRPr="00DA345F">
        <w:rPr>
          <w:rFonts w:ascii="Arial" w:eastAsia="宋体" w:hAnsi="Arial" w:cs="Arial"/>
          <w:color w:val="3366CC"/>
          <w:kern w:val="0"/>
          <w:szCs w:val="21"/>
          <w:vertAlign w:val="superscript"/>
        </w:rPr>
        <w:t>[1]</w:t>
      </w:r>
      <w:bookmarkStart w:id="1" w:name="ref_[1]_435127"/>
      <w:r w:rsidRPr="00DA345F">
        <w:rPr>
          <w:rFonts w:ascii="Arial" w:eastAsia="宋体" w:hAnsi="Arial" w:cs="Arial"/>
          <w:color w:val="136EC2"/>
          <w:kern w:val="0"/>
          <w:sz w:val="2"/>
          <w:szCs w:val="2"/>
        </w:rPr>
        <w:t> </w:t>
      </w:r>
      <w:bookmarkEnd w:id="1"/>
    </w:p>
    <w:p w:rsidR="008F31D6" w:rsidRDefault="00DA345F"/>
    <w:sectPr w:rsidR="008F31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45F"/>
    <w:rsid w:val="004C755D"/>
    <w:rsid w:val="00761322"/>
    <w:rsid w:val="00DA3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A345F"/>
  </w:style>
  <w:style w:type="character" w:styleId="a3">
    <w:name w:val="Hyperlink"/>
    <w:basedOn w:val="a0"/>
    <w:uiPriority w:val="99"/>
    <w:semiHidden/>
    <w:unhideWhenUsed/>
    <w:rsid w:val="00DA345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A345F"/>
  </w:style>
  <w:style w:type="character" w:styleId="a3">
    <w:name w:val="Hyperlink"/>
    <w:basedOn w:val="a0"/>
    <w:uiPriority w:val="99"/>
    <w:semiHidden/>
    <w:unhideWhenUsed/>
    <w:rsid w:val="00DA34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478340">
      <w:bodyDiv w:val="1"/>
      <w:marLeft w:val="0"/>
      <w:marRight w:val="0"/>
      <w:marTop w:val="0"/>
      <w:marBottom w:val="0"/>
      <w:divBdr>
        <w:top w:val="none" w:sz="0" w:space="0" w:color="auto"/>
        <w:left w:val="none" w:sz="0" w:space="0" w:color="auto"/>
        <w:bottom w:val="none" w:sz="0" w:space="0" w:color="auto"/>
        <w:right w:val="none" w:sz="0" w:space="0" w:color="auto"/>
      </w:divBdr>
      <w:divsChild>
        <w:div w:id="884171311">
          <w:marLeft w:val="0"/>
          <w:marRight w:val="0"/>
          <w:marTop w:val="225"/>
          <w:marBottom w:val="75"/>
          <w:divBdr>
            <w:top w:val="none" w:sz="0" w:space="0" w:color="auto"/>
            <w:left w:val="none" w:sz="0" w:space="0" w:color="auto"/>
            <w:bottom w:val="none" w:sz="0" w:space="0" w:color="auto"/>
            <w:right w:val="none" w:sz="0" w:space="0" w:color="auto"/>
          </w:divBdr>
        </w:div>
        <w:div w:id="1063797620">
          <w:marLeft w:val="0"/>
          <w:marRight w:val="0"/>
          <w:marTop w:val="225"/>
          <w:marBottom w:val="75"/>
          <w:divBdr>
            <w:top w:val="none" w:sz="0" w:space="0" w:color="auto"/>
            <w:left w:val="none" w:sz="0" w:space="0" w:color="auto"/>
            <w:bottom w:val="none" w:sz="0" w:space="0" w:color="auto"/>
            <w:right w:val="none" w:sz="0" w:space="0" w:color="auto"/>
          </w:divBdr>
        </w:div>
        <w:div w:id="1446852649">
          <w:marLeft w:val="0"/>
          <w:marRight w:val="0"/>
          <w:marTop w:val="225"/>
          <w:marBottom w:val="75"/>
          <w:divBdr>
            <w:top w:val="none" w:sz="0" w:space="0" w:color="auto"/>
            <w:left w:val="none" w:sz="0" w:space="0" w:color="auto"/>
            <w:bottom w:val="none" w:sz="0" w:space="0" w:color="auto"/>
            <w:right w:val="none" w:sz="0" w:space="0" w:color="auto"/>
          </w:divBdr>
        </w:div>
        <w:div w:id="587808321">
          <w:marLeft w:val="0"/>
          <w:marRight w:val="0"/>
          <w:marTop w:val="225"/>
          <w:marBottom w:val="75"/>
          <w:divBdr>
            <w:top w:val="none" w:sz="0" w:space="0" w:color="auto"/>
            <w:left w:val="none" w:sz="0" w:space="0" w:color="auto"/>
            <w:bottom w:val="none" w:sz="0" w:space="0" w:color="auto"/>
            <w:right w:val="none" w:sz="0" w:space="0" w:color="auto"/>
          </w:divBdr>
        </w:div>
        <w:div w:id="1691299883">
          <w:marLeft w:val="0"/>
          <w:marRight w:val="0"/>
          <w:marTop w:val="225"/>
          <w:marBottom w:val="75"/>
          <w:divBdr>
            <w:top w:val="none" w:sz="0" w:space="0" w:color="auto"/>
            <w:left w:val="none" w:sz="0" w:space="0" w:color="auto"/>
            <w:bottom w:val="none" w:sz="0" w:space="0" w:color="auto"/>
            <w:right w:val="none" w:sz="0" w:space="0" w:color="auto"/>
          </w:divBdr>
        </w:div>
        <w:div w:id="57747076">
          <w:marLeft w:val="0"/>
          <w:marRight w:val="0"/>
          <w:marTop w:val="225"/>
          <w:marBottom w:val="75"/>
          <w:divBdr>
            <w:top w:val="none" w:sz="0" w:space="0" w:color="auto"/>
            <w:left w:val="none" w:sz="0" w:space="0" w:color="auto"/>
            <w:bottom w:val="none" w:sz="0" w:space="0" w:color="auto"/>
            <w:right w:val="none" w:sz="0" w:space="0" w:color="auto"/>
          </w:divBdr>
        </w:div>
        <w:div w:id="963342612">
          <w:marLeft w:val="0"/>
          <w:marRight w:val="0"/>
          <w:marTop w:val="225"/>
          <w:marBottom w:val="75"/>
          <w:divBdr>
            <w:top w:val="none" w:sz="0" w:space="0" w:color="auto"/>
            <w:left w:val="none" w:sz="0" w:space="0" w:color="auto"/>
            <w:bottom w:val="none" w:sz="0" w:space="0" w:color="auto"/>
            <w:right w:val="none" w:sz="0" w:space="0" w:color="auto"/>
          </w:divBdr>
        </w:div>
        <w:div w:id="969894988">
          <w:marLeft w:val="0"/>
          <w:marRight w:val="0"/>
          <w:marTop w:val="225"/>
          <w:marBottom w:val="75"/>
          <w:divBdr>
            <w:top w:val="none" w:sz="0" w:space="0" w:color="auto"/>
            <w:left w:val="none" w:sz="0" w:space="0" w:color="auto"/>
            <w:bottom w:val="none" w:sz="0" w:space="0" w:color="auto"/>
            <w:right w:val="none" w:sz="0" w:space="0" w:color="auto"/>
          </w:divBdr>
        </w:div>
        <w:div w:id="1122112652">
          <w:marLeft w:val="0"/>
          <w:marRight w:val="0"/>
          <w:marTop w:val="225"/>
          <w:marBottom w:val="75"/>
          <w:divBdr>
            <w:top w:val="none" w:sz="0" w:space="0" w:color="auto"/>
            <w:left w:val="none" w:sz="0" w:space="0" w:color="auto"/>
            <w:bottom w:val="none" w:sz="0" w:space="0" w:color="auto"/>
            <w:right w:val="none" w:sz="0" w:space="0" w:color="auto"/>
          </w:divBdr>
        </w:div>
        <w:div w:id="1196499713">
          <w:marLeft w:val="0"/>
          <w:marRight w:val="0"/>
          <w:marTop w:val="225"/>
          <w:marBottom w:val="75"/>
          <w:divBdr>
            <w:top w:val="none" w:sz="0" w:space="0" w:color="auto"/>
            <w:left w:val="none" w:sz="0" w:space="0" w:color="auto"/>
            <w:bottom w:val="none" w:sz="0" w:space="0" w:color="auto"/>
            <w:right w:val="none" w:sz="0" w:space="0" w:color="auto"/>
          </w:divBdr>
        </w:div>
        <w:div w:id="1747995808">
          <w:marLeft w:val="0"/>
          <w:marRight w:val="0"/>
          <w:marTop w:val="225"/>
          <w:marBottom w:val="75"/>
          <w:divBdr>
            <w:top w:val="none" w:sz="0" w:space="0" w:color="auto"/>
            <w:left w:val="none" w:sz="0" w:space="0" w:color="auto"/>
            <w:bottom w:val="none" w:sz="0" w:space="0" w:color="auto"/>
            <w:right w:val="none" w:sz="0" w:space="0" w:color="auto"/>
          </w:divBdr>
        </w:div>
        <w:div w:id="822964581">
          <w:marLeft w:val="0"/>
          <w:marRight w:val="0"/>
          <w:marTop w:val="225"/>
          <w:marBottom w:val="75"/>
          <w:divBdr>
            <w:top w:val="none" w:sz="0" w:space="0" w:color="auto"/>
            <w:left w:val="none" w:sz="0" w:space="0" w:color="auto"/>
            <w:bottom w:val="none" w:sz="0" w:space="0" w:color="auto"/>
            <w:right w:val="none" w:sz="0" w:space="0" w:color="auto"/>
          </w:divBdr>
        </w:div>
        <w:div w:id="1705669224">
          <w:marLeft w:val="0"/>
          <w:marRight w:val="0"/>
          <w:marTop w:val="225"/>
          <w:marBottom w:val="75"/>
          <w:divBdr>
            <w:top w:val="none" w:sz="0" w:space="0" w:color="auto"/>
            <w:left w:val="none" w:sz="0" w:space="0" w:color="auto"/>
            <w:bottom w:val="none" w:sz="0" w:space="0" w:color="auto"/>
            <w:right w:val="none" w:sz="0" w:space="0" w:color="auto"/>
          </w:divBdr>
        </w:div>
        <w:div w:id="882399753">
          <w:marLeft w:val="0"/>
          <w:marRight w:val="0"/>
          <w:marTop w:val="225"/>
          <w:marBottom w:val="75"/>
          <w:divBdr>
            <w:top w:val="none" w:sz="0" w:space="0" w:color="auto"/>
            <w:left w:val="none" w:sz="0" w:space="0" w:color="auto"/>
            <w:bottom w:val="none" w:sz="0" w:space="0" w:color="auto"/>
            <w:right w:val="none" w:sz="0" w:space="0" w:color="auto"/>
          </w:divBdr>
        </w:div>
        <w:div w:id="745499468">
          <w:marLeft w:val="0"/>
          <w:marRight w:val="0"/>
          <w:marTop w:val="225"/>
          <w:marBottom w:val="75"/>
          <w:divBdr>
            <w:top w:val="none" w:sz="0" w:space="0" w:color="auto"/>
            <w:left w:val="none" w:sz="0" w:space="0" w:color="auto"/>
            <w:bottom w:val="none" w:sz="0" w:space="0" w:color="auto"/>
            <w:right w:val="none" w:sz="0" w:space="0" w:color="auto"/>
          </w:divBdr>
        </w:div>
        <w:div w:id="1770271374">
          <w:marLeft w:val="0"/>
          <w:marRight w:val="0"/>
          <w:marTop w:val="225"/>
          <w:marBottom w:val="75"/>
          <w:divBdr>
            <w:top w:val="none" w:sz="0" w:space="0" w:color="auto"/>
            <w:left w:val="none" w:sz="0" w:space="0" w:color="auto"/>
            <w:bottom w:val="none" w:sz="0" w:space="0" w:color="auto"/>
            <w:right w:val="none" w:sz="0" w:space="0" w:color="auto"/>
          </w:divBdr>
        </w:div>
        <w:div w:id="326329778">
          <w:marLeft w:val="0"/>
          <w:marRight w:val="0"/>
          <w:marTop w:val="225"/>
          <w:marBottom w:val="75"/>
          <w:divBdr>
            <w:top w:val="none" w:sz="0" w:space="0" w:color="auto"/>
            <w:left w:val="none" w:sz="0" w:space="0" w:color="auto"/>
            <w:bottom w:val="none" w:sz="0" w:space="0" w:color="auto"/>
            <w:right w:val="none" w:sz="0" w:space="0" w:color="auto"/>
          </w:divBdr>
        </w:div>
        <w:div w:id="76247019">
          <w:marLeft w:val="0"/>
          <w:marRight w:val="0"/>
          <w:marTop w:val="225"/>
          <w:marBottom w:val="75"/>
          <w:divBdr>
            <w:top w:val="none" w:sz="0" w:space="0" w:color="auto"/>
            <w:left w:val="none" w:sz="0" w:space="0" w:color="auto"/>
            <w:bottom w:val="none" w:sz="0" w:space="0" w:color="auto"/>
            <w:right w:val="none" w:sz="0" w:space="0" w:color="auto"/>
          </w:divBdr>
        </w:div>
        <w:div w:id="703405658">
          <w:marLeft w:val="0"/>
          <w:marRight w:val="0"/>
          <w:marTop w:val="225"/>
          <w:marBottom w:val="75"/>
          <w:divBdr>
            <w:top w:val="none" w:sz="0" w:space="0" w:color="auto"/>
            <w:left w:val="none" w:sz="0" w:space="0" w:color="auto"/>
            <w:bottom w:val="none" w:sz="0" w:space="0" w:color="auto"/>
            <w:right w:val="none" w:sz="0" w:space="0" w:color="auto"/>
          </w:divBdr>
        </w:div>
        <w:div w:id="1779065008">
          <w:marLeft w:val="0"/>
          <w:marRight w:val="0"/>
          <w:marTop w:val="225"/>
          <w:marBottom w:val="75"/>
          <w:divBdr>
            <w:top w:val="none" w:sz="0" w:space="0" w:color="auto"/>
            <w:left w:val="none" w:sz="0" w:space="0" w:color="auto"/>
            <w:bottom w:val="none" w:sz="0" w:space="0" w:color="auto"/>
            <w:right w:val="none" w:sz="0" w:space="0" w:color="auto"/>
          </w:divBdr>
        </w:div>
        <w:div w:id="1574512505">
          <w:marLeft w:val="0"/>
          <w:marRight w:val="0"/>
          <w:marTop w:val="225"/>
          <w:marBottom w:val="75"/>
          <w:divBdr>
            <w:top w:val="none" w:sz="0" w:space="0" w:color="auto"/>
            <w:left w:val="none" w:sz="0" w:space="0" w:color="auto"/>
            <w:bottom w:val="none" w:sz="0" w:space="0" w:color="auto"/>
            <w:right w:val="none" w:sz="0" w:space="0" w:color="auto"/>
          </w:divBdr>
        </w:div>
        <w:div w:id="1740597408">
          <w:marLeft w:val="0"/>
          <w:marRight w:val="0"/>
          <w:marTop w:val="225"/>
          <w:marBottom w:val="75"/>
          <w:divBdr>
            <w:top w:val="none" w:sz="0" w:space="0" w:color="auto"/>
            <w:left w:val="none" w:sz="0" w:space="0" w:color="auto"/>
            <w:bottom w:val="none" w:sz="0" w:space="0" w:color="auto"/>
            <w:right w:val="none" w:sz="0" w:space="0" w:color="auto"/>
          </w:divBdr>
        </w:div>
        <w:div w:id="1953659077">
          <w:marLeft w:val="0"/>
          <w:marRight w:val="0"/>
          <w:marTop w:val="225"/>
          <w:marBottom w:val="75"/>
          <w:divBdr>
            <w:top w:val="none" w:sz="0" w:space="0" w:color="auto"/>
            <w:left w:val="none" w:sz="0" w:space="0" w:color="auto"/>
            <w:bottom w:val="none" w:sz="0" w:space="0" w:color="auto"/>
            <w:right w:val="none" w:sz="0" w:space="0" w:color="auto"/>
          </w:divBdr>
        </w:div>
        <w:div w:id="1175339789">
          <w:marLeft w:val="0"/>
          <w:marRight w:val="0"/>
          <w:marTop w:val="225"/>
          <w:marBottom w:val="75"/>
          <w:divBdr>
            <w:top w:val="none" w:sz="0" w:space="0" w:color="auto"/>
            <w:left w:val="none" w:sz="0" w:space="0" w:color="auto"/>
            <w:bottom w:val="none" w:sz="0" w:space="0" w:color="auto"/>
            <w:right w:val="none" w:sz="0" w:space="0" w:color="auto"/>
          </w:divBdr>
        </w:div>
        <w:div w:id="1985625126">
          <w:marLeft w:val="0"/>
          <w:marRight w:val="0"/>
          <w:marTop w:val="225"/>
          <w:marBottom w:val="75"/>
          <w:divBdr>
            <w:top w:val="none" w:sz="0" w:space="0" w:color="auto"/>
            <w:left w:val="none" w:sz="0" w:space="0" w:color="auto"/>
            <w:bottom w:val="none" w:sz="0" w:space="0" w:color="auto"/>
            <w:right w:val="none" w:sz="0" w:space="0" w:color="auto"/>
          </w:divBdr>
        </w:div>
        <w:div w:id="636759150">
          <w:marLeft w:val="0"/>
          <w:marRight w:val="0"/>
          <w:marTop w:val="225"/>
          <w:marBottom w:val="75"/>
          <w:divBdr>
            <w:top w:val="none" w:sz="0" w:space="0" w:color="auto"/>
            <w:left w:val="none" w:sz="0" w:space="0" w:color="auto"/>
            <w:bottom w:val="none" w:sz="0" w:space="0" w:color="auto"/>
            <w:right w:val="none" w:sz="0" w:space="0" w:color="auto"/>
          </w:divBdr>
        </w:div>
        <w:div w:id="410660070">
          <w:marLeft w:val="0"/>
          <w:marRight w:val="0"/>
          <w:marTop w:val="225"/>
          <w:marBottom w:val="75"/>
          <w:divBdr>
            <w:top w:val="none" w:sz="0" w:space="0" w:color="auto"/>
            <w:left w:val="none" w:sz="0" w:space="0" w:color="auto"/>
            <w:bottom w:val="none" w:sz="0" w:space="0" w:color="auto"/>
            <w:right w:val="none" w:sz="0" w:space="0" w:color="auto"/>
          </w:divBdr>
        </w:div>
        <w:div w:id="2010785402">
          <w:marLeft w:val="0"/>
          <w:marRight w:val="0"/>
          <w:marTop w:val="225"/>
          <w:marBottom w:val="75"/>
          <w:divBdr>
            <w:top w:val="none" w:sz="0" w:space="0" w:color="auto"/>
            <w:left w:val="none" w:sz="0" w:space="0" w:color="auto"/>
            <w:bottom w:val="none" w:sz="0" w:space="0" w:color="auto"/>
            <w:right w:val="none" w:sz="0" w:space="0" w:color="auto"/>
          </w:divBdr>
        </w:div>
        <w:div w:id="738557411">
          <w:marLeft w:val="0"/>
          <w:marRight w:val="0"/>
          <w:marTop w:val="225"/>
          <w:marBottom w:val="75"/>
          <w:divBdr>
            <w:top w:val="none" w:sz="0" w:space="0" w:color="auto"/>
            <w:left w:val="none" w:sz="0" w:space="0" w:color="auto"/>
            <w:bottom w:val="none" w:sz="0" w:space="0" w:color="auto"/>
            <w:right w:val="none" w:sz="0" w:space="0" w:color="auto"/>
          </w:divBdr>
        </w:div>
        <w:div w:id="285044093">
          <w:marLeft w:val="0"/>
          <w:marRight w:val="0"/>
          <w:marTop w:val="225"/>
          <w:marBottom w:val="75"/>
          <w:divBdr>
            <w:top w:val="none" w:sz="0" w:space="0" w:color="auto"/>
            <w:left w:val="none" w:sz="0" w:space="0" w:color="auto"/>
            <w:bottom w:val="none" w:sz="0" w:space="0" w:color="auto"/>
            <w:right w:val="none" w:sz="0" w:space="0" w:color="auto"/>
          </w:divBdr>
        </w:div>
        <w:div w:id="2079593788">
          <w:marLeft w:val="0"/>
          <w:marRight w:val="0"/>
          <w:marTop w:val="225"/>
          <w:marBottom w:val="75"/>
          <w:divBdr>
            <w:top w:val="none" w:sz="0" w:space="0" w:color="auto"/>
            <w:left w:val="none" w:sz="0" w:space="0" w:color="auto"/>
            <w:bottom w:val="none" w:sz="0" w:space="0" w:color="auto"/>
            <w:right w:val="none" w:sz="0" w:space="0" w:color="auto"/>
          </w:divBdr>
        </w:div>
        <w:div w:id="887454262">
          <w:marLeft w:val="0"/>
          <w:marRight w:val="0"/>
          <w:marTop w:val="225"/>
          <w:marBottom w:val="75"/>
          <w:divBdr>
            <w:top w:val="none" w:sz="0" w:space="0" w:color="auto"/>
            <w:left w:val="none" w:sz="0" w:space="0" w:color="auto"/>
            <w:bottom w:val="none" w:sz="0" w:space="0" w:color="auto"/>
            <w:right w:val="none" w:sz="0" w:space="0" w:color="auto"/>
          </w:divBdr>
        </w:div>
        <w:div w:id="423722909">
          <w:marLeft w:val="0"/>
          <w:marRight w:val="0"/>
          <w:marTop w:val="225"/>
          <w:marBottom w:val="75"/>
          <w:divBdr>
            <w:top w:val="none" w:sz="0" w:space="0" w:color="auto"/>
            <w:left w:val="none" w:sz="0" w:space="0" w:color="auto"/>
            <w:bottom w:val="none" w:sz="0" w:space="0" w:color="auto"/>
            <w:right w:val="none" w:sz="0" w:space="0" w:color="auto"/>
          </w:divBdr>
        </w:div>
        <w:div w:id="1680431026">
          <w:marLeft w:val="0"/>
          <w:marRight w:val="0"/>
          <w:marTop w:val="225"/>
          <w:marBottom w:val="75"/>
          <w:divBdr>
            <w:top w:val="none" w:sz="0" w:space="0" w:color="auto"/>
            <w:left w:val="none" w:sz="0" w:space="0" w:color="auto"/>
            <w:bottom w:val="none" w:sz="0" w:space="0" w:color="auto"/>
            <w:right w:val="none" w:sz="0" w:space="0" w:color="auto"/>
          </w:divBdr>
        </w:div>
        <w:div w:id="1911576923">
          <w:marLeft w:val="0"/>
          <w:marRight w:val="0"/>
          <w:marTop w:val="225"/>
          <w:marBottom w:val="75"/>
          <w:divBdr>
            <w:top w:val="none" w:sz="0" w:space="0" w:color="auto"/>
            <w:left w:val="none" w:sz="0" w:space="0" w:color="auto"/>
            <w:bottom w:val="none" w:sz="0" w:space="0" w:color="auto"/>
            <w:right w:val="none" w:sz="0" w:space="0" w:color="auto"/>
          </w:divBdr>
        </w:div>
        <w:div w:id="751319525">
          <w:marLeft w:val="0"/>
          <w:marRight w:val="0"/>
          <w:marTop w:val="225"/>
          <w:marBottom w:val="75"/>
          <w:divBdr>
            <w:top w:val="none" w:sz="0" w:space="0" w:color="auto"/>
            <w:left w:val="none" w:sz="0" w:space="0" w:color="auto"/>
            <w:bottom w:val="none" w:sz="0" w:space="0" w:color="auto"/>
            <w:right w:val="none" w:sz="0" w:space="0" w:color="auto"/>
          </w:divBdr>
        </w:div>
        <w:div w:id="540677066">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834588.htm" TargetMode="External"/><Relationship Id="rId18" Type="http://schemas.openxmlformats.org/officeDocument/2006/relationships/hyperlink" Target="http://baike.baidu.com/view/26411.htm" TargetMode="External"/><Relationship Id="rId26" Type="http://schemas.openxmlformats.org/officeDocument/2006/relationships/hyperlink" Target="http://baike.baidu.com/view/5997563.htm" TargetMode="External"/><Relationship Id="rId39" Type="http://schemas.openxmlformats.org/officeDocument/2006/relationships/hyperlink" Target="http://baike.baidu.com/view/1893055.htm" TargetMode="External"/><Relationship Id="rId3" Type="http://schemas.openxmlformats.org/officeDocument/2006/relationships/settings" Target="settings.xml"/><Relationship Id="rId21" Type="http://schemas.openxmlformats.org/officeDocument/2006/relationships/hyperlink" Target="http://baike.baidu.com/view/160515.htm" TargetMode="External"/><Relationship Id="rId34" Type="http://schemas.openxmlformats.org/officeDocument/2006/relationships/hyperlink" Target="http://baike.baidu.com/view/204177.htm" TargetMode="External"/><Relationship Id="rId42" Type="http://schemas.openxmlformats.org/officeDocument/2006/relationships/hyperlink" Target="http://baike.baidu.com/view/56260.htm" TargetMode="External"/><Relationship Id="rId47" Type="http://schemas.openxmlformats.org/officeDocument/2006/relationships/hyperlink" Target="http://baike.baidu.com/view/968493.htm" TargetMode="External"/><Relationship Id="rId50" Type="http://schemas.openxmlformats.org/officeDocument/2006/relationships/hyperlink" Target="http://baike.baidu.com/view/34070.htm" TargetMode="External"/><Relationship Id="rId7" Type="http://schemas.openxmlformats.org/officeDocument/2006/relationships/hyperlink" Target="http://baike.baidu.com/view/1333959.htm" TargetMode="External"/><Relationship Id="rId12" Type="http://schemas.openxmlformats.org/officeDocument/2006/relationships/hyperlink" Target="http://baike.baidu.com/view/26411.htm" TargetMode="External"/><Relationship Id="rId17" Type="http://schemas.openxmlformats.org/officeDocument/2006/relationships/hyperlink" Target="http://baike.baidu.com/view/1739203.htm" TargetMode="External"/><Relationship Id="rId25" Type="http://schemas.openxmlformats.org/officeDocument/2006/relationships/hyperlink" Target="http://baike.baidu.com/view/1739203.htm" TargetMode="External"/><Relationship Id="rId33" Type="http://schemas.openxmlformats.org/officeDocument/2006/relationships/hyperlink" Target="http://baike.baidu.com/view/194522.htm" TargetMode="External"/><Relationship Id="rId38" Type="http://schemas.openxmlformats.org/officeDocument/2006/relationships/hyperlink" Target="http://baike.baidu.com/view/230004.htm" TargetMode="External"/><Relationship Id="rId46" Type="http://schemas.openxmlformats.org/officeDocument/2006/relationships/hyperlink" Target="http://baike.baidu.com/view/230020.htm" TargetMode="External"/><Relationship Id="rId2" Type="http://schemas.microsoft.com/office/2007/relationships/stylesWithEffects" Target="stylesWithEffects.xml"/><Relationship Id="rId16" Type="http://schemas.openxmlformats.org/officeDocument/2006/relationships/hyperlink" Target="http://baike.baidu.com/view/20516.htm" TargetMode="External"/><Relationship Id="rId20" Type="http://schemas.openxmlformats.org/officeDocument/2006/relationships/hyperlink" Target="http://baike.baidu.com/view/160515.htm" TargetMode="External"/><Relationship Id="rId29" Type="http://schemas.openxmlformats.org/officeDocument/2006/relationships/hyperlink" Target="http://baike.baidu.com/view/259185.htm" TargetMode="External"/><Relationship Id="rId41" Type="http://schemas.openxmlformats.org/officeDocument/2006/relationships/hyperlink" Target="http://baike.baidu.com/view/1280246.htm" TargetMode="External"/><Relationship Id="rId1" Type="http://schemas.openxmlformats.org/officeDocument/2006/relationships/styles" Target="styles.xml"/><Relationship Id="rId6" Type="http://schemas.openxmlformats.org/officeDocument/2006/relationships/hyperlink" Target="http://baike.baidu.com/view/372955.htm" TargetMode="External"/><Relationship Id="rId11" Type="http://schemas.openxmlformats.org/officeDocument/2006/relationships/hyperlink" Target="http://baike.baidu.com/view/1739203.htm" TargetMode="External"/><Relationship Id="rId24" Type="http://schemas.openxmlformats.org/officeDocument/2006/relationships/hyperlink" Target="http://baike.baidu.com/view/26411.htm" TargetMode="External"/><Relationship Id="rId32" Type="http://schemas.openxmlformats.org/officeDocument/2006/relationships/hyperlink" Target="http://baike.baidu.com/view/26411.htm" TargetMode="External"/><Relationship Id="rId37" Type="http://schemas.openxmlformats.org/officeDocument/2006/relationships/hyperlink" Target="http://baike.baidu.com/view/820220.htm" TargetMode="External"/><Relationship Id="rId40" Type="http://schemas.openxmlformats.org/officeDocument/2006/relationships/hyperlink" Target="http://baike.baidu.com/view/1123958.htm" TargetMode="External"/><Relationship Id="rId45" Type="http://schemas.openxmlformats.org/officeDocument/2006/relationships/hyperlink" Target="http://baike.baidu.com/view/1280246.htm" TargetMode="External"/><Relationship Id="rId53" Type="http://schemas.openxmlformats.org/officeDocument/2006/relationships/theme" Target="theme/theme1.xml"/><Relationship Id="rId5" Type="http://schemas.openxmlformats.org/officeDocument/2006/relationships/hyperlink" Target="http://baike.baidu.com/view/3494780.htm" TargetMode="External"/><Relationship Id="rId15" Type="http://schemas.openxmlformats.org/officeDocument/2006/relationships/hyperlink" Target="http://baike.baidu.com/view/3494780.htm" TargetMode="External"/><Relationship Id="rId23" Type="http://schemas.openxmlformats.org/officeDocument/2006/relationships/hyperlink" Target="http://baike.baidu.com/view/194522.htm" TargetMode="External"/><Relationship Id="rId28" Type="http://schemas.openxmlformats.org/officeDocument/2006/relationships/hyperlink" Target="http://baike.baidu.com/view/96050.htm" TargetMode="External"/><Relationship Id="rId36" Type="http://schemas.openxmlformats.org/officeDocument/2006/relationships/hyperlink" Target="http://baike.baidu.com/view/1145311.htm" TargetMode="External"/><Relationship Id="rId49" Type="http://schemas.openxmlformats.org/officeDocument/2006/relationships/hyperlink" Target="http://baike.baidu.com/view/820232.htm" TargetMode="External"/><Relationship Id="rId10" Type="http://schemas.openxmlformats.org/officeDocument/2006/relationships/hyperlink" Target="http://baike.baidu.com/view/1808342.htm" TargetMode="External"/><Relationship Id="rId19" Type="http://schemas.openxmlformats.org/officeDocument/2006/relationships/hyperlink" Target="http://baike.baidu.com/view/160515.htm" TargetMode="External"/><Relationship Id="rId31" Type="http://schemas.openxmlformats.org/officeDocument/2006/relationships/hyperlink" Target="http://baike.baidu.com/view/76507.htm" TargetMode="External"/><Relationship Id="rId44" Type="http://schemas.openxmlformats.org/officeDocument/2006/relationships/hyperlink" Target="http://baike.baidu.com/view/160515.htm"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view/30577.htm" TargetMode="External"/><Relationship Id="rId14" Type="http://schemas.openxmlformats.org/officeDocument/2006/relationships/hyperlink" Target="http://baike.baidu.com/view/1301555.htm" TargetMode="External"/><Relationship Id="rId22" Type="http://schemas.openxmlformats.org/officeDocument/2006/relationships/hyperlink" Target="http://baike.baidu.com/view/5878218.htm" TargetMode="External"/><Relationship Id="rId27" Type="http://schemas.openxmlformats.org/officeDocument/2006/relationships/hyperlink" Target="http://baike.baidu.com/view/632008.htm" TargetMode="External"/><Relationship Id="rId30" Type="http://schemas.openxmlformats.org/officeDocument/2006/relationships/hyperlink" Target="http://baike.baidu.com/view/1739203.htm" TargetMode="External"/><Relationship Id="rId35" Type="http://schemas.openxmlformats.org/officeDocument/2006/relationships/hyperlink" Target="http://baike.baidu.com/view/57191.htm" TargetMode="External"/><Relationship Id="rId43" Type="http://schemas.openxmlformats.org/officeDocument/2006/relationships/hyperlink" Target="http://baike.baidu.com/view/968493.htm" TargetMode="External"/><Relationship Id="rId48" Type="http://schemas.openxmlformats.org/officeDocument/2006/relationships/hyperlink" Target="http://baike.baidu.com/view/968493.htm" TargetMode="External"/><Relationship Id="rId8" Type="http://schemas.openxmlformats.org/officeDocument/2006/relationships/hyperlink" Target="http://baike.baidu.com/view/372955.htm" TargetMode="External"/><Relationship Id="rId51" Type="http://schemas.openxmlformats.org/officeDocument/2006/relationships/hyperlink" Target="http://baike.baidu.com/view/8075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725</Words>
  <Characters>4138</Characters>
  <Application>Microsoft Office Word</Application>
  <DocSecurity>0</DocSecurity>
  <Lines>34</Lines>
  <Paragraphs>9</Paragraphs>
  <ScaleCrop>false</ScaleCrop>
  <Company/>
  <LinksUpToDate>false</LinksUpToDate>
  <CharactersWithSpaces>4854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Linpeng</dc:creator>
  <cp:lastModifiedBy>Linpeng</cp:lastModifiedBy>
  <cp:revision>1</cp:revision>
  <dcterms:created xsi:type="dcterms:W3CDTF">2014-06-15T13:36:00Z</dcterms:created>
  <dcterms:modified xsi:type="dcterms:W3CDTF">2014-06-15T13:37:00Z</dcterms:modified>
</cp:coreProperties>
</file>