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A03" w:rsidRPr="00A95A03" w:rsidRDefault="00A95A03" w:rsidP="00A95A03">
      <w:pPr>
        <w:widowControl/>
        <w:shd w:val="clear" w:color="auto" w:fill="FFFFFF"/>
        <w:spacing w:before="525" w:after="225" w:line="330" w:lineRule="atLeast"/>
        <w:ind w:left="-450"/>
        <w:jc w:val="left"/>
        <w:outlineLvl w:val="1"/>
        <w:rPr>
          <w:rFonts w:ascii="微软雅黑" w:eastAsia="微软雅黑" w:hAnsi="微软雅黑" w:cs="宋体"/>
          <w:color w:val="000000"/>
          <w:kern w:val="0"/>
          <w:sz w:val="36"/>
          <w:szCs w:val="36"/>
        </w:rPr>
      </w:pPr>
      <w:r w:rsidRPr="00A95A03">
        <w:rPr>
          <w:rFonts w:ascii="微软雅黑" w:eastAsia="微软雅黑" w:hAnsi="微软雅黑" w:cs="宋体" w:hint="eastAsia"/>
          <w:color w:val="000000"/>
          <w:kern w:val="0"/>
          <w:sz w:val="36"/>
          <w:szCs w:val="36"/>
          <w:shd w:val="clear" w:color="auto" w:fill="FFFFFF"/>
        </w:rPr>
        <w:t>证券投资基金参与股指期货交易指引</w:t>
      </w:r>
      <w:hyperlink r:id="rId5" w:tooltip="编辑本段" w:history="1">
        <w:r w:rsidRPr="00A95A03">
          <w:rPr>
            <w:rFonts w:ascii="宋体" w:eastAsia="宋体" w:hAnsi="宋体" w:cs="宋体" w:hint="eastAsia"/>
            <w:color w:val="888888"/>
            <w:kern w:val="0"/>
            <w:sz w:val="18"/>
            <w:szCs w:val="18"/>
          </w:rPr>
          <w:t>编辑</w:t>
        </w:r>
      </w:hyperlink>
    </w:p>
    <w:p w:rsidR="00A95A03" w:rsidRPr="00A95A03" w:rsidRDefault="00A95A03" w:rsidP="00A95A03">
      <w:pPr>
        <w:widowControl/>
        <w:shd w:val="clear" w:color="auto" w:fill="FFFFFF"/>
        <w:spacing w:line="360" w:lineRule="atLeast"/>
        <w:ind w:firstLine="480"/>
        <w:jc w:val="left"/>
        <w:rPr>
          <w:rFonts w:ascii="Arial" w:eastAsia="宋体" w:hAnsi="Arial" w:cs="Arial" w:hint="eastAsia"/>
          <w:color w:val="333333"/>
          <w:kern w:val="0"/>
          <w:szCs w:val="21"/>
        </w:rPr>
      </w:pPr>
      <w:r w:rsidRPr="00A95A03">
        <w:rPr>
          <w:rFonts w:ascii="Arial" w:eastAsia="宋体" w:hAnsi="Arial" w:cs="Arial"/>
          <w:color w:val="333333"/>
          <w:kern w:val="0"/>
          <w:szCs w:val="21"/>
        </w:rPr>
        <w:t>第一条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为规范证券投资基金（以下简称基金）参与股指期货交易的行为，防范投资风险，保护</w:t>
      </w:r>
      <w:hyperlink r:id="rId6" w:tgtFrame="_blank" w:history="1">
        <w:r w:rsidRPr="00A95A03">
          <w:rPr>
            <w:rFonts w:ascii="Arial" w:eastAsia="宋体" w:hAnsi="Arial" w:cs="Arial"/>
            <w:color w:val="136EC2"/>
            <w:kern w:val="0"/>
            <w:szCs w:val="21"/>
          </w:rPr>
          <w:t>基金份额持有人</w:t>
        </w:r>
      </w:hyperlink>
      <w:r w:rsidRPr="00A95A03">
        <w:rPr>
          <w:rFonts w:ascii="Arial" w:eastAsia="宋体" w:hAnsi="Arial" w:cs="Arial"/>
          <w:color w:val="333333"/>
          <w:kern w:val="0"/>
          <w:szCs w:val="21"/>
        </w:rPr>
        <w:t>的合法权益，根据《证券投资基金法》、《证券投资基金运作管理办法》等法律法规，制定本指引。</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第二条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本指引所称股指期货，是指由中国证监会批准，在</w:t>
      </w:r>
      <w:hyperlink r:id="rId7" w:tgtFrame="_blank" w:history="1">
        <w:r w:rsidRPr="00A95A03">
          <w:rPr>
            <w:rFonts w:ascii="Arial" w:eastAsia="宋体" w:hAnsi="Arial" w:cs="Arial"/>
            <w:color w:val="136EC2"/>
            <w:kern w:val="0"/>
            <w:szCs w:val="21"/>
          </w:rPr>
          <w:t>中国金融期货交易所</w:t>
        </w:r>
      </w:hyperlink>
      <w:r w:rsidRPr="00A95A03">
        <w:rPr>
          <w:rFonts w:ascii="Arial" w:eastAsia="宋体" w:hAnsi="Arial" w:cs="Arial"/>
          <w:color w:val="333333"/>
          <w:kern w:val="0"/>
          <w:szCs w:val="21"/>
        </w:rPr>
        <w:t>上市交易的以股票价格指数为标的的</w:t>
      </w:r>
      <w:hyperlink r:id="rId8" w:tgtFrame="_blank" w:history="1">
        <w:r w:rsidRPr="00A95A03">
          <w:rPr>
            <w:rFonts w:ascii="Arial" w:eastAsia="宋体" w:hAnsi="Arial" w:cs="Arial"/>
            <w:color w:val="136EC2"/>
            <w:kern w:val="0"/>
            <w:szCs w:val="21"/>
          </w:rPr>
          <w:t>金融期货合约</w:t>
        </w:r>
      </w:hyperlink>
      <w:r w:rsidRPr="00A95A03">
        <w:rPr>
          <w:rFonts w:ascii="Arial" w:eastAsia="宋体" w:hAnsi="Arial" w:cs="Arial"/>
          <w:color w:val="333333"/>
          <w:kern w:val="0"/>
          <w:szCs w:val="21"/>
        </w:rPr>
        <w:t>。</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第三条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基金参与股指期货交易，应当根据风险管理的原则，以</w:t>
      </w:r>
      <w:hyperlink r:id="rId9" w:tgtFrame="_blank" w:history="1">
        <w:r w:rsidRPr="00A95A03">
          <w:rPr>
            <w:rFonts w:ascii="Arial" w:eastAsia="宋体" w:hAnsi="Arial" w:cs="Arial"/>
            <w:color w:val="136EC2"/>
            <w:kern w:val="0"/>
            <w:szCs w:val="21"/>
          </w:rPr>
          <w:t>套期保值</w:t>
        </w:r>
      </w:hyperlink>
      <w:r w:rsidRPr="00A95A03">
        <w:rPr>
          <w:rFonts w:ascii="Arial" w:eastAsia="宋体" w:hAnsi="Arial" w:cs="Arial"/>
          <w:color w:val="333333"/>
          <w:kern w:val="0"/>
          <w:szCs w:val="21"/>
        </w:rPr>
        <w:t>为目的，并按照</w:t>
      </w:r>
      <w:hyperlink r:id="rId10" w:tgtFrame="_blank" w:history="1">
        <w:r w:rsidRPr="00A95A03">
          <w:rPr>
            <w:rFonts w:ascii="Arial" w:eastAsia="宋体" w:hAnsi="Arial" w:cs="Arial"/>
            <w:color w:val="136EC2"/>
            <w:kern w:val="0"/>
            <w:szCs w:val="21"/>
          </w:rPr>
          <w:t>中国金融期货交易所</w:t>
        </w:r>
      </w:hyperlink>
      <w:r w:rsidRPr="00A95A03">
        <w:rPr>
          <w:rFonts w:ascii="Arial" w:eastAsia="宋体" w:hAnsi="Arial" w:cs="Arial"/>
          <w:color w:val="333333"/>
          <w:kern w:val="0"/>
          <w:szCs w:val="21"/>
        </w:rPr>
        <w:t>套期保值管理的有关规定执行。保本基金及中国证监会批准的特殊基金品种除外。</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第四条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股票型基金、混合型基金及保本基金可以按照本指引参与股指期货交易，债券型基金、货币市场基金不得参与股指期货交易。</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第五条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基金参与股指期货交易，除中国证监会另有规定或批准的特殊基金品种外，应当遵守下列要求：</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（一）基金在任何交易日日终，持有的买入</w:t>
      </w:r>
      <w:hyperlink r:id="rId11" w:tgtFrame="_blank" w:history="1">
        <w:r w:rsidRPr="00A95A03">
          <w:rPr>
            <w:rFonts w:ascii="Arial" w:eastAsia="宋体" w:hAnsi="Arial" w:cs="Arial"/>
            <w:color w:val="136EC2"/>
            <w:kern w:val="0"/>
            <w:szCs w:val="21"/>
          </w:rPr>
          <w:t>股指期货合约</w:t>
        </w:r>
      </w:hyperlink>
      <w:r w:rsidRPr="00A95A03">
        <w:rPr>
          <w:rFonts w:ascii="Arial" w:eastAsia="宋体" w:hAnsi="Arial" w:cs="Arial"/>
          <w:color w:val="333333"/>
          <w:kern w:val="0"/>
          <w:szCs w:val="21"/>
        </w:rPr>
        <w:t>价值，不得超过</w:t>
      </w:r>
      <w:hyperlink r:id="rId12" w:tgtFrame="_blank" w:history="1">
        <w:r w:rsidRPr="00A95A03">
          <w:rPr>
            <w:rFonts w:ascii="Arial" w:eastAsia="宋体" w:hAnsi="Arial" w:cs="Arial"/>
            <w:color w:val="136EC2"/>
            <w:kern w:val="0"/>
            <w:szCs w:val="21"/>
          </w:rPr>
          <w:t>基金资产净值</w:t>
        </w:r>
      </w:hyperlink>
      <w:r w:rsidRPr="00A95A03">
        <w:rPr>
          <w:rFonts w:ascii="Arial" w:eastAsia="宋体" w:hAnsi="Arial" w:cs="Arial"/>
          <w:color w:val="333333"/>
          <w:kern w:val="0"/>
          <w:szCs w:val="21"/>
        </w:rPr>
        <w:t>的</w:t>
      </w:r>
      <w:r w:rsidRPr="00A95A03">
        <w:rPr>
          <w:rFonts w:ascii="Arial" w:eastAsia="宋体" w:hAnsi="Arial" w:cs="Arial"/>
          <w:color w:val="333333"/>
          <w:kern w:val="0"/>
          <w:szCs w:val="21"/>
        </w:rPr>
        <w:t>10%</w:t>
      </w:r>
      <w:r w:rsidRPr="00A95A03">
        <w:rPr>
          <w:rFonts w:ascii="Arial" w:eastAsia="宋体" w:hAnsi="Arial" w:cs="Arial"/>
          <w:color w:val="333333"/>
          <w:kern w:val="0"/>
          <w:szCs w:val="21"/>
        </w:rPr>
        <w:t>。</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（二）开放式基金在任何交易日日终，持有的买入</w:t>
      </w:r>
      <w:hyperlink r:id="rId13" w:tgtFrame="_blank" w:history="1">
        <w:r w:rsidRPr="00A95A03">
          <w:rPr>
            <w:rFonts w:ascii="Arial" w:eastAsia="宋体" w:hAnsi="Arial" w:cs="Arial"/>
            <w:color w:val="136EC2"/>
            <w:kern w:val="0"/>
            <w:szCs w:val="21"/>
          </w:rPr>
          <w:t>期货合约</w:t>
        </w:r>
      </w:hyperlink>
      <w:r w:rsidRPr="00A95A03">
        <w:rPr>
          <w:rFonts w:ascii="Arial" w:eastAsia="宋体" w:hAnsi="Arial" w:cs="Arial"/>
          <w:color w:val="333333"/>
          <w:kern w:val="0"/>
          <w:szCs w:val="21"/>
        </w:rPr>
        <w:t>价值与有价证券市值之和</w:t>
      </w:r>
      <w:r w:rsidRPr="00A95A03">
        <w:rPr>
          <w:rFonts w:ascii="Arial" w:eastAsia="宋体" w:hAnsi="Arial" w:cs="Arial"/>
          <w:color w:val="333333"/>
          <w:kern w:val="0"/>
          <w:szCs w:val="21"/>
        </w:rPr>
        <w:t>,</w:t>
      </w:r>
      <w:r w:rsidRPr="00A95A03">
        <w:rPr>
          <w:rFonts w:ascii="Arial" w:eastAsia="宋体" w:hAnsi="Arial" w:cs="Arial"/>
          <w:color w:val="333333"/>
          <w:kern w:val="0"/>
          <w:szCs w:val="21"/>
        </w:rPr>
        <w:t>不得超过</w:t>
      </w:r>
      <w:hyperlink r:id="rId14" w:tgtFrame="_blank" w:history="1">
        <w:r w:rsidRPr="00A95A03">
          <w:rPr>
            <w:rFonts w:ascii="Arial" w:eastAsia="宋体" w:hAnsi="Arial" w:cs="Arial"/>
            <w:color w:val="136EC2"/>
            <w:kern w:val="0"/>
            <w:szCs w:val="21"/>
          </w:rPr>
          <w:t>基金资产净值</w:t>
        </w:r>
      </w:hyperlink>
      <w:r w:rsidRPr="00A95A03">
        <w:rPr>
          <w:rFonts w:ascii="Arial" w:eastAsia="宋体" w:hAnsi="Arial" w:cs="Arial"/>
          <w:color w:val="333333"/>
          <w:kern w:val="0"/>
          <w:szCs w:val="21"/>
        </w:rPr>
        <w:t>的</w:t>
      </w:r>
      <w:r w:rsidRPr="00A95A03">
        <w:rPr>
          <w:rFonts w:ascii="Arial" w:eastAsia="宋体" w:hAnsi="Arial" w:cs="Arial"/>
          <w:color w:val="333333"/>
          <w:kern w:val="0"/>
          <w:szCs w:val="21"/>
        </w:rPr>
        <w:t>95%</w:t>
      </w:r>
      <w:r w:rsidRPr="00A95A03">
        <w:rPr>
          <w:rFonts w:ascii="Arial" w:eastAsia="宋体" w:hAnsi="Arial" w:cs="Arial"/>
          <w:color w:val="333333"/>
          <w:kern w:val="0"/>
          <w:szCs w:val="21"/>
        </w:rPr>
        <w:t>。</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其中，有价证券指股票、</w:t>
      </w:r>
      <w:hyperlink r:id="rId15" w:tgtFrame="_blank" w:history="1">
        <w:r w:rsidRPr="00A95A03">
          <w:rPr>
            <w:rFonts w:ascii="Arial" w:eastAsia="宋体" w:hAnsi="Arial" w:cs="Arial"/>
            <w:color w:val="136EC2"/>
            <w:kern w:val="0"/>
            <w:szCs w:val="21"/>
          </w:rPr>
          <w:t>债券</w:t>
        </w:r>
      </w:hyperlink>
      <w:r w:rsidRPr="00A95A03">
        <w:rPr>
          <w:rFonts w:ascii="Arial" w:eastAsia="宋体" w:hAnsi="Arial" w:cs="Arial"/>
          <w:color w:val="333333"/>
          <w:kern w:val="0"/>
          <w:szCs w:val="21"/>
        </w:rPr>
        <w:t>（不含到期日在一年以内的</w:t>
      </w:r>
      <w:hyperlink r:id="rId16" w:tgtFrame="_blank" w:history="1">
        <w:r w:rsidRPr="00A95A03">
          <w:rPr>
            <w:rFonts w:ascii="Arial" w:eastAsia="宋体" w:hAnsi="Arial" w:cs="Arial"/>
            <w:color w:val="136EC2"/>
            <w:kern w:val="0"/>
            <w:szCs w:val="21"/>
          </w:rPr>
          <w:t>政府债券</w:t>
        </w:r>
      </w:hyperlink>
      <w:r w:rsidRPr="00A95A03">
        <w:rPr>
          <w:rFonts w:ascii="Arial" w:eastAsia="宋体" w:hAnsi="Arial" w:cs="Arial"/>
          <w:color w:val="333333"/>
          <w:kern w:val="0"/>
          <w:szCs w:val="21"/>
        </w:rPr>
        <w:t>）、</w:t>
      </w:r>
      <w:hyperlink r:id="rId17" w:tgtFrame="_blank" w:history="1">
        <w:r w:rsidRPr="00A95A03">
          <w:rPr>
            <w:rFonts w:ascii="Arial" w:eastAsia="宋体" w:hAnsi="Arial" w:cs="Arial"/>
            <w:color w:val="136EC2"/>
            <w:kern w:val="0"/>
            <w:szCs w:val="21"/>
          </w:rPr>
          <w:t>权证</w:t>
        </w:r>
      </w:hyperlink>
      <w:r w:rsidRPr="00A95A03">
        <w:rPr>
          <w:rFonts w:ascii="Arial" w:eastAsia="宋体" w:hAnsi="Arial" w:cs="Arial"/>
          <w:color w:val="333333"/>
          <w:kern w:val="0"/>
          <w:szCs w:val="21"/>
        </w:rPr>
        <w:t>、</w:t>
      </w:r>
      <w:hyperlink r:id="rId18" w:tgtFrame="_blank" w:history="1">
        <w:r w:rsidRPr="00A95A03">
          <w:rPr>
            <w:rFonts w:ascii="Arial" w:eastAsia="宋体" w:hAnsi="Arial" w:cs="Arial"/>
            <w:color w:val="136EC2"/>
            <w:kern w:val="0"/>
            <w:szCs w:val="21"/>
          </w:rPr>
          <w:t>资产支持证券</w:t>
        </w:r>
      </w:hyperlink>
      <w:r w:rsidRPr="00A95A03">
        <w:rPr>
          <w:rFonts w:ascii="Arial" w:eastAsia="宋体" w:hAnsi="Arial" w:cs="Arial"/>
          <w:color w:val="333333"/>
          <w:kern w:val="0"/>
          <w:szCs w:val="21"/>
        </w:rPr>
        <w:t>、</w:t>
      </w:r>
      <w:hyperlink r:id="rId19" w:tgtFrame="_blank" w:history="1">
        <w:r w:rsidRPr="00A95A03">
          <w:rPr>
            <w:rFonts w:ascii="Arial" w:eastAsia="宋体" w:hAnsi="Arial" w:cs="Arial"/>
            <w:color w:val="136EC2"/>
            <w:kern w:val="0"/>
            <w:szCs w:val="21"/>
          </w:rPr>
          <w:t>买入返售金融资产</w:t>
        </w:r>
      </w:hyperlink>
      <w:r w:rsidRPr="00A95A03">
        <w:rPr>
          <w:rFonts w:ascii="Arial" w:eastAsia="宋体" w:hAnsi="Arial" w:cs="Arial"/>
          <w:color w:val="333333"/>
          <w:kern w:val="0"/>
          <w:szCs w:val="21"/>
        </w:rPr>
        <w:t>（不含</w:t>
      </w:r>
      <w:hyperlink r:id="rId20" w:tgtFrame="_blank" w:history="1">
        <w:r w:rsidRPr="00A95A03">
          <w:rPr>
            <w:rFonts w:ascii="Arial" w:eastAsia="宋体" w:hAnsi="Arial" w:cs="Arial"/>
            <w:color w:val="136EC2"/>
            <w:kern w:val="0"/>
            <w:szCs w:val="21"/>
          </w:rPr>
          <w:t>质押式回购</w:t>
        </w:r>
      </w:hyperlink>
      <w:r w:rsidRPr="00A95A03">
        <w:rPr>
          <w:rFonts w:ascii="Arial" w:eastAsia="宋体" w:hAnsi="Arial" w:cs="Arial"/>
          <w:color w:val="333333"/>
          <w:kern w:val="0"/>
          <w:szCs w:val="21"/>
        </w:rPr>
        <w:t>）等。</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（三）基金在任何交易日日终，持有的卖出</w:t>
      </w:r>
      <w:hyperlink r:id="rId21" w:tgtFrame="_blank" w:history="1">
        <w:r w:rsidRPr="00A95A03">
          <w:rPr>
            <w:rFonts w:ascii="Arial" w:eastAsia="宋体" w:hAnsi="Arial" w:cs="Arial"/>
            <w:color w:val="136EC2"/>
            <w:kern w:val="0"/>
            <w:szCs w:val="21"/>
          </w:rPr>
          <w:t>期货合约</w:t>
        </w:r>
      </w:hyperlink>
      <w:r w:rsidRPr="00A95A03">
        <w:rPr>
          <w:rFonts w:ascii="Arial" w:eastAsia="宋体" w:hAnsi="Arial" w:cs="Arial"/>
          <w:color w:val="333333"/>
          <w:kern w:val="0"/>
          <w:szCs w:val="21"/>
        </w:rPr>
        <w:t>价值不得超过基金持有的</w:t>
      </w:r>
      <w:hyperlink r:id="rId22" w:tgtFrame="_blank" w:history="1">
        <w:r w:rsidRPr="00A95A03">
          <w:rPr>
            <w:rFonts w:ascii="Arial" w:eastAsia="宋体" w:hAnsi="Arial" w:cs="Arial"/>
            <w:color w:val="136EC2"/>
            <w:kern w:val="0"/>
            <w:szCs w:val="21"/>
          </w:rPr>
          <w:t>股票总市值</w:t>
        </w:r>
      </w:hyperlink>
      <w:r w:rsidRPr="00A95A03">
        <w:rPr>
          <w:rFonts w:ascii="Arial" w:eastAsia="宋体" w:hAnsi="Arial" w:cs="Arial"/>
          <w:color w:val="333333"/>
          <w:kern w:val="0"/>
          <w:szCs w:val="21"/>
        </w:rPr>
        <w:t>的</w:t>
      </w:r>
      <w:r w:rsidRPr="00A95A03">
        <w:rPr>
          <w:rFonts w:ascii="Arial" w:eastAsia="宋体" w:hAnsi="Arial" w:cs="Arial"/>
          <w:color w:val="333333"/>
          <w:kern w:val="0"/>
          <w:szCs w:val="21"/>
        </w:rPr>
        <w:t>20%</w:t>
      </w:r>
      <w:r w:rsidRPr="00A95A03">
        <w:rPr>
          <w:rFonts w:ascii="Arial" w:eastAsia="宋体" w:hAnsi="Arial" w:cs="Arial"/>
          <w:color w:val="333333"/>
          <w:kern w:val="0"/>
          <w:szCs w:val="21"/>
        </w:rPr>
        <w:t>。</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基金管理公司应当按照</w:t>
      </w:r>
      <w:hyperlink r:id="rId23" w:tgtFrame="_blank" w:history="1">
        <w:r w:rsidRPr="00A95A03">
          <w:rPr>
            <w:rFonts w:ascii="Arial" w:eastAsia="宋体" w:hAnsi="Arial" w:cs="Arial"/>
            <w:color w:val="136EC2"/>
            <w:kern w:val="0"/>
            <w:szCs w:val="21"/>
          </w:rPr>
          <w:t>中国金融期货交易所</w:t>
        </w:r>
      </w:hyperlink>
      <w:r w:rsidRPr="00A95A03">
        <w:rPr>
          <w:rFonts w:ascii="Arial" w:eastAsia="宋体" w:hAnsi="Arial" w:cs="Arial"/>
          <w:color w:val="333333"/>
          <w:kern w:val="0"/>
          <w:szCs w:val="21"/>
        </w:rPr>
        <w:t>要求的内容、格式与时限向交易所报告所交易和持有的卖出</w:t>
      </w:r>
      <w:hyperlink r:id="rId24" w:tgtFrame="_blank" w:history="1">
        <w:r w:rsidRPr="00A95A03">
          <w:rPr>
            <w:rFonts w:ascii="Arial" w:eastAsia="宋体" w:hAnsi="Arial" w:cs="Arial"/>
            <w:color w:val="136EC2"/>
            <w:kern w:val="0"/>
            <w:szCs w:val="21"/>
          </w:rPr>
          <w:t>期货合约</w:t>
        </w:r>
      </w:hyperlink>
      <w:r w:rsidRPr="00A95A03">
        <w:rPr>
          <w:rFonts w:ascii="Arial" w:eastAsia="宋体" w:hAnsi="Arial" w:cs="Arial"/>
          <w:color w:val="333333"/>
          <w:kern w:val="0"/>
          <w:szCs w:val="21"/>
        </w:rPr>
        <w:t>情况、交易目的及对应的证券资产情况等。</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（四）基金所持有的</w:t>
      </w:r>
      <w:hyperlink r:id="rId25" w:tgtFrame="_blank" w:history="1">
        <w:r w:rsidRPr="00A95A03">
          <w:rPr>
            <w:rFonts w:ascii="Arial" w:eastAsia="宋体" w:hAnsi="Arial" w:cs="Arial"/>
            <w:color w:val="136EC2"/>
            <w:kern w:val="0"/>
            <w:szCs w:val="21"/>
          </w:rPr>
          <w:t>股票市值</w:t>
        </w:r>
      </w:hyperlink>
      <w:r w:rsidRPr="00A95A03">
        <w:rPr>
          <w:rFonts w:ascii="Arial" w:eastAsia="宋体" w:hAnsi="Arial" w:cs="Arial"/>
          <w:color w:val="333333"/>
          <w:kern w:val="0"/>
          <w:szCs w:val="21"/>
        </w:rPr>
        <w:t>和买入、卖出</w:t>
      </w:r>
      <w:hyperlink r:id="rId26" w:tgtFrame="_blank" w:history="1">
        <w:r w:rsidRPr="00A95A03">
          <w:rPr>
            <w:rFonts w:ascii="Arial" w:eastAsia="宋体" w:hAnsi="Arial" w:cs="Arial"/>
            <w:color w:val="136EC2"/>
            <w:kern w:val="0"/>
            <w:szCs w:val="21"/>
          </w:rPr>
          <w:t>股指期货合约</w:t>
        </w:r>
      </w:hyperlink>
      <w:r w:rsidRPr="00A95A03">
        <w:rPr>
          <w:rFonts w:ascii="Arial" w:eastAsia="宋体" w:hAnsi="Arial" w:cs="Arial"/>
          <w:color w:val="333333"/>
          <w:kern w:val="0"/>
          <w:szCs w:val="21"/>
        </w:rPr>
        <w:t>价值，合计（</w:t>
      </w:r>
      <w:hyperlink r:id="rId27" w:tgtFrame="_blank" w:history="1">
        <w:r w:rsidRPr="00A95A03">
          <w:rPr>
            <w:rFonts w:ascii="Arial" w:eastAsia="宋体" w:hAnsi="Arial" w:cs="Arial"/>
            <w:color w:val="136EC2"/>
            <w:kern w:val="0"/>
            <w:szCs w:val="21"/>
          </w:rPr>
          <w:t>轧差</w:t>
        </w:r>
      </w:hyperlink>
      <w:r w:rsidRPr="00A95A03">
        <w:rPr>
          <w:rFonts w:ascii="Arial" w:eastAsia="宋体" w:hAnsi="Arial" w:cs="Arial"/>
          <w:color w:val="333333"/>
          <w:kern w:val="0"/>
          <w:szCs w:val="21"/>
        </w:rPr>
        <w:t>计算）应当符合基金合同关于股票投资比例的有关约定。</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（五）基金在任何交易</w:t>
      </w:r>
      <w:hyperlink r:id="rId28" w:tgtFrame="_blank" w:history="1">
        <w:r w:rsidRPr="00A95A03">
          <w:rPr>
            <w:rFonts w:ascii="Arial" w:eastAsia="宋体" w:hAnsi="Arial" w:cs="Arial"/>
            <w:color w:val="136EC2"/>
            <w:kern w:val="0"/>
            <w:szCs w:val="21"/>
          </w:rPr>
          <w:t>日内交易</w:t>
        </w:r>
      </w:hyperlink>
      <w:r w:rsidRPr="00A95A03">
        <w:rPr>
          <w:rFonts w:ascii="Arial" w:eastAsia="宋体" w:hAnsi="Arial" w:cs="Arial"/>
          <w:color w:val="333333"/>
          <w:kern w:val="0"/>
          <w:szCs w:val="21"/>
        </w:rPr>
        <w:t>（不包括</w:t>
      </w:r>
      <w:hyperlink r:id="rId29" w:tgtFrame="_blank" w:history="1">
        <w:r w:rsidRPr="00A95A03">
          <w:rPr>
            <w:rFonts w:ascii="Arial" w:eastAsia="宋体" w:hAnsi="Arial" w:cs="Arial"/>
            <w:color w:val="136EC2"/>
            <w:kern w:val="0"/>
            <w:szCs w:val="21"/>
          </w:rPr>
          <w:t>平仓</w:t>
        </w:r>
      </w:hyperlink>
      <w:r w:rsidRPr="00A95A03">
        <w:rPr>
          <w:rFonts w:ascii="Arial" w:eastAsia="宋体" w:hAnsi="Arial" w:cs="Arial"/>
          <w:color w:val="333333"/>
          <w:kern w:val="0"/>
          <w:szCs w:val="21"/>
        </w:rPr>
        <w:t>）的</w:t>
      </w:r>
      <w:hyperlink r:id="rId30" w:tgtFrame="_blank" w:history="1">
        <w:r w:rsidRPr="00A95A03">
          <w:rPr>
            <w:rFonts w:ascii="Arial" w:eastAsia="宋体" w:hAnsi="Arial" w:cs="Arial"/>
            <w:color w:val="136EC2"/>
            <w:kern w:val="0"/>
            <w:szCs w:val="21"/>
          </w:rPr>
          <w:t>股指期货合约</w:t>
        </w:r>
      </w:hyperlink>
      <w:r w:rsidRPr="00A95A03">
        <w:rPr>
          <w:rFonts w:ascii="Arial" w:eastAsia="宋体" w:hAnsi="Arial" w:cs="Arial"/>
          <w:color w:val="333333"/>
          <w:kern w:val="0"/>
          <w:szCs w:val="21"/>
        </w:rPr>
        <w:t>的成交金额不得超过上一交易日</w:t>
      </w:r>
      <w:hyperlink r:id="rId31" w:tgtFrame="_blank" w:history="1">
        <w:r w:rsidRPr="00A95A03">
          <w:rPr>
            <w:rFonts w:ascii="Arial" w:eastAsia="宋体" w:hAnsi="Arial" w:cs="Arial"/>
            <w:color w:val="136EC2"/>
            <w:kern w:val="0"/>
            <w:szCs w:val="21"/>
          </w:rPr>
          <w:t>基金资产净值</w:t>
        </w:r>
      </w:hyperlink>
      <w:r w:rsidRPr="00A95A03">
        <w:rPr>
          <w:rFonts w:ascii="Arial" w:eastAsia="宋体" w:hAnsi="Arial" w:cs="Arial"/>
          <w:color w:val="333333"/>
          <w:kern w:val="0"/>
          <w:szCs w:val="21"/>
        </w:rPr>
        <w:t>的</w:t>
      </w:r>
      <w:r w:rsidRPr="00A95A03">
        <w:rPr>
          <w:rFonts w:ascii="Arial" w:eastAsia="宋体" w:hAnsi="Arial" w:cs="Arial"/>
          <w:color w:val="333333"/>
          <w:kern w:val="0"/>
          <w:szCs w:val="21"/>
        </w:rPr>
        <w:t>20%</w:t>
      </w:r>
      <w:r w:rsidRPr="00A95A03">
        <w:rPr>
          <w:rFonts w:ascii="Arial" w:eastAsia="宋体" w:hAnsi="Arial" w:cs="Arial"/>
          <w:color w:val="333333"/>
          <w:kern w:val="0"/>
          <w:szCs w:val="21"/>
        </w:rPr>
        <w:t>。</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（六）开放式基金（不含</w:t>
      </w:r>
      <w:r w:rsidRPr="00A95A03">
        <w:rPr>
          <w:rFonts w:ascii="Arial" w:eastAsia="宋体" w:hAnsi="Arial" w:cs="Arial"/>
          <w:color w:val="333333"/>
          <w:kern w:val="0"/>
          <w:szCs w:val="21"/>
        </w:rPr>
        <w:t>ETF</w:t>
      </w:r>
      <w:r w:rsidRPr="00A95A03">
        <w:rPr>
          <w:rFonts w:ascii="Arial" w:eastAsia="宋体" w:hAnsi="Arial" w:cs="Arial"/>
          <w:color w:val="333333"/>
          <w:kern w:val="0"/>
          <w:szCs w:val="21"/>
        </w:rPr>
        <w:t>）每个交易日日终在扣除</w:t>
      </w:r>
      <w:hyperlink r:id="rId32" w:tgtFrame="_blank" w:history="1">
        <w:r w:rsidRPr="00A95A03">
          <w:rPr>
            <w:rFonts w:ascii="Arial" w:eastAsia="宋体" w:hAnsi="Arial" w:cs="Arial"/>
            <w:color w:val="136EC2"/>
            <w:kern w:val="0"/>
            <w:szCs w:val="21"/>
          </w:rPr>
          <w:t>股指期货合约</w:t>
        </w:r>
      </w:hyperlink>
      <w:r w:rsidRPr="00A95A03">
        <w:rPr>
          <w:rFonts w:ascii="Arial" w:eastAsia="宋体" w:hAnsi="Arial" w:cs="Arial"/>
          <w:color w:val="333333"/>
          <w:kern w:val="0"/>
          <w:szCs w:val="21"/>
        </w:rPr>
        <w:t>需缴纳的</w:t>
      </w:r>
      <w:hyperlink r:id="rId33" w:tgtFrame="_blank" w:history="1">
        <w:r w:rsidRPr="00A95A03">
          <w:rPr>
            <w:rFonts w:ascii="Arial" w:eastAsia="宋体" w:hAnsi="Arial" w:cs="Arial"/>
            <w:color w:val="136EC2"/>
            <w:kern w:val="0"/>
            <w:szCs w:val="21"/>
          </w:rPr>
          <w:t>交易保证金</w:t>
        </w:r>
      </w:hyperlink>
      <w:r w:rsidRPr="00A95A03">
        <w:rPr>
          <w:rFonts w:ascii="Arial" w:eastAsia="宋体" w:hAnsi="Arial" w:cs="Arial"/>
          <w:color w:val="333333"/>
          <w:kern w:val="0"/>
          <w:szCs w:val="21"/>
        </w:rPr>
        <w:t>后，应当保持不低于</w:t>
      </w:r>
      <w:hyperlink r:id="rId34" w:tgtFrame="_blank" w:history="1">
        <w:r w:rsidRPr="00A95A03">
          <w:rPr>
            <w:rFonts w:ascii="Arial" w:eastAsia="宋体" w:hAnsi="Arial" w:cs="Arial"/>
            <w:color w:val="136EC2"/>
            <w:kern w:val="0"/>
            <w:szCs w:val="21"/>
          </w:rPr>
          <w:t>基金资产净值</w:t>
        </w:r>
      </w:hyperlink>
      <w:r w:rsidRPr="00A95A03">
        <w:rPr>
          <w:rFonts w:ascii="Arial" w:eastAsia="宋体" w:hAnsi="Arial" w:cs="Arial"/>
          <w:color w:val="333333"/>
          <w:kern w:val="0"/>
          <w:szCs w:val="21"/>
        </w:rPr>
        <w:t>5%</w:t>
      </w:r>
      <w:r w:rsidRPr="00A95A03">
        <w:rPr>
          <w:rFonts w:ascii="Arial" w:eastAsia="宋体" w:hAnsi="Arial" w:cs="Arial"/>
          <w:color w:val="333333"/>
          <w:kern w:val="0"/>
          <w:szCs w:val="21"/>
        </w:rPr>
        <w:t>的现金或到期日在一年以内的</w:t>
      </w:r>
      <w:hyperlink r:id="rId35" w:tgtFrame="_blank" w:history="1">
        <w:r w:rsidRPr="00A95A03">
          <w:rPr>
            <w:rFonts w:ascii="Arial" w:eastAsia="宋体" w:hAnsi="Arial" w:cs="Arial"/>
            <w:color w:val="136EC2"/>
            <w:kern w:val="0"/>
            <w:szCs w:val="21"/>
          </w:rPr>
          <w:t>政府债券</w:t>
        </w:r>
      </w:hyperlink>
      <w:r w:rsidRPr="00A95A03">
        <w:rPr>
          <w:rFonts w:ascii="Arial" w:eastAsia="宋体" w:hAnsi="Arial" w:cs="Arial"/>
          <w:color w:val="333333"/>
          <w:kern w:val="0"/>
          <w:szCs w:val="21"/>
        </w:rPr>
        <w:t>。</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（七）封闭式基金、</w:t>
      </w:r>
      <w:r w:rsidRPr="00A95A03">
        <w:rPr>
          <w:rFonts w:ascii="Arial" w:eastAsia="宋体" w:hAnsi="Arial" w:cs="Arial"/>
          <w:color w:val="333333"/>
          <w:kern w:val="0"/>
          <w:szCs w:val="21"/>
        </w:rPr>
        <w:t>ETF</w:t>
      </w:r>
      <w:r w:rsidRPr="00A95A03">
        <w:rPr>
          <w:rFonts w:ascii="Arial" w:eastAsia="宋体" w:hAnsi="Arial" w:cs="Arial"/>
          <w:color w:val="333333"/>
          <w:kern w:val="0"/>
          <w:szCs w:val="21"/>
        </w:rPr>
        <w:t>每个交易日日终在扣除</w:t>
      </w:r>
      <w:hyperlink r:id="rId36" w:tgtFrame="_blank" w:history="1">
        <w:r w:rsidRPr="00A95A03">
          <w:rPr>
            <w:rFonts w:ascii="Arial" w:eastAsia="宋体" w:hAnsi="Arial" w:cs="Arial"/>
            <w:color w:val="136EC2"/>
            <w:kern w:val="0"/>
            <w:szCs w:val="21"/>
          </w:rPr>
          <w:t>股指期货合约</w:t>
        </w:r>
      </w:hyperlink>
      <w:r w:rsidRPr="00A95A03">
        <w:rPr>
          <w:rFonts w:ascii="Arial" w:eastAsia="宋体" w:hAnsi="Arial" w:cs="Arial"/>
          <w:color w:val="333333"/>
          <w:kern w:val="0"/>
          <w:szCs w:val="21"/>
        </w:rPr>
        <w:t>需缴纳的</w:t>
      </w:r>
      <w:hyperlink r:id="rId37" w:tgtFrame="_blank" w:history="1">
        <w:r w:rsidRPr="00A95A03">
          <w:rPr>
            <w:rFonts w:ascii="Arial" w:eastAsia="宋体" w:hAnsi="Arial" w:cs="Arial"/>
            <w:color w:val="136EC2"/>
            <w:kern w:val="0"/>
            <w:szCs w:val="21"/>
          </w:rPr>
          <w:t>交易保证金</w:t>
        </w:r>
      </w:hyperlink>
      <w:r w:rsidRPr="00A95A03">
        <w:rPr>
          <w:rFonts w:ascii="Arial" w:eastAsia="宋体" w:hAnsi="Arial" w:cs="Arial"/>
          <w:color w:val="333333"/>
          <w:kern w:val="0"/>
          <w:szCs w:val="21"/>
        </w:rPr>
        <w:t>后，应当保持不低于交易保证金一倍的现金。</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（八）保本基金参与股指期货交易不受上述第（一）项至第（七）项的限制，但应当符合基金合同约定的保本策略和投资目标，且每日所持</w:t>
      </w:r>
      <w:hyperlink r:id="rId38" w:tgtFrame="_blank" w:history="1">
        <w:r w:rsidRPr="00A95A03">
          <w:rPr>
            <w:rFonts w:ascii="Arial" w:eastAsia="宋体" w:hAnsi="Arial" w:cs="Arial"/>
            <w:color w:val="136EC2"/>
            <w:kern w:val="0"/>
            <w:szCs w:val="21"/>
          </w:rPr>
          <w:t>期货合约</w:t>
        </w:r>
      </w:hyperlink>
      <w:r w:rsidRPr="00A95A03">
        <w:rPr>
          <w:rFonts w:ascii="Arial" w:eastAsia="宋体" w:hAnsi="Arial" w:cs="Arial"/>
          <w:color w:val="333333"/>
          <w:kern w:val="0"/>
          <w:szCs w:val="21"/>
        </w:rPr>
        <w:t>及有价证券的最大可能损失不得超过基金净资产扣除用于保本部分资产后的余额。担保机构应当充分了解保本基金的股指期货交易策略和可能损失，并在担保协议中作出专门说明。</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lastRenderedPageBreak/>
        <w:t>（九）法律法规、基金合同规定的其他比例限制。</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因证券期货市场波动、基金规模变动等</w:t>
      </w:r>
      <w:hyperlink r:id="rId39" w:tgtFrame="_blank" w:history="1">
        <w:r w:rsidRPr="00A95A03">
          <w:rPr>
            <w:rFonts w:ascii="Arial" w:eastAsia="宋体" w:hAnsi="Arial" w:cs="Arial"/>
            <w:color w:val="136EC2"/>
            <w:kern w:val="0"/>
            <w:szCs w:val="21"/>
          </w:rPr>
          <w:t>基金管理人</w:t>
        </w:r>
      </w:hyperlink>
      <w:r w:rsidRPr="00A95A03">
        <w:rPr>
          <w:rFonts w:ascii="Arial" w:eastAsia="宋体" w:hAnsi="Arial" w:cs="Arial"/>
          <w:color w:val="333333"/>
          <w:kern w:val="0"/>
          <w:szCs w:val="21"/>
        </w:rPr>
        <w:t>之外的因素致使基金投资比例不符合上述要求的，基金管理人应当在</w:t>
      </w:r>
      <w:r w:rsidRPr="00A95A03">
        <w:rPr>
          <w:rFonts w:ascii="Arial" w:eastAsia="宋体" w:hAnsi="Arial" w:cs="Arial"/>
          <w:color w:val="333333"/>
          <w:kern w:val="0"/>
          <w:szCs w:val="21"/>
        </w:rPr>
        <w:t>10</w:t>
      </w:r>
      <w:r w:rsidRPr="00A95A03">
        <w:rPr>
          <w:rFonts w:ascii="Arial" w:eastAsia="宋体" w:hAnsi="Arial" w:cs="Arial"/>
          <w:color w:val="333333"/>
          <w:kern w:val="0"/>
          <w:szCs w:val="21"/>
        </w:rPr>
        <w:t>个交易日之内调整完毕。</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第六条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本指引施行前已经获得中国证监会核准的基金，</w:t>
      </w:r>
      <w:hyperlink r:id="rId40" w:tgtFrame="_blank" w:history="1">
        <w:r w:rsidRPr="00A95A03">
          <w:rPr>
            <w:rFonts w:ascii="Arial" w:eastAsia="宋体" w:hAnsi="Arial" w:cs="Arial"/>
            <w:color w:val="136EC2"/>
            <w:kern w:val="0"/>
            <w:szCs w:val="21"/>
          </w:rPr>
          <w:t>基金管理人</w:t>
        </w:r>
      </w:hyperlink>
      <w:r w:rsidRPr="00A95A03">
        <w:rPr>
          <w:rFonts w:ascii="Arial" w:eastAsia="宋体" w:hAnsi="Arial" w:cs="Arial"/>
          <w:color w:val="333333"/>
          <w:kern w:val="0"/>
          <w:szCs w:val="21"/>
        </w:rPr>
        <w:t>应当根据法律法规、基金合同和本指引的有关要求，决定是否参与股指期货交易。拟参与股指期货交易的，</w:t>
      </w:r>
      <w:hyperlink r:id="rId41" w:tgtFrame="_blank" w:history="1">
        <w:r w:rsidRPr="00A95A03">
          <w:rPr>
            <w:rFonts w:ascii="Arial" w:eastAsia="宋体" w:hAnsi="Arial" w:cs="Arial"/>
            <w:color w:val="136EC2"/>
            <w:kern w:val="0"/>
            <w:szCs w:val="21"/>
          </w:rPr>
          <w:t>基金管理人</w:t>
        </w:r>
      </w:hyperlink>
      <w:r w:rsidRPr="00A95A03">
        <w:rPr>
          <w:rFonts w:ascii="Arial" w:eastAsia="宋体" w:hAnsi="Arial" w:cs="Arial"/>
          <w:color w:val="333333"/>
          <w:kern w:val="0"/>
          <w:szCs w:val="21"/>
        </w:rPr>
        <w:t>应当在基金合同中明确相应当的投资策略、比例限制、</w:t>
      </w:r>
      <w:hyperlink r:id="rId42" w:tgtFrame="_blank" w:history="1">
        <w:r w:rsidRPr="00A95A03">
          <w:rPr>
            <w:rFonts w:ascii="Arial" w:eastAsia="宋体" w:hAnsi="Arial" w:cs="Arial"/>
            <w:color w:val="136EC2"/>
            <w:kern w:val="0"/>
            <w:szCs w:val="21"/>
          </w:rPr>
          <w:t>信息披露</w:t>
        </w:r>
      </w:hyperlink>
      <w:r w:rsidRPr="00A95A03">
        <w:rPr>
          <w:rFonts w:ascii="Arial" w:eastAsia="宋体" w:hAnsi="Arial" w:cs="Arial"/>
          <w:color w:val="333333"/>
          <w:kern w:val="0"/>
          <w:szCs w:val="21"/>
        </w:rPr>
        <w:t>方式等，并履行相应程序。</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第七条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本指引施行后申请募集的基金，拟参与股指期货交易的，应当在基金合同、</w:t>
      </w:r>
      <w:hyperlink r:id="rId43" w:tgtFrame="_blank" w:history="1">
        <w:r w:rsidRPr="00A95A03">
          <w:rPr>
            <w:rFonts w:ascii="Arial" w:eastAsia="宋体" w:hAnsi="Arial" w:cs="Arial"/>
            <w:color w:val="136EC2"/>
            <w:kern w:val="0"/>
            <w:szCs w:val="21"/>
          </w:rPr>
          <w:t>招募说明书</w:t>
        </w:r>
      </w:hyperlink>
      <w:r w:rsidRPr="00A95A03">
        <w:rPr>
          <w:rFonts w:ascii="Arial" w:eastAsia="宋体" w:hAnsi="Arial" w:cs="Arial"/>
          <w:color w:val="333333"/>
          <w:kern w:val="0"/>
          <w:szCs w:val="21"/>
        </w:rPr>
        <w:t>、</w:t>
      </w:r>
      <w:hyperlink r:id="rId44" w:tgtFrame="_blank" w:history="1">
        <w:r w:rsidRPr="00A95A03">
          <w:rPr>
            <w:rFonts w:ascii="Arial" w:eastAsia="宋体" w:hAnsi="Arial" w:cs="Arial"/>
            <w:color w:val="136EC2"/>
            <w:kern w:val="0"/>
            <w:szCs w:val="21"/>
          </w:rPr>
          <w:t>产品方案</w:t>
        </w:r>
      </w:hyperlink>
      <w:r w:rsidRPr="00A95A03">
        <w:rPr>
          <w:rFonts w:ascii="Arial" w:eastAsia="宋体" w:hAnsi="Arial" w:cs="Arial"/>
          <w:color w:val="333333"/>
          <w:kern w:val="0"/>
          <w:szCs w:val="21"/>
        </w:rPr>
        <w:t>等募集申报材料中列明股指期货交易方案等相关内容。</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第八条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基金应当在季度报告、半年度报告、年度报告等定期报告和</w:t>
      </w:r>
      <w:hyperlink r:id="rId45" w:tgtFrame="_blank" w:history="1">
        <w:r w:rsidRPr="00A95A03">
          <w:rPr>
            <w:rFonts w:ascii="Arial" w:eastAsia="宋体" w:hAnsi="Arial" w:cs="Arial"/>
            <w:color w:val="136EC2"/>
            <w:kern w:val="0"/>
            <w:szCs w:val="21"/>
          </w:rPr>
          <w:t>招募说明书</w:t>
        </w:r>
      </w:hyperlink>
      <w:r w:rsidRPr="00A95A03">
        <w:rPr>
          <w:rFonts w:ascii="Arial" w:eastAsia="宋体" w:hAnsi="Arial" w:cs="Arial"/>
          <w:color w:val="333333"/>
          <w:kern w:val="0"/>
          <w:szCs w:val="21"/>
        </w:rPr>
        <w:t>（更新）等文件中披露股指期货交易情况，包括</w:t>
      </w:r>
      <w:hyperlink r:id="rId46" w:tgtFrame="_blank" w:history="1">
        <w:r w:rsidRPr="00A95A03">
          <w:rPr>
            <w:rFonts w:ascii="Arial" w:eastAsia="宋体" w:hAnsi="Arial" w:cs="Arial"/>
            <w:color w:val="136EC2"/>
            <w:kern w:val="0"/>
            <w:szCs w:val="21"/>
          </w:rPr>
          <w:t>投资政策</w:t>
        </w:r>
      </w:hyperlink>
      <w:r w:rsidRPr="00A95A03">
        <w:rPr>
          <w:rFonts w:ascii="Arial" w:eastAsia="宋体" w:hAnsi="Arial" w:cs="Arial"/>
          <w:color w:val="333333"/>
          <w:kern w:val="0"/>
          <w:szCs w:val="21"/>
        </w:rPr>
        <w:t>、</w:t>
      </w:r>
      <w:hyperlink r:id="rId47" w:tgtFrame="_blank" w:history="1">
        <w:r w:rsidRPr="00A95A03">
          <w:rPr>
            <w:rFonts w:ascii="Arial" w:eastAsia="宋体" w:hAnsi="Arial" w:cs="Arial"/>
            <w:color w:val="136EC2"/>
            <w:kern w:val="0"/>
            <w:szCs w:val="21"/>
          </w:rPr>
          <w:t>持仓</w:t>
        </w:r>
      </w:hyperlink>
      <w:r w:rsidRPr="00A95A03">
        <w:rPr>
          <w:rFonts w:ascii="Arial" w:eastAsia="宋体" w:hAnsi="Arial" w:cs="Arial"/>
          <w:color w:val="333333"/>
          <w:kern w:val="0"/>
          <w:szCs w:val="21"/>
        </w:rPr>
        <w:t>情况、损益情况、风险指标等，并充分揭示股指期货交易对基金总体风险的影响以及是否符合既定的投资政策和投资目标。</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第九条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基金管理公司和托管银行应当充分了解股指期货的特点和各种风险，真正从保护</w:t>
      </w:r>
      <w:hyperlink r:id="rId48" w:tgtFrame="_blank" w:history="1">
        <w:r w:rsidRPr="00A95A03">
          <w:rPr>
            <w:rFonts w:ascii="Arial" w:eastAsia="宋体" w:hAnsi="Arial" w:cs="Arial"/>
            <w:color w:val="136EC2"/>
            <w:kern w:val="0"/>
            <w:szCs w:val="21"/>
          </w:rPr>
          <w:t>基金份额持有人</w:t>
        </w:r>
      </w:hyperlink>
      <w:r w:rsidRPr="00A95A03">
        <w:rPr>
          <w:rFonts w:ascii="Arial" w:eastAsia="宋体" w:hAnsi="Arial" w:cs="Arial"/>
          <w:color w:val="333333"/>
          <w:kern w:val="0"/>
          <w:szCs w:val="21"/>
        </w:rPr>
        <w:t>利益的角度出发，以审慎的态度对待基金参与股指期货交易的问题。基金管理公司拟运用基金财产参与股指期货交易的，应当根据公司自身的发展战略和总体规划，综合衡量现阶段的风险管理水平、技术系统和专业人员准备情况，审慎评估参与股指期货交易的能力，科学决策参与股指期货交易的广度和深度，并将相关投资决策流程和风险控制制度等报公司董事会批准。</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第十条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基金管理公司应当针对股指期货交易制订严格的授权管理制度和</w:t>
      </w:r>
      <w:hyperlink r:id="rId49" w:tgtFrame="_blank" w:history="1">
        <w:r w:rsidRPr="00A95A03">
          <w:rPr>
            <w:rFonts w:ascii="Arial" w:eastAsia="宋体" w:hAnsi="Arial" w:cs="Arial"/>
            <w:color w:val="136EC2"/>
            <w:kern w:val="0"/>
            <w:szCs w:val="21"/>
          </w:rPr>
          <w:t>投资决策</w:t>
        </w:r>
      </w:hyperlink>
      <w:r w:rsidRPr="00A95A03">
        <w:rPr>
          <w:rFonts w:ascii="Arial" w:eastAsia="宋体" w:hAnsi="Arial" w:cs="Arial"/>
          <w:color w:val="333333"/>
          <w:kern w:val="0"/>
          <w:szCs w:val="21"/>
        </w:rPr>
        <w:t>流程，确保研究分析、投资决策、交易执行及风险控制各环节的独立运作，并明确相关岗位职责。此外，应当建立股指期货交易决策部门或小组，并授权特定的管理人员负责股指期货的投资审批事项。</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第十一条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基金管理公司和托管银行应当强化内部控制制度，完善风险管理系统，做好人员、制度、业务流程、技术系统等方面的培训和准备工作</w:t>
      </w:r>
      <w:r w:rsidRPr="00A95A03">
        <w:rPr>
          <w:rFonts w:ascii="Arial" w:eastAsia="宋体" w:hAnsi="Arial" w:cs="Arial"/>
          <w:color w:val="333333"/>
          <w:kern w:val="0"/>
          <w:szCs w:val="21"/>
        </w:rPr>
        <w:t>,</w:t>
      </w:r>
      <w:r w:rsidRPr="00A95A03">
        <w:rPr>
          <w:rFonts w:ascii="Arial" w:eastAsia="宋体" w:hAnsi="Arial" w:cs="Arial"/>
          <w:color w:val="333333"/>
          <w:kern w:val="0"/>
          <w:szCs w:val="21"/>
        </w:rPr>
        <w:t>并在上报基金募集申请等相关材料时附上相关制度及准备情况的说明。</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第十二条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基金管理公司在参与股指期货交易的过程中，应当根据有关法律法规的要求，规范运作，不得从事</w:t>
      </w:r>
      <w:hyperlink r:id="rId50" w:tgtFrame="_blank" w:history="1">
        <w:r w:rsidRPr="00A95A03">
          <w:rPr>
            <w:rFonts w:ascii="Arial" w:eastAsia="宋体" w:hAnsi="Arial" w:cs="Arial"/>
            <w:color w:val="136EC2"/>
            <w:kern w:val="0"/>
            <w:szCs w:val="21"/>
          </w:rPr>
          <w:t>内幕交易</w:t>
        </w:r>
      </w:hyperlink>
      <w:r w:rsidRPr="00A95A03">
        <w:rPr>
          <w:rFonts w:ascii="Arial" w:eastAsia="宋体" w:hAnsi="Arial" w:cs="Arial"/>
          <w:color w:val="333333"/>
          <w:kern w:val="0"/>
          <w:szCs w:val="21"/>
        </w:rPr>
        <w:t>、操纵证券及</w:t>
      </w:r>
      <w:hyperlink r:id="rId51" w:tgtFrame="_blank" w:history="1">
        <w:r w:rsidRPr="00A95A03">
          <w:rPr>
            <w:rFonts w:ascii="Arial" w:eastAsia="宋体" w:hAnsi="Arial" w:cs="Arial"/>
            <w:color w:val="136EC2"/>
            <w:kern w:val="0"/>
            <w:szCs w:val="21"/>
          </w:rPr>
          <w:t>期货价格</w:t>
        </w:r>
      </w:hyperlink>
      <w:r w:rsidRPr="00A95A03">
        <w:rPr>
          <w:rFonts w:ascii="Arial" w:eastAsia="宋体" w:hAnsi="Arial" w:cs="Arial"/>
          <w:color w:val="333333"/>
          <w:kern w:val="0"/>
          <w:szCs w:val="21"/>
        </w:rPr>
        <w:t>、进行</w:t>
      </w:r>
      <w:hyperlink r:id="rId52" w:tgtFrame="_blank" w:history="1">
        <w:r w:rsidRPr="00A95A03">
          <w:rPr>
            <w:rFonts w:ascii="Arial" w:eastAsia="宋体" w:hAnsi="Arial" w:cs="Arial"/>
            <w:color w:val="136EC2"/>
            <w:kern w:val="0"/>
            <w:szCs w:val="21"/>
          </w:rPr>
          <w:t>利益输送</w:t>
        </w:r>
      </w:hyperlink>
      <w:r w:rsidRPr="00A95A03">
        <w:rPr>
          <w:rFonts w:ascii="Arial" w:eastAsia="宋体" w:hAnsi="Arial" w:cs="Arial"/>
          <w:color w:val="333333"/>
          <w:kern w:val="0"/>
          <w:szCs w:val="21"/>
        </w:rPr>
        <w:t>及其他不正当的交易活动。</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第十三条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基金管理公司、基金托管银行应当根据</w:t>
      </w:r>
      <w:hyperlink r:id="rId53" w:tgtFrame="_blank" w:history="1">
        <w:r w:rsidRPr="00A95A03">
          <w:rPr>
            <w:rFonts w:ascii="Arial" w:eastAsia="宋体" w:hAnsi="Arial" w:cs="Arial"/>
            <w:color w:val="136EC2"/>
            <w:kern w:val="0"/>
            <w:szCs w:val="21"/>
          </w:rPr>
          <w:t>中国金融期货交易所</w:t>
        </w:r>
      </w:hyperlink>
      <w:r w:rsidRPr="00A95A03">
        <w:rPr>
          <w:rFonts w:ascii="Arial" w:eastAsia="宋体" w:hAnsi="Arial" w:cs="Arial"/>
          <w:color w:val="333333"/>
          <w:kern w:val="0"/>
          <w:szCs w:val="21"/>
        </w:rPr>
        <w:t>的相关规定，确定基金参与股指期货交易的交易结算模式，明确交易执行、资金划拨、</w:t>
      </w:r>
      <w:hyperlink r:id="rId54" w:tgtFrame="_blank" w:history="1">
        <w:r w:rsidRPr="00A95A03">
          <w:rPr>
            <w:rFonts w:ascii="Arial" w:eastAsia="宋体" w:hAnsi="Arial" w:cs="Arial"/>
            <w:color w:val="136EC2"/>
            <w:kern w:val="0"/>
            <w:szCs w:val="21"/>
          </w:rPr>
          <w:t>资金清算</w:t>
        </w:r>
      </w:hyperlink>
      <w:r w:rsidRPr="00A95A03">
        <w:rPr>
          <w:rFonts w:ascii="Arial" w:eastAsia="宋体" w:hAnsi="Arial" w:cs="Arial"/>
          <w:color w:val="333333"/>
          <w:kern w:val="0"/>
          <w:szCs w:val="21"/>
        </w:rPr>
        <w:t>、会计核算、保证金存管等业务中的权利和义务，建立资金安全保障机制。基金托管银行应当加强对基金参与股指期货交易的监督、核查和风险控制，切实保护</w:t>
      </w:r>
      <w:hyperlink r:id="rId55" w:tgtFrame="_blank" w:history="1">
        <w:r w:rsidRPr="00A95A03">
          <w:rPr>
            <w:rFonts w:ascii="Arial" w:eastAsia="宋体" w:hAnsi="Arial" w:cs="Arial"/>
            <w:color w:val="136EC2"/>
            <w:kern w:val="0"/>
            <w:szCs w:val="21"/>
          </w:rPr>
          <w:t>基金份额持有人</w:t>
        </w:r>
      </w:hyperlink>
      <w:r w:rsidRPr="00A95A03">
        <w:rPr>
          <w:rFonts w:ascii="Arial" w:eastAsia="宋体" w:hAnsi="Arial" w:cs="Arial"/>
          <w:color w:val="333333"/>
          <w:kern w:val="0"/>
          <w:szCs w:val="21"/>
        </w:rPr>
        <w:t>的合法权益。</w:t>
      </w:r>
    </w:p>
    <w:p w:rsidR="00A95A03" w:rsidRPr="00A95A03" w:rsidRDefault="00A95A03" w:rsidP="00A95A03">
      <w:pPr>
        <w:widowControl/>
        <w:shd w:val="clear" w:color="auto" w:fill="FFFFFF"/>
        <w:spacing w:line="360" w:lineRule="atLeast"/>
        <w:ind w:firstLine="480"/>
        <w:jc w:val="left"/>
        <w:rPr>
          <w:rFonts w:ascii="Arial" w:eastAsia="宋体" w:hAnsi="Arial" w:cs="Arial"/>
          <w:color w:val="333333"/>
          <w:kern w:val="0"/>
          <w:szCs w:val="21"/>
        </w:rPr>
      </w:pPr>
      <w:r w:rsidRPr="00A95A03">
        <w:rPr>
          <w:rFonts w:ascii="Arial" w:eastAsia="宋体" w:hAnsi="Arial" w:cs="Arial"/>
          <w:color w:val="333333"/>
          <w:kern w:val="0"/>
          <w:szCs w:val="21"/>
        </w:rPr>
        <w:t>第十四条</w:t>
      </w:r>
      <w:r w:rsidRPr="00A95A03">
        <w:rPr>
          <w:rFonts w:ascii="Arial" w:eastAsia="宋体" w:hAnsi="Arial" w:cs="Arial"/>
          <w:color w:val="333333"/>
          <w:kern w:val="0"/>
          <w:szCs w:val="21"/>
        </w:rPr>
        <w:t xml:space="preserve"> </w:t>
      </w:r>
      <w:r w:rsidRPr="00A95A03">
        <w:rPr>
          <w:rFonts w:ascii="Arial" w:eastAsia="宋体" w:hAnsi="Arial" w:cs="Arial"/>
          <w:color w:val="333333"/>
          <w:kern w:val="0"/>
          <w:szCs w:val="21"/>
        </w:rPr>
        <w:t>本指引自公布之日起施行。</w:t>
      </w:r>
      <w:r w:rsidRPr="00A95A03">
        <w:rPr>
          <w:rFonts w:ascii="Arial" w:eastAsia="宋体" w:hAnsi="Arial" w:cs="Arial"/>
          <w:color w:val="3366CC"/>
          <w:kern w:val="0"/>
          <w:szCs w:val="21"/>
          <w:vertAlign w:val="superscript"/>
        </w:rPr>
        <w:t>[1]</w:t>
      </w:r>
    </w:p>
    <w:p w:rsidR="008F31D6" w:rsidRDefault="00A95A03">
      <w:bookmarkStart w:id="0" w:name="_GoBack"/>
      <w:bookmarkEnd w:id="0"/>
    </w:p>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A03"/>
    <w:rsid w:val="004C755D"/>
    <w:rsid w:val="00761322"/>
    <w:rsid w:val="00A95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5A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5A03"/>
    <w:rPr>
      <w:rFonts w:ascii="宋体" w:eastAsia="宋体" w:hAnsi="宋体" w:cs="宋体"/>
      <w:b/>
      <w:bCs/>
      <w:kern w:val="0"/>
      <w:sz w:val="36"/>
      <w:szCs w:val="36"/>
    </w:rPr>
  </w:style>
  <w:style w:type="character" w:customStyle="1" w:styleId="headline-content">
    <w:name w:val="headline-content"/>
    <w:basedOn w:val="a0"/>
    <w:rsid w:val="00A95A03"/>
  </w:style>
  <w:style w:type="character" w:customStyle="1" w:styleId="textedit">
    <w:name w:val="text_edit"/>
    <w:basedOn w:val="a0"/>
    <w:rsid w:val="00A95A03"/>
  </w:style>
  <w:style w:type="character" w:styleId="a3">
    <w:name w:val="Hyperlink"/>
    <w:basedOn w:val="a0"/>
    <w:uiPriority w:val="99"/>
    <w:semiHidden/>
    <w:unhideWhenUsed/>
    <w:rsid w:val="00A95A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5A0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5A03"/>
    <w:rPr>
      <w:rFonts w:ascii="宋体" w:eastAsia="宋体" w:hAnsi="宋体" w:cs="宋体"/>
      <w:b/>
      <w:bCs/>
      <w:kern w:val="0"/>
      <w:sz w:val="36"/>
      <w:szCs w:val="36"/>
    </w:rPr>
  </w:style>
  <w:style w:type="character" w:customStyle="1" w:styleId="headline-content">
    <w:name w:val="headline-content"/>
    <w:basedOn w:val="a0"/>
    <w:rsid w:val="00A95A03"/>
  </w:style>
  <w:style w:type="character" w:customStyle="1" w:styleId="textedit">
    <w:name w:val="text_edit"/>
    <w:basedOn w:val="a0"/>
    <w:rsid w:val="00A95A03"/>
  </w:style>
  <w:style w:type="character" w:styleId="a3">
    <w:name w:val="Hyperlink"/>
    <w:basedOn w:val="a0"/>
    <w:uiPriority w:val="99"/>
    <w:semiHidden/>
    <w:unhideWhenUsed/>
    <w:rsid w:val="00A95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644258">
      <w:bodyDiv w:val="1"/>
      <w:marLeft w:val="0"/>
      <w:marRight w:val="0"/>
      <w:marTop w:val="0"/>
      <w:marBottom w:val="0"/>
      <w:divBdr>
        <w:top w:val="none" w:sz="0" w:space="0" w:color="auto"/>
        <w:left w:val="none" w:sz="0" w:space="0" w:color="auto"/>
        <w:bottom w:val="none" w:sz="0" w:space="0" w:color="auto"/>
        <w:right w:val="none" w:sz="0" w:space="0" w:color="auto"/>
      </w:divBdr>
      <w:divsChild>
        <w:div w:id="974985391">
          <w:marLeft w:val="0"/>
          <w:marRight w:val="0"/>
          <w:marTop w:val="225"/>
          <w:marBottom w:val="75"/>
          <w:divBdr>
            <w:top w:val="none" w:sz="0" w:space="0" w:color="auto"/>
            <w:left w:val="none" w:sz="0" w:space="0" w:color="auto"/>
            <w:bottom w:val="none" w:sz="0" w:space="0" w:color="auto"/>
            <w:right w:val="none" w:sz="0" w:space="0" w:color="auto"/>
          </w:divBdr>
        </w:div>
        <w:div w:id="2014185095">
          <w:marLeft w:val="0"/>
          <w:marRight w:val="0"/>
          <w:marTop w:val="225"/>
          <w:marBottom w:val="75"/>
          <w:divBdr>
            <w:top w:val="none" w:sz="0" w:space="0" w:color="auto"/>
            <w:left w:val="none" w:sz="0" w:space="0" w:color="auto"/>
            <w:bottom w:val="none" w:sz="0" w:space="0" w:color="auto"/>
            <w:right w:val="none" w:sz="0" w:space="0" w:color="auto"/>
          </w:divBdr>
        </w:div>
        <w:div w:id="1944026760">
          <w:marLeft w:val="0"/>
          <w:marRight w:val="0"/>
          <w:marTop w:val="225"/>
          <w:marBottom w:val="75"/>
          <w:divBdr>
            <w:top w:val="none" w:sz="0" w:space="0" w:color="auto"/>
            <w:left w:val="none" w:sz="0" w:space="0" w:color="auto"/>
            <w:bottom w:val="none" w:sz="0" w:space="0" w:color="auto"/>
            <w:right w:val="none" w:sz="0" w:space="0" w:color="auto"/>
          </w:divBdr>
        </w:div>
        <w:div w:id="1562671700">
          <w:marLeft w:val="0"/>
          <w:marRight w:val="0"/>
          <w:marTop w:val="225"/>
          <w:marBottom w:val="75"/>
          <w:divBdr>
            <w:top w:val="none" w:sz="0" w:space="0" w:color="auto"/>
            <w:left w:val="none" w:sz="0" w:space="0" w:color="auto"/>
            <w:bottom w:val="none" w:sz="0" w:space="0" w:color="auto"/>
            <w:right w:val="none" w:sz="0" w:space="0" w:color="auto"/>
          </w:divBdr>
        </w:div>
        <w:div w:id="140662897">
          <w:marLeft w:val="0"/>
          <w:marRight w:val="0"/>
          <w:marTop w:val="225"/>
          <w:marBottom w:val="75"/>
          <w:divBdr>
            <w:top w:val="none" w:sz="0" w:space="0" w:color="auto"/>
            <w:left w:val="none" w:sz="0" w:space="0" w:color="auto"/>
            <w:bottom w:val="none" w:sz="0" w:space="0" w:color="auto"/>
            <w:right w:val="none" w:sz="0" w:space="0" w:color="auto"/>
          </w:divBdr>
        </w:div>
        <w:div w:id="2108965324">
          <w:marLeft w:val="0"/>
          <w:marRight w:val="0"/>
          <w:marTop w:val="225"/>
          <w:marBottom w:val="75"/>
          <w:divBdr>
            <w:top w:val="none" w:sz="0" w:space="0" w:color="auto"/>
            <w:left w:val="none" w:sz="0" w:space="0" w:color="auto"/>
            <w:bottom w:val="none" w:sz="0" w:space="0" w:color="auto"/>
            <w:right w:val="none" w:sz="0" w:space="0" w:color="auto"/>
          </w:divBdr>
        </w:div>
        <w:div w:id="1169053478">
          <w:marLeft w:val="0"/>
          <w:marRight w:val="0"/>
          <w:marTop w:val="225"/>
          <w:marBottom w:val="75"/>
          <w:divBdr>
            <w:top w:val="none" w:sz="0" w:space="0" w:color="auto"/>
            <w:left w:val="none" w:sz="0" w:space="0" w:color="auto"/>
            <w:bottom w:val="none" w:sz="0" w:space="0" w:color="auto"/>
            <w:right w:val="none" w:sz="0" w:space="0" w:color="auto"/>
          </w:divBdr>
        </w:div>
        <w:div w:id="1584535467">
          <w:marLeft w:val="0"/>
          <w:marRight w:val="0"/>
          <w:marTop w:val="225"/>
          <w:marBottom w:val="75"/>
          <w:divBdr>
            <w:top w:val="none" w:sz="0" w:space="0" w:color="auto"/>
            <w:left w:val="none" w:sz="0" w:space="0" w:color="auto"/>
            <w:bottom w:val="none" w:sz="0" w:space="0" w:color="auto"/>
            <w:right w:val="none" w:sz="0" w:space="0" w:color="auto"/>
          </w:divBdr>
        </w:div>
        <w:div w:id="276759465">
          <w:marLeft w:val="0"/>
          <w:marRight w:val="0"/>
          <w:marTop w:val="225"/>
          <w:marBottom w:val="75"/>
          <w:divBdr>
            <w:top w:val="none" w:sz="0" w:space="0" w:color="auto"/>
            <w:left w:val="none" w:sz="0" w:space="0" w:color="auto"/>
            <w:bottom w:val="none" w:sz="0" w:space="0" w:color="auto"/>
            <w:right w:val="none" w:sz="0" w:space="0" w:color="auto"/>
          </w:divBdr>
        </w:div>
        <w:div w:id="2073381542">
          <w:marLeft w:val="0"/>
          <w:marRight w:val="0"/>
          <w:marTop w:val="225"/>
          <w:marBottom w:val="75"/>
          <w:divBdr>
            <w:top w:val="none" w:sz="0" w:space="0" w:color="auto"/>
            <w:left w:val="none" w:sz="0" w:space="0" w:color="auto"/>
            <w:bottom w:val="none" w:sz="0" w:space="0" w:color="auto"/>
            <w:right w:val="none" w:sz="0" w:space="0" w:color="auto"/>
          </w:divBdr>
        </w:div>
        <w:div w:id="1888179459">
          <w:marLeft w:val="0"/>
          <w:marRight w:val="0"/>
          <w:marTop w:val="225"/>
          <w:marBottom w:val="75"/>
          <w:divBdr>
            <w:top w:val="none" w:sz="0" w:space="0" w:color="auto"/>
            <w:left w:val="none" w:sz="0" w:space="0" w:color="auto"/>
            <w:bottom w:val="none" w:sz="0" w:space="0" w:color="auto"/>
            <w:right w:val="none" w:sz="0" w:space="0" w:color="auto"/>
          </w:divBdr>
        </w:div>
        <w:div w:id="115107402">
          <w:marLeft w:val="0"/>
          <w:marRight w:val="0"/>
          <w:marTop w:val="225"/>
          <w:marBottom w:val="75"/>
          <w:divBdr>
            <w:top w:val="none" w:sz="0" w:space="0" w:color="auto"/>
            <w:left w:val="none" w:sz="0" w:space="0" w:color="auto"/>
            <w:bottom w:val="none" w:sz="0" w:space="0" w:color="auto"/>
            <w:right w:val="none" w:sz="0" w:space="0" w:color="auto"/>
          </w:divBdr>
        </w:div>
        <w:div w:id="1034234469">
          <w:marLeft w:val="0"/>
          <w:marRight w:val="0"/>
          <w:marTop w:val="225"/>
          <w:marBottom w:val="75"/>
          <w:divBdr>
            <w:top w:val="none" w:sz="0" w:space="0" w:color="auto"/>
            <w:left w:val="none" w:sz="0" w:space="0" w:color="auto"/>
            <w:bottom w:val="none" w:sz="0" w:space="0" w:color="auto"/>
            <w:right w:val="none" w:sz="0" w:space="0" w:color="auto"/>
          </w:divBdr>
        </w:div>
        <w:div w:id="26804993">
          <w:marLeft w:val="0"/>
          <w:marRight w:val="0"/>
          <w:marTop w:val="225"/>
          <w:marBottom w:val="75"/>
          <w:divBdr>
            <w:top w:val="none" w:sz="0" w:space="0" w:color="auto"/>
            <w:left w:val="none" w:sz="0" w:space="0" w:color="auto"/>
            <w:bottom w:val="none" w:sz="0" w:space="0" w:color="auto"/>
            <w:right w:val="none" w:sz="0" w:space="0" w:color="auto"/>
          </w:divBdr>
        </w:div>
        <w:div w:id="964459751">
          <w:marLeft w:val="0"/>
          <w:marRight w:val="0"/>
          <w:marTop w:val="225"/>
          <w:marBottom w:val="75"/>
          <w:divBdr>
            <w:top w:val="none" w:sz="0" w:space="0" w:color="auto"/>
            <w:left w:val="none" w:sz="0" w:space="0" w:color="auto"/>
            <w:bottom w:val="none" w:sz="0" w:space="0" w:color="auto"/>
            <w:right w:val="none" w:sz="0" w:space="0" w:color="auto"/>
          </w:divBdr>
        </w:div>
        <w:div w:id="1490244193">
          <w:marLeft w:val="0"/>
          <w:marRight w:val="0"/>
          <w:marTop w:val="225"/>
          <w:marBottom w:val="75"/>
          <w:divBdr>
            <w:top w:val="none" w:sz="0" w:space="0" w:color="auto"/>
            <w:left w:val="none" w:sz="0" w:space="0" w:color="auto"/>
            <w:bottom w:val="none" w:sz="0" w:space="0" w:color="auto"/>
            <w:right w:val="none" w:sz="0" w:space="0" w:color="auto"/>
          </w:divBdr>
        </w:div>
        <w:div w:id="1871844920">
          <w:marLeft w:val="0"/>
          <w:marRight w:val="0"/>
          <w:marTop w:val="225"/>
          <w:marBottom w:val="75"/>
          <w:divBdr>
            <w:top w:val="none" w:sz="0" w:space="0" w:color="auto"/>
            <w:left w:val="none" w:sz="0" w:space="0" w:color="auto"/>
            <w:bottom w:val="none" w:sz="0" w:space="0" w:color="auto"/>
            <w:right w:val="none" w:sz="0" w:space="0" w:color="auto"/>
          </w:divBdr>
        </w:div>
        <w:div w:id="60062243">
          <w:marLeft w:val="0"/>
          <w:marRight w:val="0"/>
          <w:marTop w:val="225"/>
          <w:marBottom w:val="75"/>
          <w:divBdr>
            <w:top w:val="none" w:sz="0" w:space="0" w:color="auto"/>
            <w:left w:val="none" w:sz="0" w:space="0" w:color="auto"/>
            <w:bottom w:val="none" w:sz="0" w:space="0" w:color="auto"/>
            <w:right w:val="none" w:sz="0" w:space="0" w:color="auto"/>
          </w:divBdr>
        </w:div>
        <w:div w:id="1170634521">
          <w:marLeft w:val="0"/>
          <w:marRight w:val="0"/>
          <w:marTop w:val="225"/>
          <w:marBottom w:val="75"/>
          <w:divBdr>
            <w:top w:val="none" w:sz="0" w:space="0" w:color="auto"/>
            <w:left w:val="none" w:sz="0" w:space="0" w:color="auto"/>
            <w:bottom w:val="none" w:sz="0" w:space="0" w:color="auto"/>
            <w:right w:val="none" w:sz="0" w:space="0" w:color="auto"/>
          </w:divBdr>
        </w:div>
        <w:div w:id="860584753">
          <w:marLeft w:val="0"/>
          <w:marRight w:val="0"/>
          <w:marTop w:val="225"/>
          <w:marBottom w:val="75"/>
          <w:divBdr>
            <w:top w:val="none" w:sz="0" w:space="0" w:color="auto"/>
            <w:left w:val="none" w:sz="0" w:space="0" w:color="auto"/>
            <w:bottom w:val="none" w:sz="0" w:space="0" w:color="auto"/>
            <w:right w:val="none" w:sz="0" w:space="0" w:color="auto"/>
          </w:divBdr>
        </w:div>
        <w:div w:id="775758880">
          <w:marLeft w:val="0"/>
          <w:marRight w:val="0"/>
          <w:marTop w:val="225"/>
          <w:marBottom w:val="75"/>
          <w:divBdr>
            <w:top w:val="none" w:sz="0" w:space="0" w:color="auto"/>
            <w:left w:val="none" w:sz="0" w:space="0" w:color="auto"/>
            <w:bottom w:val="none" w:sz="0" w:space="0" w:color="auto"/>
            <w:right w:val="none" w:sz="0" w:space="0" w:color="auto"/>
          </w:divBdr>
        </w:div>
        <w:div w:id="1733773902">
          <w:marLeft w:val="0"/>
          <w:marRight w:val="0"/>
          <w:marTop w:val="225"/>
          <w:marBottom w:val="75"/>
          <w:divBdr>
            <w:top w:val="none" w:sz="0" w:space="0" w:color="auto"/>
            <w:left w:val="none" w:sz="0" w:space="0" w:color="auto"/>
            <w:bottom w:val="none" w:sz="0" w:space="0" w:color="auto"/>
            <w:right w:val="none" w:sz="0" w:space="0" w:color="auto"/>
          </w:divBdr>
        </w:div>
        <w:div w:id="1099981777">
          <w:marLeft w:val="0"/>
          <w:marRight w:val="0"/>
          <w:marTop w:val="225"/>
          <w:marBottom w:val="75"/>
          <w:divBdr>
            <w:top w:val="none" w:sz="0" w:space="0" w:color="auto"/>
            <w:left w:val="none" w:sz="0" w:space="0" w:color="auto"/>
            <w:bottom w:val="none" w:sz="0" w:space="0" w:color="auto"/>
            <w:right w:val="none" w:sz="0" w:space="0" w:color="auto"/>
          </w:divBdr>
        </w:div>
        <w:div w:id="1945502523">
          <w:marLeft w:val="0"/>
          <w:marRight w:val="0"/>
          <w:marTop w:val="225"/>
          <w:marBottom w:val="75"/>
          <w:divBdr>
            <w:top w:val="none" w:sz="0" w:space="0" w:color="auto"/>
            <w:left w:val="none" w:sz="0" w:space="0" w:color="auto"/>
            <w:bottom w:val="none" w:sz="0" w:space="0" w:color="auto"/>
            <w:right w:val="none" w:sz="0" w:space="0" w:color="auto"/>
          </w:divBdr>
        </w:div>
        <w:div w:id="1768651241">
          <w:marLeft w:val="0"/>
          <w:marRight w:val="0"/>
          <w:marTop w:val="225"/>
          <w:marBottom w:val="75"/>
          <w:divBdr>
            <w:top w:val="none" w:sz="0" w:space="0" w:color="auto"/>
            <w:left w:val="none" w:sz="0" w:space="0" w:color="auto"/>
            <w:bottom w:val="none" w:sz="0" w:space="0" w:color="auto"/>
            <w:right w:val="none" w:sz="0" w:space="0" w:color="auto"/>
          </w:divBdr>
        </w:div>
        <w:div w:id="2125612280">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0566.htm" TargetMode="External"/><Relationship Id="rId18" Type="http://schemas.openxmlformats.org/officeDocument/2006/relationships/hyperlink" Target="http://baike.baidu.com/view/1240152.htm" TargetMode="External"/><Relationship Id="rId26" Type="http://schemas.openxmlformats.org/officeDocument/2006/relationships/hyperlink" Target="http://baike.baidu.com/view/2405030.htm" TargetMode="External"/><Relationship Id="rId39" Type="http://schemas.openxmlformats.org/officeDocument/2006/relationships/hyperlink" Target="http://baike.baidu.com/view/10489.htm" TargetMode="External"/><Relationship Id="rId21" Type="http://schemas.openxmlformats.org/officeDocument/2006/relationships/hyperlink" Target="http://baike.baidu.com/view/10566.htm" TargetMode="External"/><Relationship Id="rId34" Type="http://schemas.openxmlformats.org/officeDocument/2006/relationships/hyperlink" Target="http://baike.baidu.com/view/160515.htm" TargetMode="External"/><Relationship Id="rId42" Type="http://schemas.openxmlformats.org/officeDocument/2006/relationships/hyperlink" Target="http://baike.baidu.com/view/34070.htm" TargetMode="External"/><Relationship Id="rId47" Type="http://schemas.openxmlformats.org/officeDocument/2006/relationships/hyperlink" Target="http://baike.baidu.com/view/645330.htm" TargetMode="External"/><Relationship Id="rId50" Type="http://schemas.openxmlformats.org/officeDocument/2006/relationships/hyperlink" Target="http://baike.baidu.com/view/11156.htm" TargetMode="External"/><Relationship Id="rId55" Type="http://schemas.openxmlformats.org/officeDocument/2006/relationships/hyperlink" Target="http://baike.baidu.com/view/1386580.htm" TargetMode="External"/><Relationship Id="rId7" Type="http://schemas.openxmlformats.org/officeDocument/2006/relationships/hyperlink" Target="http://baike.baidu.com/view/832848.htm" TargetMode="External"/><Relationship Id="rId12" Type="http://schemas.openxmlformats.org/officeDocument/2006/relationships/hyperlink" Target="http://baike.baidu.com/view/160515.htm" TargetMode="External"/><Relationship Id="rId17" Type="http://schemas.openxmlformats.org/officeDocument/2006/relationships/hyperlink" Target="http://baike.baidu.com/view/11115.htm" TargetMode="External"/><Relationship Id="rId25" Type="http://schemas.openxmlformats.org/officeDocument/2006/relationships/hyperlink" Target="http://baike.baidu.com/view/500391.htm" TargetMode="External"/><Relationship Id="rId33" Type="http://schemas.openxmlformats.org/officeDocument/2006/relationships/hyperlink" Target="http://baike.baidu.com/view/1126539.htm" TargetMode="External"/><Relationship Id="rId38" Type="http://schemas.openxmlformats.org/officeDocument/2006/relationships/hyperlink" Target="http://baike.baidu.com/view/10566.htm" TargetMode="External"/><Relationship Id="rId46" Type="http://schemas.openxmlformats.org/officeDocument/2006/relationships/hyperlink" Target="http://baike.baidu.com/view/1093613.htm" TargetMode="External"/><Relationship Id="rId2" Type="http://schemas.microsoft.com/office/2007/relationships/stylesWithEffects" Target="stylesWithEffects.xml"/><Relationship Id="rId16" Type="http://schemas.openxmlformats.org/officeDocument/2006/relationships/hyperlink" Target="http://baike.baidu.com/view/194552.htm" TargetMode="External"/><Relationship Id="rId20" Type="http://schemas.openxmlformats.org/officeDocument/2006/relationships/hyperlink" Target="http://baike.baidu.com/view/1304490.htm" TargetMode="External"/><Relationship Id="rId29" Type="http://schemas.openxmlformats.org/officeDocument/2006/relationships/hyperlink" Target="http://baike.baidu.com/view/15351.htm" TargetMode="External"/><Relationship Id="rId41" Type="http://schemas.openxmlformats.org/officeDocument/2006/relationships/hyperlink" Target="http://baike.baidu.com/view/10489.htm" TargetMode="External"/><Relationship Id="rId54" Type="http://schemas.openxmlformats.org/officeDocument/2006/relationships/hyperlink" Target="http://baike.baidu.com/view/2335182.htm" TargetMode="External"/><Relationship Id="rId1" Type="http://schemas.openxmlformats.org/officeDocument/2006/relationships/styles" Target="styles.xml"/><Relationship Id="rId6" Type="http://schemas.openxmlformats.org/officeDocument/2006/relationships/hyperlink" Target="http://baike.baidu.com/view/1386580.htm" TargetMode="External"/><Relationship Id="rId11" Type="http://schemas.openxmlformats.org/officeDocument/2006/relationships/hyperlink" Target="http://baike.baidu.com/view/2405030.htm" TargetMode="External"/><Relationship Id="rId24" Type="http://schemas.openxmlformats.org/officeDocument/2006/relationships/hyperlink" Target="http://baike.baidu.com/view/10566.htm" TargetMode="External"/><Relationship Id="rId32" Type="http://schemas.openxmlformats.org/officeDocument/2006/relationships/hyperlink" Target="http://baike.baidu.com/view/2405030.htm" TargetMode="External"/><Relationship Id="rId37" Type="http://schemas.openxmlformats.org/officeDocument/2006/relationships/hyperlink" Target="http://baike.baidu.com/view/1126539.htm" TargetMode="External"/><Relationship Id="rId40" Type="http://schemas.openxmlformats.org/officeDocument/2006/relationships/hyperlink" Target="http://baike.baidu.com/view/10489.htm" TargetMode="External"/><Relationship Id="rId45" Type="http://schemas.openxmlformats.org/officeDocument/2006/relationships/hyperlink" Target="http://baike.baidu.com/view/1280246.htm" TargetMode="External"/><Relationship Id="rId53" Type="http://schemas.openxmlformats.org/officeDocument/2006/relationships/hyperlink" Target="http://baike.baidu.com/view/832848.htm" TargetMode="External"/><Relationship Id="rId5" Type="http://schemas.openxmlformats.org/officeDocument/2006/relationships/hyperlink" Target="http://baike.baidu.com/link?url=9AAn0yQ8gTfZgV1HgTfED_Uk0-QgxlLact7zgEDQAScqu5XljPnmk6ZqmZgIJXuJuIii-J0AS_R6gYTIVUiKjK" TargetMode="External"/><Relationship Id="rId15" Type="http://schemas.openxmlformats.org/officeDocument/2006/relationships/hyperlink" Target="http://baike.baidu.com/view/26411.htm" TargetMode="External"/><Relationship Id="rId23" Type="http://schemas.openxmlformats.org/officeDocument/2006/relationships/hyperlink" Target="http://baike.baidu.com/view/832848.htm" TargetMode="External"/><Relationship Id="rId28" Type="http://schemas.openxmlformats.org/officeDocument/2006/relationships/hyperlink" Target="http://baike.baidu.com/view/2628612.htm" TargetMode="External"/><Relationship Id="rId36" Type="http://schemas.openxmlformats.org/officeDocument/2006/relationships/hyperlink" Target="http://baike.baidu.com/view/2405030.htm" TargetMode="External"/><Relationship Id="rId49" Type="http://schemas.openxmlformats.org/officeDocument/2006/relationships/hyperlink" Target="http://baike.baidu.com/view/1478470.htm" TargetMode="External"/><Relationship Id="rId57" Type="http://schemas.openxmlformats.org/officeDocument/2006/relationships/theme" Target="theme/theme1.xml"/><Relationship Id="rId10" Type="http://schemas.openxmlformats.org/officeDocument/2006/relationships/hyperlink" Target="http://baike.baidu.com/view/832848.htm" TargetMode="External"/><Relationship Id="rId19" Type="http://schemas.openxmlformats.org/officeDocument/2006/relationships/hyperlink" Target="http://baike.baidu.com/view/1363556.htm" TargetMode="External"/><Relationship Id="rId31" Type="http://schemas.openxmlformats.org/officeDocument/2006/relationships/hyperlink" Target="http://baike.baidu.com/view/160515.htm" TargetMode="External"/><Relationship Id="rId44" Type="http://schemas.openxmlformats.org/officeDocument/2006/relationships/hyperlink" Target="http://baike.baidu.com/view/2406454.htm" TargetMode="External"/><Relationship Id="rId52" Type="http://schemas.openxmlformats.org/officeDocument/2006/relationships/hyperlink" Target="http://baike.baidu.com/view/2271213.htm" TargetMode="External"/><Relationship Id="rId4" Type="http://schemas.openxmlformats.org/officeDocument/2006/relationships/webSettings" Target="webSettings.xml"/><Relationship Id="rId9" Type="http://schemas.openxmlformats.org/officeDocument/2006/relationships/hyperlink" Target="http://baike.baidu.com/view/15549.htm" TargetMode="External"/><Relationship Id="rId14" Type="http://schemas.openxmlformats.org/officeDocument/2006/relationships/hyperlink" Target="http://baike.baidu.com/view/160515.htm" TargetMode="External"/><Relationship Id="rId22" Type="http://schemas.openxmlformats.org/officeDocument/2006/relationships/hyperlink" Target="http://baike.baidu.com/view/938297.htm" TargetMode="External"/><Relationship Id="rId27" Type="http://schemas.openxmlformats.org/officeDocument/2006/relationships/hyperlink" Target="http://baike.baidu.com/view/539084.htm" TargetMode="External"/><Relationship Id="rId30" Type="http://schemas.openxmlformats.org/officeDocument/2006/relationships/hyperlink" Target="http://baike.baidu.com/view/2405030.htm" TargetMode="External"/><Relationship Id="rId35" Type="http://schemas.openxmlformats.org/officeDocument/2006/relationships/hyperlink" Target="http://baike.baidu.com/view/194552.htm" TargetMode="External"/><Relationship Id="rId43" Type="http://schemas.openxmlformats.org/officeDocument/2006/relationships/hyperlink" Target="http://baike.baidu.com/view/1280246.htm" TargetMode="External"/><Relationship Id="rId48" Type="http://schemas.openxmlformats.org/officeDocument/2006/relationships/hyperlink" Target="http://baike.baidu.com/view/1386580.htm" TargetMode="External"/><Relationship Id="rId56" Type="http://schemas.openxmlformats.org/officeDocument/2006/relationships/fontTable" Target="fontTable.xml"/><Relationship Id="rId8" Type="http://schemas.openxmlformats.org/officeDocument/2006/relationships/hyperlink" Target="http://baike.baidu.com/view/160548.htm" TargetMode="External"/><Relationship Id="rId51" Type="http://schemas.openxmlformats.org/officeDocument/2006/relationships/hyperlink" Target="http://baike.baidu.com/view/124525.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2014-06-07T15:36:00Z</dcterms:created>
  <dcterms:modified xsi:type="dcterms:W3CDTF">2014-06-07T15:36:00Z</dcterms:modified>
</cp:coreProperties>
</file>