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B8" w:rsidRPr="009F34B9" w:rsidRDefault="00010BB8" w:rsidP="00010BB8">
      <w:pPr>
        <w:widowControl/>
        <w:shd w:val="clear" w:color="auto" w:fill="FFFFFF"/>
        <w:spacing w:line="525" w:lineRule="atLeast"/>
        <w:jc w:val="center"/>
        <w:rPr>
          <w:rFonts w:asciiTheme="minorEastAsia" w:hAnsiTheme="minorEastAsia" w:cs="宋体"/>
          <w:b/>
          <w:bCs/>
          <w:color w:val="000000" w:themeColor="text1"/>
          <w:kern w:val="0"/>
          <w:sz w:val="30"/>
          <w:szCs w:val="30"/>
        </w:rPr>
      </w:pPr>
      <w:r w:rsidRPr="009F34B9">
        <w:rPr>
          <w:rFonts w:asciiTheme="minorEastAsia" w:hAnsiTheme="minorEastAsia" w:cs="宋体" w:hint="eastAsia"/>
          <w:b/>
          <w:bCs/>
          <w:color w:val="000000" w:themeColor="text1"/>
          <w:kern w:val="0"/>
          <w:sz w:val="30"/>
          <w:szCs w:val="30"/>
        </w:rPr>
        <w:t>基金管理公司</w:t>
      </w:r>
      <w:proofErr w:type="gramStart"/>
      <w:r w:rsidRPr="009F34B9">
        <w:rPr>
          <w:rFonts w:asciiTheme="minorEastAsia" w:hAnsiTheme="minorEastAsia" w:cs="宋体" w:hint="eastAsia"/>
          <w:b/>
          <w:bCs/>
          <w:color w:val="000000" w:themeColor="text1"/>
          <w:kern w:val="0"/>
          <w:sz w:val="30"/>
          <w:szCs w:val="30"/>
        </w:rPr>
        <w:t>固有资金</w:t>
      </w:r>
      <w:proofErr w:type="gramEnd"/>
      <w:r w:rsidRPr="009F34B9">
        <w:rPr>
          <w:rFonts w:asciiTheme="minorEastAsia" w:hAnsiTheme="minorEastAsia" w:cs="宋体" w:hint="eastAsia"/>
          <w:b/>
          <w:bCs/>
          <w:color w:val="000000" w:themeColor="text1"/>
          <w:kern w:val="0"/>
          <w:sz w:val="30"/>
          <w:szCs w:val="30"/>
        </w:rPr>
        <w:t>运用管理暂行规定</w:t>
      </w:r>
    </w:p>
    <w:p w:rsidR="00010BB8" w:rsidRPr="00010BB8" w:rsidRDefault="00010BB8" w:rsidP="00010BB8">
      <w:pPr>
        <w:widowControl/>
        <w:shd w:val="clear" w:color="auto" w:fill="FFFFFF"/>
        <w:spacing w:line="480" w:lineRule="auto"/>
        <w:jc w:val="center"/>
        <w:rPr>
          <w:rFonts w:ascii="inherit" w:eastAsia="宋体" w:hAnsi="inherit" w:cs="宋体" w:hint="eastAsia"/>
          <w:color w:val="888888"/>
          <w:kern w:val="0"/>
          <w:sz w:val="18"/>
          <w:szCs w:val="18"/>
        </w:rPr>
      </w:pPr>
      <w:r w:rsidRPr="00010BB8">
        <w:rPr>
          <w:rFonts w:ascii="inherit" w:eastAsia="宋体" w:hAnsi="inherit" w:cs="宋体"/>
          <w:color w:val="888888"/>
          <w:kern w:val="0"/>
          <w:sz w:val="18"/>
          <w:szCs w:val="18"/>
        </w:rPr>
        <w:t>中国证监会</w:t>
      </w:r>
      <w:r w:rsidRPr="00010BB8">
        <w:rPr>
          <w:rFonts w:ascii="inherit" w:eastAsia="宋体" w:hAnsi="inherit" w:cs="宋体"/>
          <w:color w:val="888888"/>
          <w:kern w:val="0"/>
          <w:sz w:val="18"/>
          <w:szCs w:val="18"/>
        </w:rPr>
        <w:t xml:space="preserve"> www.csrc.gov.cn </w:t>
      </w:r>
      <w:r w:rsidRPr="00010BB8">
        <w:rPr>
          <w:rFonts w:ascii="inherit" w:eastAsia="宋体" w:hAnsi="inherit" w:cs="宋体"/>
          <w:color w:val="888888"/>
          <w:kern w:val="0"/>
          <w:sz w:val="18"/>
          <w:szCs w:val="18"/>
        </w:rPr>
        <w:t>时间：</w:t>
      </w:r>
      <w:r w:rsidRPr="00010BB8">
        <w:rPr>
          <w:rFonts w:ascii="inherit" w:eastAsia="宋体" w:hAnsi="inherit" w:cs="宋体"/>
          <w:color w:val="888888"/>
          <w:kern w:val="0"/>
          <w:sz w:val="18"/>
          <w:szCs w:val="18"/>
        </w:rPr>
        <w:t xml:space="preserve">2014-01-22 </w:t>
      </w:r>
      <w:r w:rsidRPr="00010BB8">
        <w:rPr>
          <w:rFonts w:ascii="inherit" w:eastAsia="宋体" w:hAnsi="inherit" w:cs="宋体"/>
          <w:color w:val="888888"/>
          <w:kern w:val="0"/>
          <w:sz w:val="18"/>
          <w:szCs w:val="18"/>
        </w:rPr>
        <w:t>来源：</w:t>
      </w:r>
      <w:r w:rsidRPr="00010BB8">
        <w:rPr>
          <w:rFonts w:ascii="inherit" w:eastAsia="宋体" w:hAnsi="inherit" w:cs="宋体"/>
          <w:color w:val="888888"/>
          <w:kern w:val="0"/>
          <w:sz w:val="18"/>
          <w:szCs w:val="18"/>
        </w:rPr>
        <w:t xml:space="preserve"> </w:t>
      </w:r>
    </w:p>
    <w:p w:rsidR="00010BB8" w:rsidRPr="00010BB8" w:rsidRDefault="00010BB8" w:rsidP="00DE69E1">
      <w:pPr>
        <w:widowControl/>
        <w:shd w:val="clear" w:color="auto" w:fill="FFFFFF"/>
        <w:ind w:firstLine="359"/>
        <w:jc w:val="center"/>
        <w:rPr>
          <w:rFonts w:ascii="宋体" w:eastAsia="宋体" w:hAnsi="宋体" w:cs="宋体"/>
          <w:color w:val="333333"/>
          <w:kern w:val="0"/>
          <w:szCs w:val="21"/>
        </w:rPr>
      </w:pPr>
      <w:r w:rsidRPr="00010BB8">
        <w:rPr>
          <w:rFonts w:ascii="宋体" w:eastAsia="宋体" w:hAnsi="宋体" w:cs="宋体" w:hint="eastAsia"/>
          <w:color w:val="333333"/>
          <w:kern w:val="0"/>
          <w:szCs w:val="21"/>
        </w:rPr>
        <w:t>（2013年8月2日 证监会公告〔2013〕33号） </w:t>
      </w:r>
    </w:p>
    <w:p w:rsidR="00010BB8" w:rsidRPr="00010BB8" w:rsidRDefault="00010BB8" w:rsidP="00010BB8">
      <w:pPr>
        <w:widowControl/>
        <w:shd w:val="clear" w:color="auto" w:fill="FFFFFF"/>
        <w:ind w:firstLine="359"/>
        <w:jc w:val="left"/>
        <w:rPr>
          <w:rFonts w:ascii="宋体" w:eastAsia="宋体" w:hAnsi="宋体" w:cs="宋体"/>
          <w:color w:val="333333"/>
          <w:kern w:val="0"/>
          <w:szCs w:val="21"/>
        </w:rPr>
      </w:pP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第一条 为了规范公开募集基金的基金管理公司（以下简称基金管理公司）</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运用行为，防范</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投资风险，维护基金份额持有人的合法权益，促进基金业持续健康发展，根据《证券投资基金法》、《证券投资基金管理公司管理办法》等法律法规，制定本规定。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第二条 在中国境内依法设立的基金管理公司运用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的活动适用本规定。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第三条 本规定所称</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运用，是指</w:t>
      </w:r>
      <w:r w:rsidRPr="009F34B9">
        <w:rPr>
          <w:rFonts w:ascii="宋体" w:eastAsia="宋体" w:hAnsi="宋体" w:cs="宋体" w:hint="eastAsia"/>
          <w:color w:val="FF0000"/>
          <w:kern w:val="0"/>
          <w:szCs w:val="21"/>
          <w:highlight w:val="yellow"/>
        </w:rPr>
        <w:t>基金管理公司运用以本外币计价的资本金、公积金、未分配利润及其他自有资金进行投资以及用于本公司资产管理业务开展所需的资金支出行为。</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 xml:space="preserve">第四条 </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运用应当遵循谨慎稳健、分散风险的原则，确保</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的安全性、流动性，不得影响基金管理公司的正常运营。</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 xml:space="preserve">第五条 </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运用应当遵循合法、公平的原则，避免与基金管理公司及其子公司管理的投资组合之间发生利益冲突，禁止任何形式的利益输送行为，不得损害基金份额持有人和其他客户的合法权益。</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第六条 鼓励基金管理公司运用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按照规定购买本公司管理的公开募集的证券投资基金（以下简称基金）、特定客户资产管理计划或者其子公司管理的投资组合，建立与基金份额持有人、其他客户的利益绑定机制，与基金份额持有人、其他客户共担风险、共享收益。</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第七条 中国证券监督管理委员会（以下简称中国证监会）及其派出机构依法对基金管理公司</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运用活动进行监督管理。</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中国证券投资基金业协会对基金管理公司</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运用活动实行自律管理。</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第八条 基金管理公司</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可以进行</w:t>
      </w:r>
      <w:r w:rsidRPr="009F34B9">
        <w:rPr>
          <w:rFonts w:ascii="宋体" w:eastAsia="宋体" w:hAnsi="宋体" w:cs="宋体" w:hint="eastAsia"/>
          <w:b/>
          <w:color w:val="FF0000"/>
          <w:kern w:val="0"/>
          <w:szCs w:val="21"/>
        </w:rPr>
        <w:t>金融资产投资</w:t>
      </w:r>
      <w:r w:rsidRPr="00010BB8">
        <w:rPr>
          <w:rFonts w:ascii="宋体" w:eastAsia="宋体" w:hAnsi="宋体" w:cs="宋体" w:hint="eastAsia"/>
          <w:color w:val="333333"/>
          <w:kern w:val="0"/>
          <w:szCs w:val="21"/>
        </w:rPr>
        <w:t>以及进行与经营资产管理业务相关的</w:t>
      </w:r>
      <w:r w:rsidRPr="00010BB8">
        <w:rPr>
          <w:rFonts w:ascii="宋体" w:eastAsia="宋体" w:hAnsi="宋体" w:cs="宋体" w:hint="eastAsia"/>
          <w:b/>
          <w:color w:val="FF0000"/>
          <w:kern w:val="0"/>
          <w:szCs w:val="21"/>
        </w:rPr>
        <w:t>股权投资</w:t>
      </w:r>
      <w:r w:rsidRPr="00010BB8">
        <w:rPr>
          <w:rFonts w:ascii="宋体" w:eastAsia="宋体" w:hAnsi="宋体" w:cs="宋体" w:hint="eastAsia"/>
          <w:color w:val="333333"/>
          <w:kern w:val="0"/>
          <w:szCs w:val="21"/>
        </w:rPr>
        <w:t>，</w:t>
      </w:r>
      <w:r w:rsidRPr="009F34B9">
        <w:rPr>
          <w:rFonts w:ascii="宋体" w:eastAsia="宋体" w:hAnsi="宋体" w:cs="宋体" w:hint="eastAsia"/>
          <w:b/>
          <w:color w:val="FF0000"/>
          <w:kern w:val="0"/>
          <w:szCs w:val="21"/>
          <w:highlight w:val="yellow"/>
        </w:rPr>
        <w:t>其中持有现金、银行存款、国债、基金等高流动性资产的比例不得低于50%。</w:t>
      </w:r>
    </w:p>
    <w:p w:rsidR="00010BB8" w:rsidRPr="00010BB8" w:rsidRDefault="00010BB8" w:rsidP="00DE69E1">
      <w:pPr>
        <w:widowControl/>
        <w:shd w:val="clear" w:color="auto" w:fill="FFFFFF"/>
        <w:spacing w:line="360" w:lineRule="auto"/>
        <w:ind w:firstLine="359"/>
        <w:jc w:val="left"/>
        <w:rPr>
          <w:rFonts w:ascii="宋体" w:eastAsia="宋体" w:hAnsi="宋体" w:cs="宋体"/>
          <w:b/>
          <w:color w:val="FF0000"/>
          <w:kern w:val="0"/>
          <w:szCs w:val="21"/>
        </w:rPr>
      </w:pPr>
      <w:proofErr w:type="gramStart"/>
      <w:r w:rsidRPr="00010BB8">
        <w:rPr>
          <w:rFonts w:ascii="宋体" w:eastAsia="宋体" w:hAnsi="宋体" w:cs="宋体" w:hint="eastAsia"/>
          <w:b/>
          <w:color w:val="FF0000"/>
          <w:kern w:val="0"/>
          <w:szCs w:val="21"/>
        </w:rPr>
        <w:t>固有资金</w:t>
      </w:r>
      <w:proofErr w:type="gramEnd"/>
      <w:r w:rsidRPr="00010BB8">
        <w:rPr>
          <w:rFonts w:ascii="宋体" w:eastAsia="宋体" w:hAnsi="宋体" w:cs="宋体" w:hint="eastAsia"/>
          <w:b/>
          <w:color w:val="FF0000"/>
          <w:kern w:val="0"/>
          <w:szCs w:val="21"/>
        </w:rPr>
        <w:t>进行金融资产投资的，</w:t>
      </w:r>
      <w:r w:rsidRPr="009F34B9">
        <w:rPr>
          <w:rFonts w:ascii="宋体" w:eastAsia="宋体" w:hAnsi="宋体" w:cs="宋体" w:hint="eastAsia"/>
          <w:b/>
          <w:color w:val="F2F2F2" w:themeColor="background1" w:themeShade="F2"/>
          <w:kern w:val="0"/>
          <w:szCs w:val="21"/>
          <w:highlight w:val="darkBlue"/>
        </w:rPr>
        <w:t>不得投资于上市交易的股票、期货及其他衍生品。</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从事境外投资的，应当符合中国证监会以及其他相关部门的规定。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第九条 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投资本公司管理的基金的，应当遵守基金合同、招募说明书等的约定，并遵守下列规定：</w:t>
      </w:r>
    </w:p>
    <w:p w:rsidR="00010BB8" w:rsidRPr="00010BB8" w:rsidRDefault="00010BB8" w:rsidP="00DE69E1">
      <w:pPr>
        <w:widowControl/>
        <w:shd w:val="clear" w:color="auto" w:fill="FFFFFF"/>
        <w:spacing w:line="360" w:lineRule="auto"/>
        <w:ind w:firstLine="359"/>
        <w:jc w:val="left"/>
        <w:rPr>
          <w:rFonts w:ascii="宋体" w:eastAsia="宋体" w:hAnsi="宋体" w:cs="宋体"/>
          <w:b/>
          <w:color w:val="FF0000"/>
          <w:kern w:val="0"/>
          <w:szCs w:val="21"/>
        </w:rPr>
      </w:pPr>
      <w:r w:rsidRPr="00010BB8">
        <w:rPr>
          <w:rFonts w:ascii="宋体" w:eastAsia="宋体" w:hAnsi="宋体" w:cs="宋体" w:hint="eastAsia"/>
          <w:color w:val="333333"/>
          <w:kern w:val="0"/>
          <w:szCs w:val="21"/>
        </w:rPr>
        <w:lastRenderedPageBreak/>
        <w:t>（一）</w:t>
      </w:r>
      <w:r w:rsidRPr="00010BB8">
        <w:rPr>
          <w:rFonts w:ascii="宋体" w:eastAsia="宋体" w:hAnsi="宋体" w:cs="宋体" w:hint="eastAsia"/>
          <w:b/>
          <w:color w:val="FF0000"/>
          <w:kern w:val="0"/>
          <w:szCs w:val="21"/>
        </w:rPr>
        <w:t>持有基金份额的期限</w:t>
      </w:r>
      <w:r w:rsidRPr="009F34B9">
        <w:rPr>
          <w:rFonts w:ascii="宋体" w:eastAsia="宋体" w:hAnsi="宋体" w:cs="宋体" w:hint="eastAsia"/>
          <w:b/>
          <w:color w:val="F2F2F2" w:themeColor="background1" w:themeShade="F2"/>
          <w:kern w:val="0"/>
          <w:szCs w:val="21"/>
          <w:highlight w:val="blue"/>
        </w:rPr>
        <w:t>不少于6个月</w:t>
      </w:r>
      <w:r w:rsidRPr="00010BB8">
        <w:rPr>
          <w:rFonts w:ascii="宋体" w:eastAsia="宋体" w:hAnsi="宋体" w:cs="宋体" w:hint="eastAsia"/>
          <w:b/>
          <w:color w:val="FF0000"/>
          <w:kern w:val="0"/>
          <w:szCs w:val="21"/>
        </w:rPr>
        <w:t>，但持有货币市场基金等现金管理工具基金或者公司出现风险事件确需赎回基金份额弥补资金缺口的不受此限，持有发起</w:t>
      </w:r>
      <w:proofErr w:type="gramStart"/>
      <w:r w:rsidRPr="00010BB8">
        <w:rPr>
          <w:rFonts w:ascii="宋体" w:eastAsia="宋体" w:hAnsi="宋体" w:cs="宋体" w:hint="eastAsia"/>
          <w:b/>
          <w:color w:val="FF0000"/>
          <w:kern w:val="0"/>
          <w:szCs w:val="21"/>
        </w:rPr>
        <w:t>式基金</w:t>
      </w:r>
      <w:proofErr w:type="gramEnd"/>
      <w:r w:rsidRPr="00010BB8">
        <w:rPr>
          <w:rFonts w:ascii="宋体" w:eastAsia="宋体" w:hAnsi="宋体" w:cs="宋体" w:hint="eastAsia"/>
          <w:b/>
          <w:color w:val="FF0000"/>
          <w:kern w:val="0"/>
          <w:szCs w:val="21"/>
        </w:rPr>
        <w:t>份额的期限另有规定的从其规定；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（二）按照基金合同、招募说明书的约定费率进行认购、申购和赎回，</w:t>
      </w:r>
      <w:r w:rsidRPr="00010BB8">
        <w:rPr>
          <w:rFonts w:ascii="宋体" w:eastAsia="宋体" w:hAnsi="宋体" w:cs="宋体" w:hint="eastAsia"/>
          <w:b/>
          <w:color w:val="FF0000"/>
          <w:kern w:val="0"/>
          <w:szCs w:val="21"/>
        </w:rPr>
        <w:t>不享有比其他投资人更优惠的费率，并不得进行盘后交易；</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（三）</w:t>
      </w:r>
      <w:r w:rsidRPr="00010BB8">
        <w:rPr>
          <w:rFonts w:ascii="宋体" w:eastAsia="宋体" w:hAnsi="宋体" w:cs="宋体" w:hint="eastAsia"/>
          <w:b/>
          <w:color w:val="FF0000"/>
          <w:kern w:val="0"/>
          <w:szCs w:val="21"/>
        </w:rPr>
        <w:t>认购</w:t>
      </w:r>
      <w:r w:rsidRPr="00010BB8">
        <w:rPr>
          <w:rFonts w:ascii="宋体" w:eastAsia="宋体" w:hAnsi="宋体" w:cs="宋体" w:hint="eastAsia"/>
          <w:color w:val="333333"/>
          <w:kern w:val="0"/>
          <w:szCs w:val="21"/>
        </w:rPr>
        <w:t>基金份额的，在基金合同生效公告中载明所认购的基金份额、认购日期、适用费率等情况；</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（四）申购、赎回或者买卖基金份额的，在基金季度报告中载明申购、赎回或者买卖基金的日期、金额、适用费率等情况。</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第十条 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投资本公司管理的基金的，依法可以作为基金份额持有人向基金份额持有人大会提出议案，但对涉及本公司利益的表决事项应当回避。</w:t>
      </w:r>
    </w:p>
    <w:p w:rsidR="00010BB8" w:rsidRPr="009F34B9" w:rsidRDefault="00010BB8" w:rsidP="00DE69E1">
      <w:pPr>
        <w:widowControl/>
        <w:shd w:val="clear" w:color="auto" w:fill="FFFFFF"/>
        <w:spacing w:line="360" w:lineRule="auto"/>
        <w:ind w:firstLine="359"/>
        <w:jc w:val="left"/>
        <w:rPr>
          <w:rFonts w:ascii="宋体" w:eastAsia="宋体" w:hAnsi="宋体" w:cs="宋体"/>
          <w:color w:val="F2F2F2" w:themeColor="background1" w:themeShade="F2"/>
          <w:kern w:val="0"/>
          <w:szCs w:val="21"/>
        </w:rPr>
      </w:pPr>
      <w:r w:rsidRPr="00010BB8">
        <w:rPr>
          <w:rFonts w:ascii="宋体" w:eastAsia="宋体" w:hAnsi="宋体" w:cs="宋体" w:hint="eastAsia"/>
          <w:color w:val="333333"/>
          <w:kern w:val="0"/>
          <w:szCs w:val="21"/>
        </w:rPr>
        <w:t>第十一条</w:t>
      </w:r>
      <w:r w:rsidRPr="00010BB8">
        <w:rPr>
          <w:rFonts w:ascii="宋体" w:eastAsia="宋体" w:hAnsi="宋体" w:cs="宋体" w:hint="eastAsia"/>
          <w:b/>
          <w:color w:val="FF0000"/>
          <w:kern w:val="0"/>
          <w:szCs w:val="21"/>
        </w:rPr>
        <w:t xml:space="preserve"> 基金管理公司</w:t>
      </w:r>
      <w:proofErr w:type="gramStart"/>
      <w:r w:rsidRPr="00010BB8">
        <w:rPr>
          <w:rFonts w:ascii="宋体" w:eastAsia="宋体" w:hAnsi="宋体" w:cs="宋体" w:hint="eastAsia"/>
          <w:b/>
          <w:color w:val="FF0000"/>
          <w:kern w:val="0"/>
          <w:szCs w:val="21"/>
        </w:rPr>
        <w:t>固有资金</w:t>
      </w:r>
      <w:proofErr w:type="gramEnd"/>
      <w:r w:rsidRPr="00010BB8">
        <w:rPr>
          <w:rFonts w:ascii="宋体" w:eastAsia="宋体" w:hAnsi="宋体" w:cs="宋体" w:hint="eastAsia"/>
          <w:b/>
          <w:color w:val="FF0000"/>
          <w:kern w:val="0"/>
          <w:szCs w:val="21"/>
        </w:rPr>
        <w:t>投资本公司及子公司管理的单个特定客户资产管理计划的份额与本公司及子公司员工投资的份额合计不得</w:t>
      </w:r>
      <w:r w:rsidRPr="00BC3E5C">
        <w:rPr>
          <w:rFonts w:ascii="宋体" w:eastAsia="宋体" w:hAnsi="宋体" w:cs="宋体" w:hint="eastAsia"/>
          <w:b/>
          <w:color w:val="FFFFFF" w:themeColor="background1"/>
          <w:kern w:val="0"/>
          <w:szCs w:val="21"/>
          <w:highlight w:val="blue"/>
        </w:rPr>
        <w:t>超过</w:t>
      </w:r>
      <w:r w:rsidRPr="00010BB8">
        <w:rPr>
          <w:rFonts w:ascii="宋体" w:eastAsia="宋体" w:hAnsi="宋体" w:cs="宋体" w:hint="eastAsia"/>
          <w:b/>
          <w:color w:val="FF0000"/>
          <w:kern w:val="0"/>
          <w:szCs w:val="21"/>
        </w:rPr>
        <w:t>该计划总份额的</w:t>
      </w:r>
      <w:r w:rsidRPr="009F34B9">
        <w:rPr>
          <w:rFonts w:ascii="宋体" w:eastAsia="宋体" w:hAnsi="宋体" w:cs="宋体" w:hint="eastAsia"/>
          <w:b/>
          <w:color w:val="FFFFFF" w:themeColor="background1"/>
          <w:kern w:val="0"/>
          <w:szCs w:val="21"/>
          <w:highlight w:val="blue"/>
        </w:rPr>
        <w:t>50%。</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第十二条 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投资设立子公司，应当符合中国证监会的相关规定。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进行</w:t>
      </w:r>
      <w:r w:rsidRPr="00010BB8">
        <w:rPr>
          <w:rFonts w:ascii="宋体" w:eastAsia="宋体" w:hAnsi="宋体" w:cs="宋体" w:hint="eastAsia"/>
          <w:color w:val="FF0000"/>
          <w:kern w:val="0"/>
          <w:szCs w:val="21"/>
        </w:rPr>
        <w:t>股权投资</w:t>
      </w:r>
      <w:r w:rsidRPr="00010BB8">
        <w:rPr>
          <w:rFonts w:ascii="宋体" w:eastAsia="宋体" w:hAnsi="宋体" w:cs="宋体" w:hint="eastAsia"/>
          <w:color w:val="333333"/>
          <w:kern w:val="0"/>
          <w:szCs w:val="21"/>
        </w:rPr>
        <w:t>，基金管理公司应当事前向中国证监会及公司所在地中国证监会派出机构报告。投资入股按照规定需要履行审批程序的，还应当报经有关主管部门批准。</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第十三条 基金管理公司可以用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为本</w:t>
      </w:r>
      <w:bookmarkStart w:id="0" w:name="_GoBack"/>
      <w:bookmarkEnd w:id="0"/>
      <w:r w:rsidRPr="00010BB8">
        <w:rPr>
          <w:rFonts w:ascii="宋体" w:eastAsia="宋体" w:hAnsi="宋体" w:cs="宋体" w:hint="eastAsia"/>
          <w:color w:val="333333"/>
          <w:kern w:val="0"/>
          <w:szCs w:val="21"/>
        </w:rPr>
        <w:t>公司管理的特定投资组合提供保本承诺或者资金垫付以及为子公司管理的特定投资组合提供担保，但保本承诺总额、资金垫付总额或者担保总额合计不得超过上一会计年度本公司经审计的</w:t>
      </w:r>
      <w:r w:rsidRPr="00010BB8">
        <w:rPr>
          <w:rFonts w:ascii="宋体" w:eastAsia="宋体" w:hAnsi="宋体" w:cs="宋体" w:hint="eastAsia"/>
          <w:b/>
          <w:color w:val="FF0000"/>
          <w:kern w:val="0"/>
          <w:szCs w:val="21"/>
        </w:rPr>
        <w:t>净资产规模。</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第十四条 基金管理公司应当建立健全公司治理，加强对</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运用的授权管理，在公司章程和相关制度中明确规定股东（大）会、董事会和经营管理层在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运用方面的职责和授权范围。</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第十五条 基金管理公司应当制定</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运用的内部控制制度，对</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运用的评估论证、决策、执行、风险控制、稽核、信息披露等事项</w:t>
      </w:r>
      <w:proofErr w:type="gramStart"/>
      <w:r w:rsidRPr="00010BB8">
        <w:rPr>
          <w:rFonts w:ascii="宋体" w:eastAsia="宋体" w:hAnsi="宋体" w:cs="宋体" w:hint="eastAsia"/>
          <w:color w:val="333333"/>
          <w:kern w:val="0"/>
          <w:szCs w:val="21"/>
        </w:rPr>
        <w:t>作出</w:t>
      </w:r>
      <w:proofErr w:type="gramEnd"/>
      <w:r w:rsidRPr="00010BB8">
        <w:rPr>
          <w:rFonts w:ascii="宋体" w:eastAsia="宋体" w:hAnsi="宋体" w:cs="宋体" w:hint="eastAsia"/>
          <w:color w:val="333333"/>
          <w:kern w:val="0"/>
          <w:szCs w:val="21"/>
        </w:rPr>
        <w:t>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第十六条 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投资，应当建立防火墙制度，指定专门的部门负责，确保</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与本公司及子公司的资产管理业务在人员、信息、账户、资金、会计核算上严格分离，投资决策及操作应当独立于本公司及子公司管理的投资组合的投资决策及操作，不得利用本公司及子公司管理的投资组合的未公开信息获取利益。</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lastRenderedPageBreak/>
        <w:t>第十七条 基金管理公司运用</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投资，应当加强对关联交易的管理，不得违反规定将本公司及子公司管理的投资组合作为交易对手，不得自行或者通过第三方与本公司及子公司的投资组合进行显失公平的交易。</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第十八条 基金管理公司运用固有资金，</w:t>
      </w:r>
      <w:r w:rsidRPr="00010BB8">
        <w:rPr>
          <w:rFonts w:ascii="宋体" w:eastAsia="宋体" w:hAnsi="宋体" w:cs="宋体" w:hint="eastAsia"/>
          <w:b/>
          <w:color w:val="FF0000"/>
          <w:kern w:val="0"/>
          <w:szCs w:val="21"/>
        </w:rPr>
        <w:t>应当在公司监察稽核季度报告、年度报告中列明投资时间、投资标的、</w:t>
      </w:r>
      <w:r w:rsidRPr="00010BB8">
        <w:rPr>
          <w:rFonts w:ascii="宋体" w:eastAsia="宋体" w:hAnsi="宋体" w:cs="宋体" w:hint="eastAsia"/>
          <w:color w:val="333333"/>
          <w:kern w:val="0"/>
          <w:szCs w:val="21"/>
        </w:rPr>
        <w:t>金额、费率及提供保本承诺、资金垫付、担保等信息，并对是否合</w:t>
      </w:r>
      <w:proofErr w:type="gramStart"/>
      <w:r w:rsidRPr="00010BB8">
        <w:rPr>
          <w:rFonts w:ascii="宋体" w:eastAsia="宋体" w:hAnsi="宋体" w:cs="宋体" w:hint="eastAsia"/>
          <w:color w:val="333333"/>
          <w:kern w:val="0"/>
          <w:szCs w:val="21"/>
        </w:rPr>
        <w:t>规</w:t>
      </w:r>
      <w:proofErr w:type="gramEnd"/>
      <w:r w:rsidRPr="00010BB8">
        <w:rPr>
          <w:rFonts w:ascii="宋体" w:eastAsia="宋体" w:hAnsi="宋体" w:cs="宋体" w:hint="eastAsia"/>
          <w:color w:val="333333"/>
          <w:kern w:val="0"/>
          <w:szCs w:val="21"/>
        </w:rPr>
        <w:t>、是否存在利益冲突、是否存在显失公平的关联交易等进行说明，还应当在公司年度报告中对</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运用情况进行总结，评估本年度</w:t>
      </w:r>
      <w:proofErr w:type="gramStart"/>
      <w:r w:rsidRPr="00010BB8">
        <w:rPr>
          <w:rFonts w:ascii="宋体" w:eastAsia="宋体" w:hAnsi="宋体" w:cs="宋体" w:hint="eastAsia"/>
          <w:color w:val="333333"/>
          <w:kern w:val="0"/>
          <w:szCs w:val="21"/>
        </w:rPr>
        <w:t>固有资金</w:t>
      </w:r>
      <w:proofErr w:type="gramEnd"/>
      <w:r w:rsidRPr="00010BB8">
        <w:rPr>
          <w:rFonts w:ascii="宋体" w:eastAsia="宋体" w:hAnsi="宋体" w:cs="宋体" w:hint="eastAsia"/>
          <w:color w:val="333333"/>
          <w:kern w:val="0"/>
          <w:szCs w:val="21"/>
        </w:rPr>
        <w:t>运用效果及存在的风险。</w:t>
      </w:r>
    </w:p>
    <w:p w:rsidR="00010BB8" w:rsidRPr="00010BB8" w:rsidRDefault="00010BB8" w:rsidP="00DE69E1">
      <w:pPr>
        <w:widowControl/>
        <w:shd w:val="clear" w:color="auto" w:fill="FFFFFF"/>
        <w:spacing w:line="360" w:lineRule="auto"/>
        <w:ind w:firstLine="359"/>
        <w:jc w:val="left"/>
        <w:rPr>
          <w:rFonts w:ascii="宋体" w:eastAsia="宋体" w:hAnsi="宋体" w:cs="宋体"/>
          <w:b/>
          <w:color w:val="FF0000"/>
          <w:kern w:val="0"/>
          <w:szCs w:val="21"/>
        </w:rPr>
      </w:pPr>
      <w:r w:rsidRPr="00010BB8">
        <w:rPr>
          <w:rFonts w:ascii="宋体" w:eastAsia="宋体" w:hAnsi="宋体" w:cs="宋体" w:hint="eastAsia"/>
          <w:color w:val="333333"/>
          <w:kern w:val="0"/>
          <w:szCs w:val="21"/>
        </w:rPr>
        <w:t>第十九条</w:t>
      </w:r>
      <w:r w:rsidRPr="00010BB8">
        <w:rPr>
          <w:rFonts w:ascii="宋体" w:eastAsia="宋体" w:hAnsi="宋体" w:cs="宋体" w:hint="eastAsia"/>
          <w:b/>
          <w:color w:val="FF0000"/>
          <w:kern w:val="0"/>
          <w:szCs w:val="21"/>
        </w:rPr>
        <w:t xml:space="preserve"> 基金管理公司的净资产低于4000万元人民币，或者现金、银行存款、国债、基金等可运用的高流动性资产低于2000万元人民币且低于公司上一会计年度营业支出的，基金管理公司应当暂停继续运用</w:t>
      </w:r>
      <w:proofErr w:type="gramStart"/>
      <w:r w:rsidRPr="00010BB8">
        <w:rPr>
          <w:rFonts w:ascii="宋体" w:eastAsia="宋体" w:hAnsi="宋体" w:cs="宋体" w:hint="eastAsia"/>
          <w:b/>
          <w:color w:val="FF0000"/>
          <w:kern w:val="0"/>
          <w:szCs w:val="21"/>
        </w:rPr>
        <w:t>固有资金</w:t>
      </w:r>
      <w:proofErr w:type="gramEnd"/>
      <w:r w:rsidRPr="00010BB8">
        <w:rPr>
          <w:rFonts w:ascii="宋体" w:eastAsia="宋体" w:hAnsi="宋体" w:cs="宋体" w:hint="eastAsia"/>
          <w:b/>
          <w:color w:val="FF0000"/>
          <w:kern w:val="0"/>
          <w:szCs w:val="21"/>
        </w:rPr>
        <w:t>进行投资，其</w:t>
      </w:r>
      <w:proofErr w:type="gramStart"/>
      <w:r w:rsidRPr="00010BB8">
        <w:rPr>
          <w:rFonts w:ascii="宋体" w:eastAsia="宋体" w:hAnsi="宋体" w:cs="宋体" w:hint="eastAsia"/>
          <w:b/>
          <w:color w:val="FF0000"/>
          <w:kern w:val="0"/>
          <w:szCs w:val="21"/>
        </w:rPr>
        <w:t>固有资金</w:t>
      </w:r>
      <w:proofErr w:type="gramEnd"/>
      <w:r w:rsidRPr="00010BB8">
        <w:rPr>
          <w:rFonts w:ascii="宋体" w:eastAsia="宋体" w:hAnsi="宋体" w:cs="宋体" w:hint="eastAsia"/>
          <w:b/>
          <w:color w:val="FF0000"/>
          <w:kern w:val="0"/>
          <w:szCs w:val="21"/>
        </w:rPr>
        <w:t>应当主要用于日常经营管理活动。</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第二十条 基金管理公司违反本规定的，中国证监会责令改正，并可以对基金管理公司及其直接负责的主管人员和其他直接责任人员，采取监管谈话、出具警示函、暂停履行职务、认定为不适当人选等行政监管措施。依法应</w:t>
      </w:r>
      <w:proofErr w:type="gramStart"/>
      <w:r w:rsidRPr="00010BB8">
        <w:rPr>
          <w:rFonts w:ascii="宋体" w:eastAsia="宋体" w:hAnsi="宋体" w:cs="宋体" w:hint="eastAsia"/>
          <w:color w:val="333333"/>
          <w:kern w:val="0"/>
          <w:szCs w:val="21"/>
        </w:rPr>
        <w:t>予行</w:t>
      </w:r>
      <w:proofErr w:type="gramEnd"/>
      <w:r w:rsidRPr="00010BB8">
        <w:rPr>
          <w:rFonts w:ascii="宋体" w:eastAsia="宋体" w:hAnsi="宋体" w:cs="宋体" w:hint="eastAsia"/>
          <w:color w:val="333333"/>
          <w:kern w:val="0"/>
          <w:szCs w:val="21"/>
        </w:rPr>
        <w:t>政处罚的，依照有关规定进行行政处罚；涉嫌犯罪的，依法移送司法机关，追究刑事责任。</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第二十一条 基金管理公司风险准备金的运用管理由中国证监会另行规定。</w:t>
      </w:r>
    </w:p>
    <w:p w:rsidR="00010BB8" w:rsidRPr="00010BB8" w:rsidRDefault="00010BB8" w:rsidP="00DE69E1">
      <w:pPr>
        <w:widowControl/>
        <w:shd w:val="clear" w:color="auto" w:fill="FFFFFF"/>
        <w:spacing w:line="360" w:lineRule="auto"/>
        <w:ind w:firstLine="359"/>
        <w:jc w:val="left"/>
        <w:rPr>
          <w:rFonts w:ascii="宋体" w:eastAsia="宋体" w:hAnsi="宋体" w:cs="宋体"/>
          <w:color w:val="333333"/>
          <w:kern w:val="0"/>
          <w:szCs w:val="21"/>
        </w:rPr>
      </w:pPr>
      <w:r w:rsidRPr="00010BB8">
        <w:rPr>
          <w:rFonts w:ascii="宋体" w:eastAsia="宋体" w:hAnsi="宋体" w:cs="宋体" w:hint="eastAsia"/>
          <w:color w:val="333333"/>
          <w:kern w:val="0"/>
          <w:szCs w:val="21"/>
        </w:rPr>
        <w:t>第二十二条 本规定自公布之日起施行。《关于基金管理公司运用固有资金进行基金投资有关事项的通知》（证</w:t>
      </w:r>
      <w:proofErr w:type="gramStart"/>
      <w:r w:rsidRPr="00010BB8">
        <w:rPr>
          <w:rFonts w:ascii="宋体" w:eastAsia="宋体" w:hAnsi="宋体" w:cs="宋体" w:hint="eastAsia"/>
          <w:color w:val="333333"/>
          <w:kern w:val="0"/>
          <w:szCs w:val="21"/>
        </w:rPr>
        <w:t>监基金字</w:t>
      </w:r>
      <w:proofErr w:type="gramEnd"/>
      <w:r w:rsidRPr="00010BB8">
        <w:rPr>
          <w:rFonts w:ascii="宋体" w:eastAsia="宋体" w:hAnsi="宋体" w:cs="宋体" w:hint="eastAsia"/>
          <w:color w:val="333333"/>
          <w:kern w:val="0"/>
          <w:szCs w:val="21"/>
        </w:rPr>
        <w:t>〔2005〕96号）同时废止。</w:t>
      </w:r>
    </w:p>
    <w:p w:rsidR="00336864" w:rsidRPr="00010BB8" w:rsidRDefault="00336864" w:rsidP="00DE69E1">
      <w:pPr>
        <w:spacing w:line="360" w:lineRule="auto"/>
      </w:pPr>
    </w:p>
    <w:sectPr w:rsidR="00336864" w:rsidRPr="00010B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0E4" w:rsidRDefault="005930E4" w:rsidP="009F34B9">
      <w:r>
        <w:separator/>
      </w:r>
    </w:p>
  </w:endnote>
  <w:endnote w:type="continuationSeparator" w:id="0">
    <w:p w:rsidR="005930E4" w:rsidRDefault="005930E4" w:rsidP="009F3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0E4" w:rsidRDefault="005930E4" w:rsidP="009F34B9">
      <w:r>
        <w:separator/>
      </w:r>
    </w:p>
  </w:footnote>
  <w:footnote w:type="continuationSeparator" w:id="0">
    <w:p w:rsidR="005930E4" w:rsidRDefault="005930E4" w:rsidP="009F3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B8"/>
    <w:rsid w:val="00010BB8"/>
    <w:rsid w:val="00301484"/>
    <w:rsid w:val="00336864"/>
    <w:rsid w:val="005930E4"/>
    <w:rsid w:val="009F34B9"/>
    <w:rsid w:val="00BC3E5C"/>
    <w:rsid w:val="00C90B61"/>
    <w:rsid w:val="00DE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51">
    <w:name w:val="p151"/>
    <w:basedOn w:val="a"/>
    <w:rsid w:val="00010BB8"/>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9F34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34B9"/>
    <w:rPr>
      <w:sz w:val="18"/>
      <w:szCs w:val="18"/>
    </w:rPr>
  </w:style>
  <w:style w:type="paragraph" w:styleId="a4">
    <w:name w:val="footer"/>
    <w:basedOn w:val="a"/>
    <w:link w:val="Char0"/>
    <w:uiPriority w:val="99"/>
    <w:unhideWhenUsed/>
    <w:rsid w:val="009F34B9"/>
    <w:pPr>
      <w:tabs>
        <w:tab w:val="center" w:pos="4153"/>
        <w:tab w:val="right" w:pos="8306"/>
      </w:tabs>
      <w:snapToGrid w:val="0"/>
      <w:jc w:val="left"/>
    </w:pPr>
    <w:rPr>
      <w:sz w:val="18"/>
      <w:szCs w:val="18"/>
    </w:rPr>
  </w:style>
  <w:style w:type="character" w:customStyle="1" w:styleId="Char0">
    <w:name w:val="页脚 Char"/>
    <w:basedOn w:val="a0"/>
    <w:link w:val="a4"/>
    <w:uiPriority w:val="99"/>
    <w:rsid w:val="009F34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51">
    <w:name w:val="p151"/>
    <w:basedOn w:val="a"/>
    <w:rsid w:val="00010BB8"/>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9F34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34B9"/>
    <w:rPr>
      <w:sz w:val="18"/>
      <w:szCs w:val="18"/>
    </w:rPr>
  </w:style>
  <w:style w:type="paragraph" w:styleId="a4">
    <w:name w:val="footer"/>
    <w:basedOn w:val="a"/>
    <w:link w:val="Char0"/>
    <w:uiPriority w:val="99"/>
    <w:unhideWhenUsed/>
    <w:rsid w:val="009F34B9"/>
    <w:pPr>
      <w:tabs>
        <w:tab w:val="center" w:pos="4153"/>
        <w:tab w:val="right" w:pos="8306"/>
      </w:tabs>
      <w:snapToGrid w:val="0"/>
      <w:jc w:val="left"/>
    </w:pPr>
    <w:rPr>
      <w:sz w:val="18"/>
      <w:szCs w:val="18"/>
    </w:rPr>
  </w:style>
  <w:style w:type="character" w:customStyle="1" w:styleId="Char0">
    <w:name w:val="页脚 Char"/>
    <w:basedOn w:val="a0"/>
    <w:link w:val="a4"/>
    <w:uiPriority w:val="99"/>
    <w:rsid w:val="009F34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90542">
      <w:bodyDiv w:val="1"/>
      <w:marLeft w:val="0"/>
      <w:marRight w:val="0"/>
      <w:marTop w:val="0"/>
      <w:marBottom w:val="0"/>
      <w:divBdr>
        <w:top w:val="none" w:sz="0" w:space="0" w:color="auto"/>
        <w:left w:val="none" w:sz="0" w:space="0" w:color="auto"/>
        <w:bottom w:val="none" w:sz="0" w:space="0" w:color="auto"/>
        <w:right w:val="none" w:sz="0" w:space="0" w:color="auto"/>
      </w:divBdr>
      <w:divsChild>
        <w:div w:id="381100186">
          <w:marLeft w:val="0"/>
          <w:marRight w:val="0"/>
          <w:marTop w:val="0"/>
          <w:marBottom w:val="0"/>
          <w:divBdr>
            <w:top w:val="none" w:sz="0" w:space="0" w:color="auto"/>
            <w:left w:val="none" w:sz="0" w:space="0" w:color="auto"/>
            <w:bottom w:val="none" w:sz="0" w:space="0" w:color="auto"/>
            <w:right w:val="none" w:sz="0" w:space="0" w:color="auto"/>
          </w:divBdr>
          <w:divsChild>
            <w:div w:id="74057419">
              <w:marLeft w:val="0"/>
              <w:marRight w:val="0"/>
              <w:marTop w:val="0"/>
              <w:marBottom w:val="0"/>
              <w:divBdr>
                <w:top w:val="none" w:sz="0" w:space="0" w:color="auto"/>
                <w:left w:val="none" w:sz="0" w:space="0" w:color="auto"/>
                <w:bottom w:val="none" w:sz="0" w:space="0" w:color="auto"/>
                <w:right w:val="none" w:sz="0" w:space="0" w:color="auto"/>
              </w:divBdr>
              <w:divsChild>
                <w:div w:id="434400580">
                  <w:marLeft w:val="105"/>
                  <w:marRight w:val="105"/>
                  <w:marTop w:val="0"/>
                  <w:marBottom w:val="0"/>
                  <w:divBdr>
                    <w:top w:val="none" w:sz="0" w:space="0" w:color="auto"/>
                    <w:left w:val="none" w:sz="0" w:space="0" w:color="auto"/>
                    <w:bottom w:val="none" w:sz="0" w:space="0" w:color="auto"/>
                    <w:right w:val="none" w:sz="0" w:space="0" w:color="auto"/>
                  </w:divBdr>
                  <w:divsChild>
                    <w:div w:id="1643192810">
                      <w:marLeft w:val="0"/>
                      <w:marRight w:val="0"/>
                      <w:marTop w:val="0"/>
                      <w:marBottom w:val="0"/>
                      <w:divBdr>
                        <w:top w:val="none" w:sz="0" w:space="0" w:color="auto"/>
                        <w:left w:val="none" w:sz="0" w:space="0" w:color="auto"/>
                        <w:bottom w:val="none" w:sz="0" w:space="0" w:color="auto"/>
                        <w:right w:val="none" w:sz="0" w:space="0" w:color="auto"/>
                      </w:divBdr>
                      <w:divsChild>
                        <w:div w:id="1692415197">
                          <w:marLeft w:val="0"/>
                          <w:marRight w:val="0"/>
                          <w:marTop w:val="0"/>
                          <w:marBottom w:val="0"/>
                          <w:divBdr>
                            <w:top w:val="none" w:sz="0" w:space="0" w:color="auto"/>
                            <w:left w:val="none" w:sz="0" w:space="0" w:color="auto"/>
                            <w:bottom w:val="single" w:sz="12" w:space="11" w:color="CCCCCC"/>
                            <w:right w:val="none" w:sz="0" w:space="0" w:color="auto"/>
                          </w:divBdr>
                        </w:div>
                        <w:div w:id="127938963">
                          <w:marLeft w:val="0"/>
                          <w:marRight w:val="0"/>
                          <w:marTop w:val="0"/>
                          <w:marBottom w:val="300"/>
                          <w:divBdr>
                            <w:top w:val="none" w:sz="0" w:space="0" w:color="auto"/>
                            <w:left w:val="none" w:sz="0" w:space="0" w:color="auto"/>
                            <w:bottom w:val="none" w:sz="0" w:space="0" w:color="auto"/>
                            <w:right w:val="none" w:sz="0" w:space="0" w:color="auto"/>
                          </w:divBdr>
                        </w:div>
                        <w:div w:id="16523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2016-03-15T06:29:00Z</dcterms:created>
  <dcterms:modified xsi:type="dcterms:W3CDTF">2016-03-23T03:17:00Z</dcterms:modified>
</cp:coreProperties>
</file>