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E66" w:rsidRPr="002C4E66" w:rsidRDefault="002C4E66" w:rsidP="00E562A8">
      <w:pPr>
        <w:widowControl/>
        <w:shd w:val="clear" w:color="auto" w:fill="FFFFFF"/>
        <w:spacing w:line="360" w:lineRule="auto"/>
        <w:jc w:val="center"/>
        <w:rPr>
          <w:rFonts w:ascii="微软雅黑" w:eastAsia="微软雅黑" w:hAnsi="微软雅黑" w:cs="宋体"/>
          <w:b/>
          <w:bCs/>
          <w:color w:val="0C5CB1"/>
          <w:kern w:val="0"/>
          <w:sz w:val="30"/>
          <w:szCs w:val="30"/>
        </w:rPr>
      </w:pPr>
      <w:r w:rsidRPr="002C4E66">
        <w:rPr>
          <w:rFonts w:ascii="微软雅黑" w:eastAsia="微软雅黑" w:hAnsi="微软雅黑" w:cs="宋体" w:hint="eastAsia"/>
          <w:b/>
          <w:bCs/>
          <w:color w:val="0C5CB1"/>
          <w:kern w:val="0"/>
          <w:sz w:val="30"/>
          <w:szCs w:val="30"/>
        </w:rPr>
        <w:t>公开募集证券投资基金风险准备金监督管理暂行办法</w:t>
      </w:r>
    </w:p>
    <w:p w:rsidR="002C4E66" w:rsidRPr="002C4E66" w:rsidRDefault="002C4E66" w:rsidP="002C4E66">
      <w:pPr>
        <w:widowControl/>
        <w:shd w:val="clear" w:color="auto" w:fill="FFFFFF"/>
        <w:spacing w:line="480" w:lineRule="auto"/>
        <w:jc w:val="center"/>
        <w:rPr>
          <w:rFonts w:ascii="inherit" w:eastAsia="宋体" w:hAnsi="inherit" w:cs="宋体" w:hint="eastAsia"/>
          <w:color w:val="888888"/>
          <w:kern w:val="0"/>
          <w:sz w:val="18"/>
          <w:szCs w:val="18"/>
        </w:rPr>
      </w:pPr>
      <w:r w:rsidRPr="002C4E66">
        <w:rPr>
          <w:rFonts w:ascii="inherit" w:eastAsia="宋体" w:hAnsi="inherit" w:cs="宋体"/>
          <w:color w:val="888888"/>
          <w:kern w:val="0"/>
          <w:sz w:val="18"/>
          <w:szCs w:val="18"/>
        </w:rPr>
        <w:t>中国证监会</w:t>
      </w:r>
      <w:r w:rsidRPr="002C4E66">
        <w:rPr>
          <w:rFonts w:ascii="inherit" w:eastAsia="宋体" w:hAnsi="inherit" w:cs="宋体"/>
          <w:color w:val="888888"/>
          <w:kern w:val="0"/>
          <w:sz w:val="18"/>
          <w:szCs w:val="18"/>
        </w:rPr>
        <w:t xml:space="preserve"> www.csrc.gov.cn </w:t>
      </w:r>
      <w:r w:rsidRPr="002C4E66">
        <w:rPr>
          <w:rFonts w:ascii="inherit" w:eastAsia="宋体" w:hAnsi="inherit" w:cs="宋体"/>
          <w:color w:val="888888"/>
          <w:kern w:val="0"/>
          <w:sz w:val="18"/>
          <w:szCs w:val="18"/>
        </w:rPr>
        <w:t>时间：</w:t>
      </w:r>
      <w:r w:rsidRPr="002C4E66">
        <w:rPr>
          <w:rFonts w:ascii="inherit" w:eastAsia="宋体" w:hAnsi="inherit" w:cs="宋体"/>
          <w:color w:val="888888"/>
          <w:kern w:val="0"/>
          <w:sz w:val="18"/>
          <w:szCs w:val="18"/>
        </w:rPr>
        <w:t xml:space="preserve">2014-01-22 </w:t>
      </w:r>
      <w:r w:rsidRPr="002C4E66">
        <w:rPr>
          <w:rFonts w:ascii="inherit" w:eastAsia="宋体" w:hAnsi="inherit" w:cs="宋体"/>
          <w:color w:val="888888"/>
          <w:kern w:val="0"/>
          <w:sz w:val="18"/>
          <w:szCs w:val="18"/>
        </w:rPr>
        <w:t>来源：</w:t>
      </w:r>
      <w:r w:rsidRPr="002C4E66">
        <w:rPr>
          <w:rFonts w:ascii="inherit" w:eastAsia="宋体" w:hAnsi="inherit" w:cs="宋体"/>
          <w:color w:val="888888"/>
          <w:kern w:val="0"/>
          <w:sz w:val="18"/>
          <w:szCs w:val="18"/>
        </w:rPr>
        <w:t xml:space="preserve"> </w:t>
      </w:r>
    </w:p>
    <w:p w:rsidR="002C4E66" w:rsidRPr="002C4E66" w:rsidRDefault="002C4E66" w:rsidP="00E562A8">
      <w:pPr>
        <w:widowControl/>
        <w:shd w:val="clear" w:color="auto" w:fill="FFFFFF"/>
        <w:ind w:firstLine="359"/>
        <w:jc w:val="center"/>
        <w:rPr>
          <w:rFonts w:ascii="宋体" w:eastAsia="宋体" w:hAnsi="宋体" w:cs="宋体"/>
          <w:color w:val="333333"/>
          <w:kern w:val="0"/>
          <w:szCs w:val="21"/>
        </w:rPr>
      </w:pPr>
      <w:r w:rsidRPr="002C4E66">
        <w:rPr>
          <w:rFonts w:ascii="宋体" w:eastAsia="宋体" w:hAnsi="宋体" w:cs="宋体" w:hint="eastAsia"/>
          <w:color w:val="333333"/>
          <w:kern w:val="0"/>
          <w:szCs w:val="21"/>
        </w:rPr>
        <w:t>（2013年9月24日 证监会令第94号）</w:t>
      </w:r>
    </w:p>
    <w:p w:rsidR="002C4E66" w:rsidRPr="002C4E66" w:rsidRDefault="002C4E66" w:rsidP="002C4E66">
      <w:pPr>
        <w:widowControl/>
        <w:shd w:val="clear" w:color="auto" w:fill="FFFFFF"/>
        <w:ind w:firstLine="359"/>
        <w:jc w:val="left"/>
        <w:rPr>
          <w:rFonts w:ascii="宋体" w:eastAsia="宋体" w:hAnsi="宋体" w:cs="宋体"/>
          <w:color w:val="333333"/>
          <w:kern w:val="0"/>
          <w:szCs w:val="21"/>
        </w:rPr>
      </w:pPr>
    </w:p>
    <w:p w:rsidR="002C4E66" w:rsidRPr="002C4E66" w:rsidRDefault="002C4E66" w:rsidP="002C4E66">
      <w:pPr>
        <w:widowControl/>
        <w:shd w:val="clear" w:color="auto" w:fill="FFFFFF"/>
        <w:spacing w:line="360" w:lineRule="auto"/>
        <w:ind w:firstLine="357"/>
        <w:jc w:val="center"/>
        <w:rPr>
          <w:rFonts w:ascii="宋体" w:eastAsia="宋体" w:hAnsi="宋体" w:cs="宋体"/>
          <w:b/>
          <w:bCs/>
          <w:kern w:val="0"/>
          <w:szCs w:val="21"/>
        </w:rPr>
      </w:pPr>
      <w:r w:rsidRPr="002C4E66">
        <w:rPr>
          <w:rFonts w:ascii="宋体" w:eastAsia="宋体" w:hAnsi="宋体" w:cs="宋体" w:hint="eastAsia"/>
          <w:b/>
          <w:bCs/>
          <w:color w:val="333333"/>
          <w:kern w:val="0"/>
          <w:szCs w:val="21"/>
        </w:rPr>
        <w:t>第一章 总  则</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kern w:val="0"/>
          <w:szCs w:val="21"/>
        </w:rPr>
      </w:pPr>
      <w:r w:rsidRPr="002C4E66">
        <w:rPr>
          <w:rFonts w:ascii="宋体" w:eastAsia="宋体" w:hAnsi="宋体" w:cs="宋体" w:hint="eastAsia"/>
          <w:color w:val="333333"/>
          <w:kern w:val="0"/>
          <w:szCs w:val="21"/>
        </w:rPr>
        <w:t>第一条 为保护公开募集证券投资基金（以下简称基金）份额持有人的合法权益，增强基金行业风险防范能力，促进基金管理人及托管人规范经营和持续发展，根据《证券投资基金法》及其他有关法律法规，制定本办法。</w:t>
      </w:r>
    </w:p>
    <w:p w:rsidR="002C4E66" w:rsidRPr="00E562A8" w:rsidRDefault="002C4E66" w:rsidP="00E562A8">
      <w:pPr>
        <w:widowControl/>
        <w:shd w:val="clear" w:color="auto" w:fill="FFFFFF"/>
        <w:spacing w:line="360" w:lineRule="auto"/>
        <w:ind w:firstLineChars="200" w:firstLine="420"/>
        <w:jc w:val="left"/>
        <w:rPr>
          <w:rFonts w:ascii="宋体" w:eastAsia="宋体" w:hAnsi="宋体" w:cs="宋体"/>
          <w:b/>
          <w:color w:val="FF0000"/>
          <w:kern w:val="0"/>
          <w:szCs w:val="21"/>
        </w:rPr>
      </w:pPr>
      <w:r w:rsidRPr="002C4E66">
        <w:rPr>
          <w:rFonts w:ascii="宋体" w:eastAsia="宋体" w:hAnsi="宋体" w:cs="宋体" w:hint="eastAsia"/>
          <w:color w:val="333333"/>
          <w:kern w:val="0"/>
          <w:szCs w:val="21"/>
        </w:rPr>
        <w:t>第二条</w:t>
      </w:r>
      <w:r w:rsidRPr="00E562A8">
        <w:rPr>
          <w:rFonts w:ascii="宋体" w:eastAsia="宋体" w:hAnsi="宋体" w:cs="宋体" w:hint="eastAsia"/>
          <w:color w:val="FF0000"/>
          <w:kern w:val="0"/>
          <w:szCs w:val="21"/>
        </w:rPr>
        <w:t xml:space="preserve"> </w:t>
      </w:r>
      <w:r w:rsidRPr="00E562A8">
        <w:rPr>
          <w:rFonts w:ascii="宋体" w:eastAsia="宋体" w:hAnsi="宋体" w:cs="宋体" w:hint="eastAsia"/>
          <w:b/>
          <w:color w:val="FF0000"/>
          <w:kern w:val="0"/>
          <w:szCs w:val="21"/>
          <w:highlight w:val="yellow"/>
        </w:rPr>
        <w:t>在中国境内依法设立的基金管理人与托管人，应当从基金管理费或者托管费收入中计</w:t>
      </w:r>
      <w:proofErr w:type="gramStart"/>
      <w:r w:rsidRPr="00E562A8">
        <w:rPr>
          <w:rFonts w:ascii="宋体" w:eastAsia="宋体" w:hAnsi="宋体" w:cs="宋体" w:hint="eastAsia"/>
          <w:b/>
          <w:color w:val="FF0000"/>
          <w:kern w:val="0"/>
          <w:szCs w:val="21"/>
          <w:highlight w:val="yellow"/>
        </w:rPr>
        <w:t>提风险</w:t>
      </w:r>
      <w:proofErr w:type="gramEnd"/>
      <w:r w:rsidRPr="00E562A8">
        <w:rPr>
          <w:rFonts w:ascii="宋体" w:eastAsia="宋体" w:hAnsi="宋体" w:cs="宋体" w:hint="eastAsia"/>
          <w:b/>
          <w:color w:val="FF0000"/>
          <w:kern w:val="0"/>
          <w:szCs w:val="21"/>
          <w:highlight w:val="yellow"/>
        </w:rPr>
        <w:t>准备金。</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 xml:space="preserve">第三条 </w:t>
      </w:r>
      <w:r w:rsidRPr="006C2CFF">
        <w:rPr>
          <w:rFonts w:ascii="宋体" w:eastAsia="宋体" w:hAnsi="宋体" w:cs="宋体" w:hint="eastAsia"/>
          <w:b/>
          <w:color w:val="FF0000"/>
          <w:kern w:val="0"/>
          <w:szCs w:val="21"/>
        </w:rPr>
        <w:t>风险准备金主要用于弥补因基金管理人或托管人</w:t>
      </w:r>
      <w:r w:rsidRPr="006C2CFF">
        <w:rPr>
          <w:rFonts w:ascii="宋体" w:eastAsia="宋体" w:hAnsi="宋体" w:cs="宋体" w:hint="eastAsia"/>
          <w:b/>
          <w:color w:val="FF0000"/>
          <w:kern w:val="0"/>
          <w:szCs w:val="21"/>
          <w:highlight w:val="yellow"/>
        </w:rPr>
        <w:t>违法违规、违反基金合同、操作错误或因技术故障等原因</w:t>
      </w:r>
      <w:r w:rsidRPr="006C2CFF">
        <w:rPr>
          <w:rFonts w:ascii="宋体" w:eastAsia="宋体" w:hAnsi="宋体" w:cs="宋体" w:hint="eastAsia"/>
          <w:b/>
          <w:color w:val="FF0000"/>
          <w:kern w:val="0"/>
          <w:szCs w:val="21"/>
        </w:rPr>
        <w:t>给基金财产或基金份额持有人造成的损失，以及中国证券监督管理委员会（以下简称中国证监会）规定的其他用途。</w:t>
      </w:r>
      <w:r w:rsidRPr="002C4E66">
        <w:rPr>
          <w:rFonts w:ascii="宋体" w:eastAsia="宋体" w:hAnsi="宋体" w:cs="宋体" w:hint="eastAsia"/>
          <w:b/>
          <w:color w:val="FF0000"/>
          <w:kern w:val="0"/>
          <w:szCs w:val="21"/>
        </w:rPr>
        <w:t>风险准备金不足以赔偿上述损失的，基金管理人与托管人应当使用其他自有财产进行赔偿。</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第四条 中国证监会依法对基金管理人与托管人风险准备金提取、投资运作、使用等活动进行监督管理。</w:t>
      </w:r>
    </w:p>
    <w:p w:rsidR="002C4E66" w:rsidRPr="002C4E66" w:rsidRDefault="002C4E66" w:rsidP="00E562A8">
      <w:pPr>
        <w:widowControl/>
        <w:shd w:val="clear" w:color="auto" w:fill="FFFFFF"/>
        <w:spacing w:line="360" w:lineRule="auto"/>
        <w:ind w:firstLine="357"/>
        <w:jc w:val="center"/>
        <w:rPr>
          <w:rFonts w:ascii="宋体" w:eastAsia="宋体" w:hAnsi="宋体" w:cs="宋体"/>
          <w:color w:val="333333"/>
          <w:kern w:val="0"/>
          <w:szCs w:val="21"/>
        </w:rPr>
      </w:pPr>
      <w:r w:rsidRPr="002C4E66">
        <w:rPr>
          <w:rFonts w:ascii="宋体" w:eastAsia="宋体" w:hAnsi="宋体" w:cs="宋体" w:hint="eastAsia"/>
          <w:b/>
          <w:bCs/>
          <w:color w:val="333333"/>
          <w:kern w:val="0"/>
          <w:szCs w:val="21"/>
        </w:rPr>
        <w:t>第二章 风险准备金的提取、管理与使用</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第五条 基金管理人应当</w:t>
      </w:r>
      <w:r w:rsidRPr="00E562A8">
        <w:rPr>
          <w:rFonts w:ascii="宋体" w:eastAsia="宋体" w:hAnsi="宋体" w:cs="宋体" w:hint="eastAsia"/>
          <w:b/>
          <w:color w:val="FF0000"/>
          <w:kern w:val="0"/>
          <w:szCs w:val="21"/>
          <w:highlight w:val="yellow"/>
        </w:rPr>
        <w:t>每月</w:t>
      </w:r>
      <w:r w:rsidRPr="002C4E66">
        <w:rPr>
          <w:rFonts w:ascii="宋体" w:eastAsia="宋体" w:hAnsi="宋体" w:cs="宋体" w:hint="eastAsia"/>
          <w:b/>
          <w:color w:val="FF0000"/>
          <w:kern w:val="0"/>
          <w:szCs w:val="21"/>
        </w:rPr>
        <w:t>从基金管理费收入中计</w:t>
      </w:r>
      <w:proofErr w:type="gramStart"/>
      <w:r w:rsidRPr="002C4E66">
        <w:rPr>
          <w:rFonts w:ascii="宋体" w:eastAsia="宋体" w:hAnsi="宋体" w:cs="宋体" w:hint="eastAsia"/>
          <w:b/>
          <w:color w:val="FF0000"/>
          <w:kern w:val="0"/>
          <w:szCs w:val="21"/>
        </w:rPr>
        <w:t>提风险</w:t>
      </w:r>
      <w:proofErr w:type="gramEnd"/>
      <w:r w:rsidRPr="002C4E66">
        <w:rPr>
          <w:rFonts w:ascii="宋体" w:eastAsia="宋体" w:hAnsi="宋体" w:cs="宋体" w:hint="eastAsia"/>
          <w:b/>
          <w:color w:val="FF0000"/>
          <w:kern w:val="0"/>
          <w:szCs w:val="21"/>
        </w:rPr>
        <w:t>准备金，</w:t>
      </w:r>
      <w:r w:rsidRPr="00E562A8">
        <w:rPr>
          <w:rFonts w:ascii="宋体" w:eastAsia="宋体" w:hAnsi="宋体" w:cs="宋体" w:hint="eastAsia"/>
          <w:b/>
          <w:color w:val="FF0000"/>
          <w:kern w:val="0"/>
          <w:szCs w:val="21"/>
          <w:highlight w:val="yellow"/>
        </w:rPr>
        <w:t>计提比例不得低于基金管理费收入的10%。风险准备金余额达到</w:t>
      </w:r>
      <w:r w:rsidRPr="006C2CFF">
        <w:rPr>
          <w:rFonts w:ascii="宋体" w:eastAsia="宋体" w:hAnsi="宋体" w:cs="宋体" w:hint="eastAsia"/>
          <w:b/>
          <w:color w:val="FF0000"/>
          <w:kern w:val="0"/>
          <w:szCs w:val="21"/>
          <w:highlight w:val="lightGray"/>
        </w:rPr>
        <w:t>上季末管理基金资产净值</w:t>
      </w:r>
      <w:r w:rsidRPr="00E562A8">
        <w:rPr>
          <w:rFonts w:ascii="宋体" w:eastAsia="宋体" w:hAnsi="宋体" w:cs="宋体" w:hint="eastAsia"/>
          <w:b/>
          <w:color w:val="FF0000"/>
          <w:kern w:val="0"/>
          <w:szCs w:val="21"/>
          <w:highlight w:val="yellow"/>
        </w:rPr>
        <w:t>的1%时可以不再提取</w:t>
      </w:r>
      <w:r w:rsidRPr="002C4E66">
        <w:rPr>
          <w:rFonts w:ascii="宋体" w:eastAsia="宋体" w:hAnsi="宋体" w:cs="宋体" w:hint="eastAsia"/>
          <w:b/>
          <w:color w:val="FF0000"/>
          <w:kern w:val="0"/>
          <w:szCs w:val="21"/>
        </w:rPr>
        <w:t>。</w:t>
      </w:r>
      <w:r w:rsidRPr="00E562A8">
        <w:rPr>
          <w:rFonts w:ascii="宋体" w:eastAsia="宋体" w:hAnsi="宋体" w:cs="宋体" w:hint="eastAsia"/>
          <w:b/>
          <w:color w:val="FF0000"/>
          <w:kern w:val="0"/>
          <w:szCs w:val="21"/>
          <w:highlight w:val="yellow"/>
        </w:rPr>
        <w:t>风险准备金余额高于上季末管理基金资产净值1%的，基金管理人可以申请转出部分资金，但转出后的风险准备金余额不得低于上季末管理基金资产净值的1%。</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第六条 基金</w:t>
      </w:r>
      <w:r w:rsidRPr="002C4E66">
        <w:rPr>
          <w:rFonts w:ascii="宋体" w:eastAsia="宋体" w:hAnsi="宋体" w:cs="宋体" w:hint="eastAsia"/>
          <w:b/>
          <w:color w:val="FF0000"/>
          <w:kern w:val="0"/>
          <w:szCs w:val="21"/>
        </w:rPr>
        <w:t>托管人</w:t>
      </w:r>
      <w:r w:rsidRPr="002C4E66">
        <w:rPr>
          <w:rFonts w:ascii="宋体" w:eastAsia="宋体" w:hAnsi="宋体" w:cs="宋体" w:hint="eastAsia"/>
          <w:color w:val="333333"/>
          <w:kern w:val="0"/>
          <w:szCs w:val="21"/>
        </w:rPr>
        <w:t>应当每月从基金托管费收入中计</w:t>
      </w:r>
      <w:proofErr w:type="gramStart"/>
      <w:r w:rsidRPr="002C4E66">
        <w:rPr>
          <w:rFonts w:ascii="宋体" w:eastAsia="宋体" w:hAnsi="宋体" w:cs="宋体" w:hint="eastAsia"/>
          <w:color w:val="333333"/>
          <w:kern w:val="0"/>
          <w:szCs w:val="21"/>
        </w:rPr>
        <w:t>提风险</w:t>
      </w:r>
      <w:proofErr w:type="gramEnd"/>
      <w:r w:rsidRPr="002C4E66">
        <w:rPr>
          <w:rFonts w:ascii="宋体" w:eastAsia="宋体" w:hAnsi="宋体" w:cs="宋体" w:hint="eastAsia"/>
          <w:color w:val="333333"/>
          <w:kern w:val="0"/>
          <w:szCs w:val="21"/>
        </w:rPr>
        <w:t>准备金，计提比例不得低于基金托管费收入的</w:t>
      </w:r>
      <w:r w:rsidRPr="002C4E66">
        <w:rPr>
          <w:rFonts w:ascii="宋体" w:eastAsia="宋体" w:hAnsi="宋体" w:cs="宋体" w:hint="eastAsia"/>
          <w:b/>
          <w:color w:val="FF0000"/>
          <w:kern w:val="0"/>
          <w:szCs w:val="21"/>
        </w:rPr>
        <w:t>2.5%。</w:t>
      </w:r>
      <w:r w:rsidRPr="002C4E66">
        <w:rPr>
          <w:rFonts w:ascii="宋体" w:eastAsia="宋体" w:hAnsi="宋体" w:cs="宋体" w:hint="eastAsia"/>
          <w:color w:val="333333"/>
          <w:kern w:val="0"/>
          <w:szCs w:val="21"/>
        </w:rPr>
        <w:t>风险准备金余额达到上季末托管基金资产净值的</w:t>
      </w:r>
      <w:r w:rsidRPr="002C4E66">
        <w:rPr>
          <w:rFonts w:ascii="宋体" w:eastAsia="宋体" w:hAnsi="宋体" w:cs="宋体" w:hint="eastAsia"/>
          <w:b/>
          <w:color w:val="FF0000"/>
          <w:kern w:val="0"/>
          <w:szCs w:val="21"/>
        </w:rPr>
        <w:t>0.25%</w:t>
      </w:r>
      <w:r w:rsidRPr="002C4E66">
        <w:rPr>
          <w:rFonts w:ascii="宋体" w:eastAsia="宋体" w:hAnsi="宋体" w:cs="宋体" w:hint="eastAsia"/>
          <w:color w:val="333333"/>
          <w:kern w:val="0"/>
          <w:szCs w:val="21"/>
        </w:rPr>
        <w:t>时可以不再提取。</w:t>
      </w:r>
      <w:r w:rsidRPr="002C4E66">
        <w:rPr>
          <w:rFonts w:ascii="宋体" w:eastAsia="宋体" w:hAnsi="宋体" w:cs="宋体" w:hint="eastAsia"/>
          <w:b/>
          <w:color w:val="FF0000"/>
          <w:kern w:val="0"/>
          <w:szCs w:val="21"/>
        </w:rPr>
        <w:t>风险准备金余额高于上季末托管基金资产净值0.25%的，基金托管人可以申请转出部分资金，但转出后的风险准备金余额不得低于上季末托管基金资产净值的0.25%。</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FF0000"/>
          <w:kern w:val="0"/>
          <w:szCs w:val="21"/>
        </w:rPr>
      </w:pPr>
      <w:r w:rsidRPr="002C4E66">
        <w:rPr>
          <w:rFonts w:ascii="宋体" w:eastAsia="宋体" w:hAnsi="宋体" w:cs="宋体" w:hint="eastAsia"/>
          <w:color w:val="333333"/>
          <w:kern w:val="0"/>
          <w:szCs w:val="21"/>
        </w:rPr>
        <w:t>第七条 中国证监会可根据对基金管理人的</w:t>
      </w:r>
      <w:r w:rsidRPr="002C4E66">
        <w:rPr>
          <w:rFonts w:ascii="宋体" w:eastAsia="宋体" w:hAnsi="宋体" w:cs="宋体" w:hint="eastAsia"/>
          <w:color w:val="FF0000"/>
          <w:kern w:val="0"/>
          <w:szCs w:val="21"/>
        </w:rPr>
        <w:t>综合评价结果，要求综合评价较低、风险较为突出的基金管理人提高风险准备金的计提比例或一次性补足一定金额的风险准备金。</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第八条 基金管理人与托管人应当选定一家具有基金托管资格的商业银行（以下简称存管银行）开立专门的风险准备金账户（以下简称风险准备金专户），用于风险准备金的归集、存放与支付。</w:t>
      </w:r>
      <w:r w:rsidRPr="002C4E66">
        <w:rPr>
          <w:rFonts w:ascii="宋体" w:eastAsia="宋体" w:hAnsi="宋体" w:cs="宋体" w:hint="eastAsia"/>
          <w:b/>
          <w:color w:val="FF0000"/>
          <w:kern w:val="0"/>
          <w:szCs w:val="21"/>
        </w:rPr>
        <w:t>该账户不得与其他类型账户混用，不得存放其他性质资金。</w:t>
      </w:r>
    </w:p>
    <w:p w:rsidR="002C4E66" w:rsidRPr="002C4E66" w:rsidRDefault="002C4E66" w:rsidP="00E562A8">
      <w:pPr>
        <w:widowControl/>
        <w:shd w:val="clear" w:color="auto" w:fill="FFFFFF"/>
        <w:spacing w:line="360" w:lineRule="auto"/>
        <w:ind w:firstLineChars="200" w:firstLine="422"/>
        <w:jc w:val="left"/>
        <w:rPr>
          <w:rFonts w:ascii="宋体" w:eastAsia="宋体" w:hAnsi="宋体" w:cs="宋体"/>
          <w:b/>
          <w:color w:val="FF0000"/>
          <w:kern w:val="0"/>
          <w:szCs w:val="21"/>
        </w:rPr>
      </w:pPr>
      <w:r w:rsidRPr="002C4E66">
        <w:rPr>
          <w:rFonts w:ascii="宋体" w:eastAsia="宋体" w:hAnsi="宋体" w:cs="宋体" w:hint="eastAsia"/>
          <w:b/>
          <w:color w:val="FF0000"/>
          <w:kern w:val="0"/>
          <w:szCs w:val="21"/>
        </w:rPr>
        <w:lastRenderedPageBreak/>
        <w:t>商业银行基金托管人</w:t>
      </w:r>
      <w:r w:rsidRPr="00E562A8">
        <w:rPr>
          <w:rFonts w:ascii="宋体" w:eastAsia="宋体" w:hAnsi="宋体" w:cs="宋体" w:hint="eastAsia"/>
          <w:b/>
          <w:color w:val="FF0000"/>
          <w:kern w:val="0"/>
          <w:szCs w:val="21"/>
          <w:highlight w:val="yellow"/>
        </w:rPr>
        <w:t>不得在</w:t>
      </w:r>
      <w:r w:rsidRPr="002C4E66">
        <w:rPr>
          <w:rFonts w:ascii="宋体" w:eastAsia="宋体" w:hAnsi="宋体" w:cs="宋体" w:hint="eastAsia"/>
          <w:b/>
          <w:color w:val="FF0000"/>
          <w:kern w:val="0"/>
          <w:szCs w:val="21"/>
        </w:rPr>
        <w:t>本行开立风险准备金专户。</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第九条 基金管理人应当将风险准备金专户及风险准备金的提取、划转等程序告知相关基金托管人。相关基金托管人应当于每月划付基金管理人管理费用的同时，将计提的风险准备金划入相应的风险准备金专户。</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基金托管人应当于每月划付基金托管人托管费用的同时，将计提的风险准备金划入相应的风险准备金专户。</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第十条 基金管理人发生需要使用风险准备金的情形时，应当经相关基金托管人复核后，交由风险准备金存管银行办理。基金管理人应在使用风险准备金后</w:t>
      </w:r>
      <w:r w:rsidRPr="00E562A8">
        <w:rPr>
          <w:rFonts w:ascii="宋体" w:eastAsia="宋体" w:hAnsi="宋体" w:cs="宋体" w:hint="eastAsia"/>
          <w:b/>
          <w:color w:val="FF0000"/>
          <w:kern w:val="0"/>
          <w:szCs w:val="21"/>
        </w:rPr>
        <w:t>2个工作日内将相关情况书面报告中国证监会，并在基金管理人监察稽核季度报告中予以说明。</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基金托管人发生需要使用风险准备金的情形时，应当经相关基金管理人复核后，交由风险准备金存管银行办理。基金托管人应在使用风险准备金后2个工作日内将相关情况书面报告中国证监会，并在基金托管人托管业务运营情况季度报告中予以说明。</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第十一条 风险准备金被人民法院依法查封、扣押、冻结或强制执行的，风险准备金存管银行以及相关基金管理人与托管人应当立即报告中国证监会。由此影响风险准备金的使用或者风险准备金减少的，基金管理人与托管人应</w:t>
      </w:r>
      <w:r w:rsidRPr="002C4E66">
        <w:rPr>
          <w:rFonts w:ascii="宋体" w:eastAsia="宋体" w:hAnsi="宋体" w:cs="宋体" w:hint="eastAsia"/>
          <w:b/>
          <w:color w:val="FF0000"/>
          <w:kern w:val="0"/>
          <w:szCs w:val="21"/>
        </w:rPr>
        <w:t>在5个工作日内予以补足</w:t>
      </w:r>
      <w:r w:rsidRPr="002C4E66">
        <w:rPr>
          <w:rFonts w:ascii="宋体" w:eastAsia="宋体" w:hAnsi="宋体" w:cs="宋体" w:hint="eastAsia"/>
          <w:color w:val="333333"/>
          <w:kern w:val="0"/>
          <w:szCs w:val="21"/>
        </w:rPr>
        <w:t>。</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 xml:space="preserve">第十二条 </w:t>
      </w:r>
      <w:r w:rsidRPr="002C4E66">
        <w:rPr>
          <w:rFonts w:ascii="宋体" w:eastAsia="宋体" w:hAnsi="宋体" w:cs="宋体" w:hint="eastAsia"/>
          <w:b/>
          <w:color w:val="FF0000"/>
          <w:kern w:val="0"/>
          <w:szCs w:val="21"/>
        </w:rPr>
        <w:t>风险准备金属特定用途资金，基金管理人</w:t>
      </w:r>
      <w:bookmarkStart w:id="0" w:name="_GoBack"/>
      <w:bookmarkEnd w:id="0"/>
      <w:r w:rsidRPr="002C4E66">
        <w:rPr>
          <w:rFonts w:ascii="宋体" w:eastAsia="宋体" w:hAnsi="宋体" w:cs="宋体" w:hint="eastAsia"/>
          <w:b/>
          <w:color w:val="FF0000"/>
          <w:kern w:val="0"/>
          <w:szCs w:val="21"/>
        </w:rPr>
        <w:t>与托管人不得以任何形式擅自占用、挪用或借用。</w:t>
      </w:r>
    </w:p>
    <w:p w:rsidR="002C4E66" w:rsidRPr="002C4E66" w:rsidRDefault="002C4E66" w:rsidP="00E562A8">
      <w:pPr>
        <w:widowControl/>
        <w:shd w:val="clear" w:color="auto" w:fill="FFFFFF"/>
        <w:spacing w:line="360" w:lineRule="auto"/>
        <w:ind w:firstLine="357"/>
        <w:jc w:val="center"/>
        <w:rPr>
          <w:rFonts w:ascii="宋体" w:eastAsia="宋体" w:hAnsi="宋体" w:cs="宋体"/>
          <w:color w:val="333333"/>
          <w:kern w:val="0"/>
          <w:szCs w:val="21"/>
        </w:rPr>
      </w:pPr>
      <w:r w:rsidRPr="002C4E66">
        <w:rPr>
          <w:rFonts w:ascii="宋体" w:eastAsia="宋体" w:hAnsi="宋体" w:cs="宋体" w:hint="eastAsia"/>
          <w:b/>
          <w:bCs/>
          <w:color w:val="333333"/>
          <w:kern w:val="0"/>
          <w:szCs w:val="21"/>
        </w:rPr>
        <w:t>第三章 风险准备金的投资运作</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第十三条 在保证安全性与流动性的前提下，基金管理人与托管人可以对已提取的风险准备金进行自主投资管理或开展一定形式的委托投资。风险准备金投资应遵循分散化组合投资原则，事先约定各投资品种的投资比例等限制。</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第十四条 基金管理人风险准备金</w:t>
      </w:r>
      <w:r w:rsidRPr="002C4E66">
        <w:rPr>
          <w:rFonts w:ascii="宋体" w:eastAsia="宋体" w:hAnsi="宋体" w:cs="宋体" w:hint="eastAsia"/>
          <w:b/>
          <w:color w:val="FF0000"/>
          <w:kern w:val="0"/>
          <w:szCs w:val="21"/>
        </w:rPr>
        <w:t>可投资于银行存款、国债、中央银行票据、中央企业债券、中央级金融机构发行的金融债券，以及中国证监会规定的其他投资品种。</w:t>
      </w:r>
      <w:r w:rsidRPr="002C4E66">
        <w:rPr>
          <w:rFonts w:ascii="宋体" w:eastAsia="宋体" w:hAnsi="宋体" w:cs="宋体" w:hint="eastAsia"/>
          <w:color w:val="333333"/>
          <w:kern w:val="0"/>
          <w:szCs w:val="21"/>
        </w:rPr>
        <w:t>风险准备金专户应当保持</w:t>
      </w:r>
      <w:r w:rsidRPr="00E562A8">
        <w:rPr>
          <w:rFonts w:ascii="宋体" w:eastAsia="宋体" w:hAnsi="宋体" w:cs="宋体" w:hint="eastAsia"/>
          <w:b/>
          <w:color w:val="FF0000"/>
          <w:kern w:val="0"/>
          <w:szCs w:val="21"/>
          <w:highlight w:val="yellow"/>
        </w:rPr>
        <w:t>不低于风险准备金总额10%的现金</w:t>
      </w:r>
      <w:r w:rsidRPr="002C4E66">
        <w:rPr>
          <w:rFonts w:ascii="宋体" w:eastAsia="宋体" w:hAnsi="宋体" w:cs="宋体" w:hint="eastAsia"/>
          <w:b/>
          <w:color w:val="FF0000"/>
          <w:kern w:val="0"/>
          <w:szCs w:val="21"/>
        </w:rPr>
        <w:t>或者到期</w:t>
      </w:r>
      <w:r w:rsidRPr="00E562A8">
        <w:rPr>
          <w:rFonts w:ascii="宋体" w:eastAsia="宋体" w:hAnsi="宋体" w:cs="宋体" w:hint="eastAsia"/>
          <w:b/>
          <w:color w:val="FF0000"/>
          <w:kern w:val="0"/>
          <w:szCs w:val="21"/>
          <w:highlight w:val="yellow"/>
        </w:rPr>
        <w:t>日在一年以内的政府债券。</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基金托管人风险准备金的投资管理活动在符合所在行业监管机构有关规定的基础上参照上述要求执行。</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第十五条 风险准备金投资管理产生的各类投资损益，应纳入风险准备金管理。风险准备金投资运作和使用过程中发生的各项费用和税收，可以</w:t>
      </w:r>
      <w:proofErr w:type="gramStart"/>
      <w:r w:rsidRPr="002C4E66">
        <w:rPr>
          <w:rFonts w:ascii="宋体" w:eastAsia="宋体" w:hAnsi="宋体" w:cs="宋体" w:hint="eastAsia"/>
          <w:color w:val="333333"/>
          <w:kern w:val="0"/>
          <w:szCs w:val="21"/>
        </w:rPr>
        <w:t>由风险</w:t>
      </w:r>
      <w:proofErr w:type="gramEnd"/>
      <w:r w:rsidRPr="002C4E66">
        <w:rPr>
          <w:rFonts w:ascii="宋体" w:eastAsia="宋体" w:hAnsi="宋体" w:cs="宋体" w:hint="eastAsia"/>
          <w:color w:val="333333"/>
          <w:kern w:val="0"/>
          <w:szCs w:val="21"/>
        </w:rPr>
        <w:t>准备金承担。</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第十六条 风险准备金投资于本管理人管理或本托管人托管的基金，或者用于弥补基金财产相关损失等法定用途的，应当依法在相关基金的定期报告中披露。</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lastRenderedPageBreak/>
        <w:t>第十七条 风险准备金投资于本管理人管理或本托管人托管的基金的，基金管理人或基金托管人依法可以作为基金份额持有人向基金份额持有人大会提出议案，但对涉及本管理人或本托管人利益的表决事项应当回避。</w:t>
      </w:r>
    </w:p>
    <w:p w:rsidR="002C4E66" w:rsidRPr="002C4E66" w:rsidRDefault="002C4E66" w:rsidP="00E562A8">
      <w:pPr>
        <w:widowControl/>
        <w:shd w:val="clear" w:color="auto" w:fill="FFFFFF"/>
        <w:spacing w:line="360" w:lineRule="auto"/>
        <w:ind w:firstLine="357"/>
        <w:jc w:val="center"/>
        <w:rPr>
          <w:rFonts w:ascii="宋体" w:eastAsia="宋体" w:hAnsi="宋体" w:cs="宋体"/>
          <w:color w:val="333333"/>
          <w:kern w:val="0"/>
          <w:szCs w:val="21"/>
        </w:rPr>
      </w:pPr>
      <w:r w:rsidRPr="002C4E66">
        <w:rPr>
          <w:rFonts w:ascii="宋体" w:eastAsia="宋体" w:hAnsi="宋体" w:cs="宋体" w:hint="eastAsia"/>
          <w:b/>
          <w:bCs/>
          <w:color w:val="333333"/>
          <w:kern w:val="0"/>
          <w:szCs w:val="21"/>
        </w:rPr>
        <w:t>第四章 监 督 管 理</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第十八条 基金管理人与托管人应当建立完备的风险准备金管理制度，对风险准备金的提取、划转、投资管理、使用、支付等方面的程序进行规定，并留存备查。</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第十九条 基金管理人与托管人应当将风险准备金管理制度及时报送风险准备金存管银行。风险准备金存管银行应当制定完备规范的风险准备金专户监控管理规则，对基金管理人与托管人风险准备金的提取、投资运作和使用等情况进行监督，确保资金存放安全，提取、投资运作和使用符合相关规定。</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第二十条 风险准备金存管银行应当于每年结束之日</w:t>
      </w:r>
      <w:r w:rsidRPr="002C4E66">
        <w:rPr>
          <w:rFonts w:ascii="宋体" w:eastAsia="宋体" w:hAnsi="宋体" w:cs="宋体" w:hint="eastAsia"/>
          <w:b/>
          <w:color w:val="FF0000"/>
          <w:kern w:val="0"/>
          <w:szCs w:val="21"/>
        </w:rPr>
        <w:t>起一个月内</w:t>
      </w:r>
      <w:r w:rsidRPr="002C4E66">
        <w:rPr>
          <w:rFonts w:ascii="宋体" w:eastAsia="宋体" w:hAnsi="宋体" w:cs="宋体" w:hint="eastAsia"/>
          <w:color w:val="333333"/>
          <w:kern w:val="0"/>
          <w:szCs w:val="21"/>
        </w:rPr>
        <w:t>，向中国证监会提交上年度所存管风险准备金的提取、投资管理、支付使用、年末结余等情况的专项报告。</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基金管理人与托管人应在管理人监察稽核年度报告及托管人托管业务运营情况年度报告中对上年度风险准备金的提取、投资管理、使用、年末结余等情况作专项说明。</w:t>
      </w:r>
    </w:p>
    <w:p w:rsidR="002C4E66" w:rsidRPr="002C4E66" w:rsidRDefault="002C4E66" w:rsidP="00E562A8">
      <w:pPr>
        <w:widowControl/>
        <w:shd w:val="clear" w:color="auto" w:fill="FFFFFF"/>
        <w:spacing w:line="360" w:lineRule="auto"/>
        <w:ind w:firstLineChars="200" w:firstLine="420"/>
        <w:jc w:val="left"/>
        <w:rPr>
          <w:rFonts w:ascii="宋体" w:eastAsia="宋体" w:hAnsi="宋体" w:cs="宋体"/>
          <w:color w:val="333333"/>
          <w:kern w:val="0"/>
          <w:szCs w:val="21"/>
        </w:rPr>
      </w:pPr>
      <w:r w:rsidRPr="002C4E66">
        <w:rPr>
          <w:rFonts w:ascii="宋体" w:eastAsia="宋体" w:hAnsi="宋体" w:cs="宋体" w:hint="eastAsia"/>
          <w:color w:val="333333"/>
          <w:kern w:val="0"/>
          <w:szCs w:val="21"/>
        </w:rPr>
        <w:t>第二十一条 对没有按照规定提取、管理或使用风险准备金的基金管理人、托管人，中国证监会可以依法对其采取责令改正、暂不受理与行政许可有关的文件等行政监管措施；对直接负责的主管人员和其他直接责任人员，采取监管谈话、出具警示函、认定为不适当人选等行政监管措施；依法应</w:t>
      </w:r>
      <w:proofErr w:type="gramStart"/>
      <w:r w:rsidRPr="002C4E66">
        <w:rPr>
          <w:rFonts w:ascii="宋体" w:eastAsia="宋体" w:hAnsi="宋体" w:cs="宋体" w:hint="eastAsia"/>
          <w:color w:val="333333"/>
          <w:kern w:val="0"/>
          <w:szCs w:val="21"/>
        </w:rPr>
        <w:t>予行</w:t>
      </w:r>
      <w:proofErr w:type="gramEnd"/>
      <w:r w:rsidRPr="002C4E66">
        <w:rPr>
          <w:rFonts w:ascii="宋体" w:eastAsia="宋体" w:hAnsi="宋体" w:cs="宋体" w:hint="eastAsia"/>
          <w:color w:val="333333"/>
          <w:kern w:val="0"/>
          <w:szCs w:val="21"/>
        </w:rPr>
        <w:t>政处罚的，依照有关规定进行行政处罚；涉嫌犯罪的，依法移送司法机关，追究刑事责任。</w:t>
      </w:r>
    </w:p>
    <w:p w:rsidR="002C4E66" w:rsidRPr="002C4E66" w:rsidRDefault="002C4E66" w:rsidP="00E562A8">
      <w:pPr>
        <w:widowControl/>
        <w:shd w:val="clear" w:color="auto" w:fill="FFFFFF"/>
        <w:spacing w:line="360" w:lineRule="auto"/>
        <w:ind w:firstLine="357"/>
        <w:jc w:val="center"/>
        <w:rPr>
          <w:rFonts w:ascii="宋体" w:eastAsia="宋体" w:hAnsi="宋体" w:cs="宋体"/>
          <w:color w:val="333333"/>
          <w:kern w:val="0"/>
          <w:szCs w:val="21"/>
        </w:rPr>
      </w:pPr>
      <w:r w:rsidRPr="002C4E66">
        <w:rPr>
          <w:rFonts w:ascii="宋体" w:eastAsia="宋体" w:hAnsi="宋体" w:cs="宋体" w:hint="eastAsia"/>
          <w:b/>
          <w:bCs/>
          <w:color w:val="333333"/>
          <w:kern w:val="0"/>
          <w:szCs w:val="21"/>
        </w:rPr>
        <w:t>第五章 附  则</w:t>
      </w:r>
    </w:p>
    <w:p w:rsidR="00336864" w:rsidRPr="002C4E66" w:rsidRDefault="002C4E66" w:rsidP="00E562A8">
      <w:pPr>
        <w:widowControl/>
        <w:shd w:val="clear" w:color="auto" w:fill="FFFFFF"/>
        <w:spacing w:line="360" w:lineRule="auto"/>
        <w:ind w:firstLineChars="200" w:firstLine="420"/>
        <w:jc w:val="left"/>
      </w:pPr>
      <w:r w:rsidRPr="002C4E66">
        <w:rPr>
          <w:rFonts w:ascii="宋体" w:eastAsia="宋体" w:hAnsi="宋体" w:cs="宋体" w:hint="eastAsia"/>
          <w:color w:val="333333"/>
          <w:kern w:val="0"/>
          <w:szCs w:val="21"/>
        </w:rPr>
        <w:t>第二十二条 本办法自2014 年 1月1 日起施行。《关于基金管理公司提取风险准备金有关问题的通知》（证</w:t>
      </w:r>
      <w:proofErr w:type="gramStart"/>
      <w:r w:rsidRPr="002C4E66">
        <w:rPr>
          <w:rFonts w:ascii="宋体" w:eastAsia="宋体" w:hAnsi="宋体" w:cs="宋体" w:hint="eastAsia"/>
          <w:color w:val="333333"/>
          <w:kern w:val="0"/>
          <w:szCs w:val="21"/>
        </w:rPr>
        <w:t>监基金字</w:t>
      </w:r>
      <w:proofErr w:type="gramEnd"/>
      <w:r w:rsidRPr="002C4E66">
        <w:rPr>
          <w:rFonts w:ascii="宋体" w:eastAsia="宋体" w:hAnsi="宋体" w:cs="宋体" w:hint="eastAsia"/>
          <w:color w:val="333333"/>
          <w:kern w:val="0"/>
          <w:szCs w:val="21"/>
        </w:rPr>
        <w:t>\[2006\]154号）、《关于修改〈关于基金管理公司提取风险准备金有关问题的通知〉的决定》（中国证监会公告\[2008\]46号）同时废止。</w:t>
      </w:r>
    </w:p>
    <w:sectPr w:rsidR="00336864" w:rsidRPr="002C4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B6" w:rsidRDefault="000F70B6" w:rsidP="00E562A8">
      <w:r>
        <w:separator/>
      </w:r>
    </w:p>
  </w:endnote>
  <w:endnote w:type="continuationSeparator" w:id="0">
    <w:p w:rsidR="000F70B6" w:rsidRDefault="000F70B6" w:rsidP="00E5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B6" w:rsidRDefault="000F70B6" w:rsidP="00E562A8">
      <w:r>
        <w:separator/>
      </w:r>
    </w:p>
  </w:footnote>
  <w:footnote w:type="continuationSeparator" w:id="0">
    <w:p w:rsidR="000F70B6" w:rsidRDefault="000F70B6" w:rsidP="00E56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66"/>
    <w:rsid w:val="000F70B6"/>
    <w:rsid w:val="002C4E66"/>
    <w:rsid w:val="00336864"/>
    <w:rsid w:val="006C2CFF"/>
    <w:rsid w:val="007D3477"/>
    <w:rsid w:val="00AB2C97"/>
    <w:rsid w:val="00E5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51">
    <w:name w:val="p151"/>
    <w:basedOn w:val="a"/>
    <w:rsid w:val="002C4E66"/>
    <w:pPr>
      <w:widowControl/>
      <w:spacing w:before="90" w:after="90"/>
      <w:jc w:val="left"/>
    </w:pPr>
    <w:rPr>
      <w:rFonts w:ascii="宋体" w:eastAsia="宋体" w:hAnsi="宋体" w:cs="宋体"/>
      <w:kern w:val="0"/>
      <w:szCs w:val="21"/>
    </w:rPr>
  </w:style>
  <w:style w:type="character" w:styleId="a3">
    <w:name w:val="Strong"/>
    <w:basedOn w:val="a0"/>
    <w:uiPriority w:val="22"/>
    <w:qFormat/>
    <w:rsid w:val="002C4E66"/>
    <w:rPr>
      <w:b/>
      <w:bCs/>
    </w:rPr>
  </w:style>
  <w:style w:type="paragraph" w:styleId="a4">
    <w:name w:val="header"/>
    <w:basedOn w:val="a"/>
    <w:link w:val="Char"/>
    <w:uiPriority w:val="99"/>
    <w:unhideWhenUsed/>
    <w:rsid w:val="00E56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62A8"/>
    <w:rPr>
      <w:sz w:val="18"/>
      <w:szCs w:val="18"/>
    </w:rPr>
  </w:style>
  <w:style w:type="paragraph" w:styleId="a5">
    <w:name w:val="footer"/>
    <w:basedOn w:val="a"/>
    <w:link w:val="Char0"/>
    <w:uiPriority w:val="99"/>
    <w:unhideWhenUsed/>
    <w:rsid w:val="00E562A8"/>
    <w:pPr>
      <w:tabs>
        <w:tab w:val="center" w:pos="4153"/>
        <w:tab w:val="right" w:pos="8306"/>
      </w:tabs>
      <w:snapToGrid w:val="0"/>
      <w:jc w:val="left"/>
    </w:pPr>
    <w:rPr>
      <w:sz w:val="18"/>
      <w:szCs w:val="18"/>
    </w:rPr>
  </w:style>
  <w:style w:type="character" w:customStyle="1" w:styleId="Char0">
    <w:name w:val="页脚 Char"/>
    <w:basedOn w:val="a0"/>
    <w:link w:val="a5"/>
    <w:uiPriority w:val="99"/>
    <w:rsid w:val="00E562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51">
    <w:name w:val="p151"/>
    <w:basedOn w:val="a"/>
    <w:rsid w:val="002C4E66"/>
    <w:pPr>
      <w:widowControl/>
      <w:spacing w:before="90" w:after="90"/>
      <w:jc w:val="left"/>
    </w:pPr>
    <w:rPr>
      <w:rFonts w:ascii="宋体" w:eastAsia="宋体" w:hAnsi="宋体" w:cs="宋体"/>
      <w:kern w:val="0"/>
      <w:szCs w:val="21"/>
    </w:rPr>
  </w:style>
  <w:style w:type="character" w:styleId="a3">
    <w:name w:val="Strong"/>
    <w:basedOn w:val="a0"/>
    <w:uiPriority w:val="22"/>
    <w:qFormat/>
    <w:rsid w:val="002C4E66"/>
    <w:rPr>
      <w:b/>
      <w:bCs/>
    </w:rPr>
  </w:style>
  <w:style w:type="paragraph" w:styleId="a4">
    <w:name w:val="header"/>
    <w:basedOn w:val="a"/>
    <w:link w:val="Char"/>
    <w:uiPriority w:val="99"/>
    <w:unhideWhenUsed/>
    <w:rsid w:val="00E56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562A8"/>
    <w:rPr>
      <w:sz w:val="18"/>
      <w:szCs w:val="18"/>
    </w:rPr>
  </w:style>
  <w:style w:type="paragraph" w:styleId="a5">
    <w:name w:val="footer"/>
    <w:basedOn w:val="a"/>
    <w:link w:val="Char0"/>
    <w:uiPriority w:val="99"/>
    <w:unhideWhenUsed/>
    <w:rsid w:val="00E562A8"/>
    <w:pPr>
      <w:tabs>
        <w:tab w:val="center" w:pos="4153"/>
        <w:tab w:val="right" w:pos="8306"/>
      </w:tabs>
      <w:snapToGrid w:val="0"/>
      <w:jc w:val="left"/>
    </w:pPr>
    <w:rPr>
      <w:sz w:val="18"/>
      <w:szCs w:val="18"/>
    </w:rPr>
  </w:style>
  <w:style w:type="character" w:customStyle="1" w:styleId="Char0">
    <w:name w:val="页脚 Char"/>
    <w:basedOn w:val="a0"/>
    <w:link w:val="a5"/>
    <w:uiPriority w:val="99"/>
    <w:rsid w:val="00E562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8276">
      <w:bodyDiv w:val="1"/>
      <w:marLeft w:val="0"/>
      <w:marRight w:val="0"/>
      <w:marTop w:val="0"/>
      <w:marBottom w:val="0"/>
      <w:divBdr>
        <w:top w:val="none" w:sz="0" w:space="0" w:color="auto"/>
        <w:left w:val="none" w:sz="0" w:space="0" w:color="auto"/>
        <w:bottom w:val="none" w:sz="0" w:space="0" w:color="auto"/>
        <w:right w:val="none" w:sz="0" w:space="0" w:color="auto"/>
      </w:divBdr>
      <w:divsChild>
        <w:div w:id="720909263">
          <w:marLeft w:val="0"/>
          <w:marRight w:val="0"/>
          <w:marTop w:val="0"/>
          <w:marBottom w:val="0"/>
          <w:divBdr>
            <w:top w:val="none" w:sz="0" w:space="0" w:color="auto"/>
            <w:left w:val="none" w:sz="0" w:space="0" w:color="auto"/>
            <w:bottom w:val="none" w:sz="0" w:space="0" w:color="auto"/>
            <w:right w:val="none" w:sz="0" w:space="0" w:color="auto"/>
          </w:divBdr>
          <w:divsChild>
            <w:div w:id="65420216">
              <w:marLeft w:val="0"/>
              <w:marRight w:val="0"/>
              <w:marTop w:val="0"/>
              <w:marBottom w:val="0"/>
              <w:divBdr>
                <w:top w:val="none" w:sz="0" w:space="0" w:color="auto"/>
                <w:left w:val="none" w:sz="0" w:space="0" w:color="auto"/>
                <w:bottom w:val="none" w:sz="0" w:space="0" w:color="auto"/>
                <w:right w:val="none" w:sz="0" w:space="0" w:color="auto"/>
              </w:divBdr>
              <w:divsChild>
                <w:div w:id="1731999931">
                  <w:marLeft w:val="105"/>
                  <w:marRight w:val="105"/>
                  <w:marTop w:val="0"/>
                  <w:marBottom w:val="0"/>
                  <w:divBdr>
                    <w:top w:val="none" w:sz="0" w:space="0" w:color="auto"/>
                    <w:left w:val="none" w:sz="0" w:space="0" w:color="auto"/>
                    <w:bottom w:val="none" w:sz="0" w:space="0" w:color="auto"/>
                    <w:right w:val="none" w:sz="0" w:space="0" w:color="auto"/>
                  </w:divBdr>
                  <w:divsChild>
                    <w:div w:id="2068797275">
                      <w:marLeft w:val="0"/>
                      <w:marRight w:val="0"/>
                      <w:marTop w:val="0"/>
                      <w:marBottom w:val="0"/>
                      <w:divBdr>
                        <w:top w:val="none" w:sz="0" w:space="0" w:color="auto"/>
                        <w:left w:val="none" w:sz="0" w:space="0" w:color="auto"/>
                        <w:bottom w:val="none" w:sz="0" w:space="0" w:color="auto"/>
                        <w:right w:val="none" w:sz="0" w:space="0" w:color="auto"/>
                      </w:divBdr>
                      <w:divsChild>
                        <w:div w:id="1343360299">
                          <w:marLeft w:val="0"/>
                          <w:marRight w:val="0"/>
                          <w:marTop w:val="0"/>
                          <w:marBottom w:val="0"/>
                          <w:divBdr>
                            <w:top w:val="none" w:sz="0" w:space="0" w:color="auto"/>
                            <w:left w:val="none" w:sz="0" w:space="0" w:color="auto"/>
                            <w:bottom w:val="single" w:sz="12" w:space="11" w:color="CCCCCC"/>
                            <w:right w:val="none" w:sz="0" w:space="0" w:color="auto"/>
                          </w:divBdr>
                        </w:div>
                        <w:div w:id="1083796933">
                          <w:marLeft w:val="0"/>
                          <w:marRight w:val="0"/>
                          <w:marTop w:val="0"/>
                          <w:marBottom w:val="300"/>
                          <w:divBdr>
                            <w:top w:val="none" w:sz="0" w:space="0" w:color="auto"/>
                            <w:left w:val="none" w:sz="0" w:space="0" w:color="auto"/>
                            <w:bottom w:val="none" w:sz="0" w:space="0" w:color="auto"/>
                            <w:right w:val="none" w:sz="0" w:space="0" w:color="auto"/>
                          </w:divBdr>
                        </w:div>
                        <w:div w:id="12143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2016-03-15T06:50:00Z</dcterms:created>
  <dcterms:modified xsi:type="dcterms:W3CDTF">2016-03-23T15:35:00Z</dcterms:modified>
</cp:coreProperties>
</file>