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86C" w:rsidRPr="00DA6592" w:rsidRDefault="00B9186C" w:rsidP="00B9186C">
      <w:pPr>
        <w:widowControl/>
        <w:shd w:val="clear" w:color="auto" w:fill="FFFFFF"/>
        <w:spacing w:line="525" w:lineRule="atLeast"/>
        <w:jc w:val="center"/>
        <w:rPr>
          <w:rFonts w:asciiTheme="minorEastAsia" w:hAnsiTheme="minorEastAsia" w:cs="宋体"/>
          <w:b/>
          <w:bCs/>
          <w:color w:val="000000" w:themeColor="text1"/>
          <w:kern w:val="0"/>
          <w:sz w:val="30"/>
          <w:szCs w:val="30"/>
        </w:rPr>
      </w:pPr>
      <w:r w:rsidRPr="00DA6592">
        <w:rPr>
          <w:rFonts w:asciiTheme="minorEastAsia" w:hAnsiTheme="minorEastAsia" w:cs="宋体" w:hint="eastAsia"/>
          <w:b/>
          <w:bCs/>
          <w:color w:val="000000" w:themeColor="text1"/>
          <w:kern w:val="0"/>
          <w:sz w:val="30"/>
          <w:szCs w:val="30"/>
        </w:rPr>
        <w:t>证券投资基金托管业务管理办法</w:t>
      </w:r>
    </w:p>
    <w:p w:rsidR="00B9186C" w:rsidRPr="00B9186C" w:rsidRDefault="00B9186C" w:rsidP="00273FCD">
      <w:pPr>
        <w:widowControl/>
        <w:shd w:val="clear" w:color="auto" w:fill="FFFFFF"/>
        <w:spacing w:line="480" w:lineRule="auto"/>
        <w:jc w:val="center"/>
        <w:rPr>
          <w:rFonts w:ascii="方正大标宋简体" w:eastAsia="方正大标宋简体" w:hAnsi="inherit" w:cs="宋体" w:hint="eastAsia"/>
          <w:color w:val="000000"/>
          <w:kern w:val="0"/>
          <w:sz w:val="42"/>
          <w:szCs w:val="42"/>
        </w:rPr>
      </w:pPr>
      <w:r w:rsidRPr="00B9186C">
        <w:rPr>
          <w:rFonts w:ascii="inherit" w:eastAsia="宋体" w:hAnsi="inherit" w:cs="宋体"/>
          <w:color w:val="888888"/>
          <w:kern w:val="0"/>
          <w:sz w:val="18"/>
          <w:szCs w:val="18"/>
        </w:rPr>
        <w:t>中国证监会</w:t>
      </w:r>
      <w:r w:rsidRPr="00B9186C">
        <w:rPr>
          <w:rFonts w:ascii="inherit" w:eastAsia="宋体" w:hAnsi="inherit" w:cs="宋体"/>
          <w:color w:val="888888"/>
          <w:kern w:val="0"/>
          <w:sz w:val="18"/>
          <w:szCs w:val="18"/>
        </w:rPr>
        <w:t xml:space="preserve"> www.csrc.gov.cn </w:t>
      </w:r>
      <w:r w:rsidRPr="00B9186C">
        <w:rPr>
          <w:rFonts w:ascii="inherit" w:eastAsia="宋体" w:hAnsi="inherit" w:cs="宋体"/>
          <w:color w:val="888888"/>
          <w:kern w:val="0"/>
          <w:sz w:val="18"/>
          <w:szCs w:val="18"/>
        </w:rPr>
        <w:t>时间：</w:t>
      </w:r>
      <w:r w:rsidRPr="00B9186C">
        <w:rPr>
          <w:rFonts w:ascii="inherit" w:eastAsia="宋体" w:hAnsi="inherit" w:cs="宋体"/>
          <w:color w:val="888888"/>
          <w:kern w:val="0"/>
          <w:sz w:val="18"/>
          <w:szCs w:val="18"/>
        </w:rPr>
        <w:t xml:space="preserve">2014-02-26 </w:t>
      </w:r>
      <w:r w:rsidRPr="00B9186C">
        <w:rPr>
          <w:rFonts w:ascii="inherit" w:eastAsia="宋体" w:hAnsi="inherit" w:cs="宋体"/>
          <w:color w:val="888888"/>
          <w:kern w:val="0"/>
          <w:sz w:val="18"/>
          <w:szCs w:val="18"/>
        </w:rPr>
        <w:t>来源：</w:t>
      </w:r>
      <w:r w:rsidRPr="00B9186C">
        <w:rPr>
          <w:rFonts w:ascii="inherit" w:eastAsia="宋体" w:hAnsi="inherit" w:cs="宋体"/>
          <w:color w:val="888888"/>
          <w:kern w:val="0"/>
          <w:sz w:val="18"/>
          <w:szCs w:val="18"/>
        </w:rPr>
        <w:t xml:space="preserve"> </w:t>
      </w:r>
    </w:p>
    <w:p w:rsidR="00B9186C" w:rsidRPr="00B9186C" w:rsidRDefault="00B9186C" w:rsidP="00273FCD">
      <w:pPr>
        <w:widowControl/>
        <w:shd w:val="clear" w:color="auto" w:fill="FFFFFF"/>
        <w:snapToGrid w:val="0"/>
        <w:spacing w:line="480" w:lineRule="auto"/>
        <w:jc w:val="center"/>
        <w:rPr>
          <w:rFonts w:ascii="仿宋_GB2312" w:eastAsia="仿宋_GB2312" w:hAnsi="inherit" w:cs="宋体" w:hint="eastAsia"/>
          <w:b/>
          <w:bCs/>
          <w:color w:val="000000"/>
          <w:kern w:val="0"/>
          <w:sz w:val="28"/>
          <w:szCs w:val="28"/>
        </w:rPr>
      </w:pPr>
      <w:r w:rsidRPr="00B9186C">
        <w:rPr>
          <w:rFonts w:ascii="宋体" w:eastAsia="宋体" w:hAnsi="宋体" w:cs="宋体"/>
          <w:color w:val="333333"/>
          <w:kern w:val="0"/>
          <w:szCs w:val="21"/>
        </w:rPr>
        <w:t>（2013年4月2日  证监会令第92号）</w:t>
      </w:r>
    </w:p>
    <w:p w:rsidR="00B9186C" w:rsidRPr="00B9186C" w:rsidRDefault="00B9186C" w:rsidP="00DA6592">
      <w:pPr>
        <w:widowControl/>
        <w:shd w:val="clear" w:color="auto" w:fill="FFFFFF"/>
        <w:snapToGrid w:val="0"/>
        <w:spacing w:line="360" w:lineRule="auto"/>
        <w:jc w:val="center"/>
        <w:rPr>
          <w:rFonts w:ascii="方正仿宋简体" w:eastAsia="方正仿宋简体" w:hAnsi="inherit" w:cs="宋体" w:hint="eastAsia"/>
          <w:b/>
          <w:bCs/>
          <w:color w:val="000000"/>
          <w:kern w:val="0"/>
          <w:sz w:val="30"/>
          <w:szCs w:val="30"/>
        </w:rPr>
      </w:pPr>
      <w:r w:rsidRPr="00B9186C">
        <w:rPr>
          <w:rFonts w:ascii="方正黑体简体" w:eastAsia="方正黑体简体" w:hAnsi="宋体" w:cs="宋体" w:hint="eastAsia"/>
          <w:b/>
          <w:bCs/>
          <w:color w:val="000000"/>
          <w:kern w:val="0"/>
          <w:szCs w:val="21"/>
        </w:rPr>
        <w:t>第一章 总 则</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黑体简体" w:eastAsia="方正黑体简体" w:hAnsi="宋体" w:cs="宋体" w:hint="eastAsia"/>
          <w:color w:val="000000"/>
          <w:kern w:val="0"/>
          <w:szCs w:val="21"/>
        </w:rPr>
        <w:t>第一条</w:t>
      </w:r>
      <w:r w:rsidRPr="00B9186C">
        <w:rPr>
          <w:rFonts w:ascii="方正仿宋简体" w:eastAsia="方正仿宋简体" w:hAnsi="宋体" w:cs="宋体" w:hint="eastAsia"/>
          <w:color w:val="000000"/>
          <w:kern w:val="0"/>
          <w:szCs w:val="21"/>
        </w:rPr>
        <w:t xml:space="preserve"> 为了规范证券投资基金托管业务，维护证券投资基金托管业务竞争秩序，保护基金份额持有人及相关当事人合法权益，促进证券投资基金健康发展，根据《证券投资基金法》、《银行业监督管理法》及其他相关法律、行政法规，制定本办法。</w:t>
      </w:r>
    </w:p>
    <w:p w:rsidR="00B9186C" w:rsidRPr="00DA6592" w:rsidRDefault="00B9186C" w:rsidP="00DA6592">
      <w:pPr>
        <w:widowControl/>
        <w:shd w:val="clear" w:color="auto" w:fill="FFFFFF"/>
        <w:snapToGrid w:val="0"/>
        <w:spacing w:line="360" w:lineRule="auto"/>
        <w:ind w:firstLine="576"/>
        <w:jc w:val="left"/>
        <w:rPr>
          <w:rFonts w:ascii="方正仿宋简体" w:eastAsia="方正仿宋简体" w:hAnsi="宋体" w:cs="宋体"/>
          <w:b/>
          <w:color w:val="FF0000"/>
          <w:kern w:val="0"/>
          <w:szCs w:val="21"/>
        </w:rPr>
      </w:pPr>
      <w:r w:rsidRPr="00B9186C">
        <w:rPr>
          <w:rFonts w:ascii="方正黑体简体" w:eastAsia="方正黑体简体" w:hAnsi="宋体" w:cs="宋体" w:hint="eastAsia"/>
          <w:color w:val="000000"/>
          <w:kern w:val="0"/>
          <w:szCs w:val="21"/>
        </w:rPr>
        <w:t>第二条</w:t>
      </w:r>
      <w:r w:rsidRPr="00B9186C">
        <w:rPr>
          <w:rFonts w:ascii="方正仿宋简体" w:eastAsia="方正仿宋简体" w:hAnsi="宋体" w:cs="宋体" w:hint="eastAsia"/>
          <w:color w:val="000000"/>
          <w:kern w:val="0"/>
          <w:szCs w:val="21"/>
        </w:rPr>
        <w:t xml:space="preserve"> 本办法所称证券投资基金（以下简称基金）</w:t>
      </w:r>
      <w:r w:rsidRPr="00DA6592">
        <w:rPr>
          <w:rFonts w:ascii="方正仿宋简体" w:eastAsia="方正仿宋简体" w:hAnsi="宋体" w:cs="宋体" w:hint="eastAsia"/>
          <w:b/>
          <w:color w:val="FF0000"/>
          <w:kern w:val="0"/>
          <w:szCs w:val="21"/>
        </w:rPr>
        <w:t>托管，是指由依法设立并取得基金托管资格的商业银行或者其他金融机构担任托管人，按照法律法规的规定及基金合同的约定，对基金履行安全保管基金财产、办理清算交割、复核审查资产净值、开展投资监督、召集基金份额持有人大会等职责的行为。</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黑体简体" w:eastAsia="方正黑体简体" w:hAnsi="宋体" w:cs="宋体" w:hint="eastAsia"/>
          <w:color w:val="000000"/>
          <w:kern w:val="0"/>
          <w:szCs w:val="21"/>
        </w:rPr>
        <w:t>第三条</w:t>
      </w:r>
      <w:r w:rsidRPr="00B9186C">
        <w:rPr>
          <w:rFonts w:ascii="方正仿宋简体" w:eastAsia="方正仿宋简体" w:hAnsi="宋体" w:cs="宋体" w:hint="eastAsia"/>
          <w:color w:val="000000"/>
          <w:kern w:val="0"/>
          <w:szCs w:val="21"/>
        </w:rPr>
        <w:t xml:space="preserve"> 商业银行从事基金托管业务，应当经中国证券监督管理委员会（以下简称中国证监会）和中国银行业监督管理委员会（以下简称中国银监会）核准，依法取得基金托管资格。</w:t>
      </w:r>
      <w:r w:rsidRPr="00B9186C">
        <w:rPr>
          <w:rFonts w:ascii="方正仿宋简体" w:eastAsia="方正仿宋简体" w:hAnsi="宋体" w:cs="宋体" w:hint="eastAsia"/>
          <w:b/>
          <w:color w:val="FF0000"/>
          <w:kern w:val="0"/>
          <w:szCs w:val="21"/>
        </w:rPr>
        <w:t>其他金融机构从事基金托管业务，应当经中国证监会核准，依法取得基金托管资格。</w:t>
      </w:r>
    </w:p>
    <w:p w:rsidR="00B9186C" w:rsidRPr="00B9186C" w:rsidRDefault="00B9186C" w:rsidP="00DA6592">
      <w:pPr>
        <w:widowControl/>
        <w:shd w:val="clear" w:color="auto" w:fill="FFFFFF"/>
        <w:snapToGrid w:val="0"/>
        <w:spacing w:line="360" w:lineRule="auto"/>
        <w:ind w:firstLine="600"/>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未取得基金托管资格的机构，不得从事基金托管业务。</w:t>
      </w:r>
    </w:p>
    <w:p w:rsidR="00B9186C" w:rsidRPr="00B9186C" w:rsidRDefault="00B9186C" w:rsidP="00DA6592">
      <w:pPr>
        <w:widowControl/>
        <w:shd w:val="clear" w:color="auto" w:fill="FFFFFF"/>
        <w:snapToGrid w:val="0"/>
        <w:spacing w:line="360" w:lineRule="auto"/>
        <w:ind w:firstLine="600"/>
        <w:jc w:val="left"/>
        <w:rPr>
          <w:rFonts w:ascii="方正仿宋简体" w:eastAsia="方正仿宋简体" w:hAnsi="宋体" w:cs="宋体"/>
          <w:color w:val="000000"/>
          <w:kern w:val="0"/>
          <w:szCs w:val="21"/>
        </w:rPr>
      </w:pPr>
      <w:r w:rsidRPr="00B9186C">
        <w:rPr>
          <w:rFonts w:ascii="方正黑体简体" w:eastAsia="方正黑体简体" w:hAnsi="宋体" w:cs="宋体" w:hint="eastAsia"/>
          <w:color w:val="000000"/>
          <w:kern w:val="0"/>
          <w:szCs w:val="21"/>
        </w:rPr>
        <w:t>第四条</w:t>
      </w:r>
      <w:r w:rsidRPr="00B9186C">
        <w:rPr>
          <w:rFonts w:ascii="方正仿宋简体" w:eastAsia="方正仿宋简体" w:hAnsi="宋体" w:cs="宋体" w:hint="eastAsia"/>
          <w:color w:val="000000"/>
          <w:kern w:val="0"/>
          <w:szCs w:val="21"/>
        </w:rPr>
        <w:t xml:space="preserve"> 基金托管人应当遵守法律法规的规定以及基金合同和基金托管协议的约定，恪守职业道德和行为规范，诚实信用、谨慎勤勉，为基金份额持有人利益履行基金托管职责。</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黑体简体" w:eastAsia="方正黑体简体" w:hAnsi="宋体" w:cs="宋体" w:hint="eastAsia"/>
          <w:color w:val="000000"/>
          <w:kern w:val="0"/>
          <w:szCs w:val="21"/>
        </w:rPr>
        <w:t>第五条</w:t>
      </w:r>
      <w:r w:rsidRPr="00B9186C">
        <w:rPr>
          <w:rFonts w:ascii="方正仿宋简体" w:eastAsia="方正仿宋简体" w:hAnsi="宋体" w:cs="宋体" w:hint="eastAsia"/>
          <w:color w:val="000000"/>
          <w:kern w:val="0"/>
          <w:szCs w:val="21"/>
        </w:rPr>
        <w:t xml:space="preserve"> 基金托管人的基金托管部门高级管理人员和其他从业人员应当忠实、勤勉地履行职责，不得从事损害基金财产和基金份额持有人利益的证券交易及其他活动。</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黑体简体" w:eastAsia="方正黑体简体" w:hAnsi="宋体" w:cs="宋体" w:hint="eastAsia"/>
          <w:color w:val="000000"/>
          <w:kern w:val="0"/>
          <w:szCs w:val="21"/>
        </w:rPr>
        <w:t>第六条</w:t>
      </w:r>
      <w:r w:rsidRPr="00B9186C">
        <w:rPr>
          <w:rFonts w:ascii="方正仿宋简体" w:eastAsia="方正仿宋简体" w:hAnsi="宋体" w:cs="宋体" w:hint="eastAsia"/>
          <w:color w:val="000000"/>
          <w:kern w:val="0"/>
          <w:szCs w:val="21"/>
        </w:rPr>
        <w:t xml:space="preserve">  中国证监会、中国银监会依照法律法规和审慎监管原则，对基金托管人及其基金托管业务活动实施监督管理。</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inherit" w:cs="宋体" w:hint="eastAsia"/>
          <w:b/>
          <w:bCs/>
          <w:color w:val="000000"/>
          <w:kern w:val="0"/>
          <w:sz w:val="30"/>
          <w:szCs w:val="30"/>
        </w:rPr>
      </w:pPr>
      <w:r w:rsidRPr="00B9186C">
        <w:rPr>
          <w:rFonts w:ascii="方正黑体简体" w:eastAsia="方正黑体简体" w:hAnsi="宋体" w:cs="宋体" w:hint="eastAsia"/>
          <w:color w:val="000000"/>
          <w:kern w:val="0"/>
          <w:szCs w:val="21"/>
        </w:rPr>
        <w:t>第七条</w:t>
      </w:r>
      <w:r w:rsidRPr="00B9186C">
        <w:rPr>
          <w:rFonts w:ascii="方正仿宋简体" w:eastAsia="方正仿宋简体" w:hAnsi="宋体" w:cs="宋体" w:hint="eastAsia"/>
          <w:color w:val="000000"/>
          <w:kern w:val="0"/>
          <w:szCs w:val="21"/>
        </w:rPr>
        <w:t xml:space="preserve"> 中国证券投资基金业协会依据法律法规和自律规则，对基金托管人及其基金托管业务活动进行自律管理。</w:t>
      </w:r>
    </w:p>
    <w:p w:rsidR="00B9186C" w:rsidRPr="00B9186C" w:rsidRDefault="00B9186C" w:rsidP="00DA6592">
      <w:pPr>
        <w:widowControl/>
        <w:shd w:val="clear" w:color="auto" w:fill="FFFFFF"/>
        <w:snapToGrid w:val="0"/>
        <w:spacing w:line="360" w:lineRule="auto"/>
        <w:jc w:val="center"/>
        <w:rPr>
          <w:rFonts w:ascii="方正仿宋简体" w:eastAsia="方正仿宋简体" w:hAnsi="inherit" w:cs="宋体" w:hint="eastAsia"/>
          <w:b/>
          <w:bCs/>
          <w:color w:val="000000"/>
          <w:kern w:val="0"/>
          <w:sz w:val="30"/>
          <w:szCs w:val="30"/>
        </w:rPr>
      </w:pPr>
      <w:r w:rsidRPr="00B9186C">
        <w:rPr>
          <w:rFonts w:ascii="方正黑体简体" w:eastAsia="方正黑体简体" w:hAnsi="宋体" w:cs="宋体" w:hint="eastAsia"/>
          <w:b/>
          <w:bCs/>
          <w:color w:val="000000"/>
          <w:kern w:val="0"/>
          <w:szCs w:val="21"/>
        </w:rPr>
        <w:t>第二章 基金托管机构</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黑体简体" w:eastAsia="方正黑体简体" w:hAnsi="宋体" w:cs="宋体" w:hint="eastAsia"/>
          <w:color w:val="000000"/>
          <w:kern w:val="0"/>
          <w:szCs w:val="21"/>
        </w:rPr>
        <w:t>第八条</w:t>
      </w:r>
      <w:r w:rsidRPr="00B9186C">
        <w:rPr>
          <w:rFonts w:ascii="方正仿宋简体" w:eastAsia="方正仿宋简体" w:hAnsi="宋体" w:cs="宋体" w:hint="eastAsia"/>
          <w:color w:val="000000"/>
          <w:kern w:val="0"/>
          <w:szCs w:val="21"/>
        </w:rPr>
        <w:t xml:space="preserve">  申请基金托管资格的商业银行（以下简称申请人），应当具备下列条件:</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b/>
          <w:color w:val="000000"/>
          <w:kern w:val="0"/>
          <w:szCs w:val="21"/>
        </w:rPr>
      </w:pPr>
      <w:r w:rsidRPr="00B9186C">
        <w:rPr>
          <w:rFonts w:ascii="方正仿宋简体" w:eastAsia="方正仿宋简体" w:hAnsi="宋体" w:cs="宋体" w:hint="eastAsia"/>
          <w:b/>
          <w:color w:val="FF0000"/>
          <w:kern w:val="0"/>
          <w:szCs w:val="21"/>
        </w:rPr>
        <w:t>（一）最近3个会计年度的年末净资产均不低于</w:t>
      </w:r>
      <w:r w:rsidRPr="0092692C">
        <w:rPr>
          <w:rFonts w:ascii="方正仿宋简体" w:eastAsia="方正仿宋简体" w:hAnsi="宋体" w:cs="宋体" w:hint="eastAsia"/>
          <w:b/>
          <w:color w:val="FF0000"/>
          <w:kern w:val="0"/>
          <w:szCs w:val="21"/>
          <w:highlight w:val="yellow"/>
        </w:rPr>
        <w:t>20亿元人民币</w:t>
      </w:r>
      <w:r w:rsidRPr="00B9186C">
        <w:rPr>
          <w:rFonts w:ascii="方正仿宋简体" w:eastAsia="方正仿宋简体" w:hAnsi="宋体" w:cs="宋体" w:hint="eastAsia"/>
          <w:b/>
          <w:color w:val="FF0000"/>
          <w:kern w:val="0"/>
          <w:szCs w:val="21"/>
        </w:rPr>
        <w:t>，资本充足率等风险控制指标符合监管部门的有关规定；</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（二）设有专门的基金托管部门，部门设置能够保证托管业务运营的完整与独立；</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（三）基金托管部门拟任高级管理人员符合法定条件，取得基金从业资格的人员不低</w:t>
      </w:r>
      <w:r w:rsidRPr="00B9186C">
        <w:rPr>
          <w:rFonts w:ascii="方正仿宋简体" w:eastAsia="方正仿宋简体" w:hAnsi="宋体" w:cs="宋体" w:hint="eastAsia"/>
          <w:b/>
          <w:color w:val="FF0000"/>
          <w:kern w:val="0"/>
          <w:szCs w:val="21"/>
        </w:rPr>
        <w:t>于该部门员工人数的1/2；拟从事基金清算、核算、投资监督、信息披露、内部稽核监控等业务的执业人员不少于8人，</w:t>
      </w:r>
      <w:r w:rsidRPr="00B9186C">
        <w:rPr>
          <w:rFonts w:ascii="方正仿宋简体" w:eastAsia="方正仿宋简体" w:hAnsi="宋体" w:cs="宋体" w:hint="eastAsia"/>
          <w:color w:val="000000"/>
          <w:kern w:val="0"/>
          <w:szCs w:val="21"/>
        </w:rPr>
        <w:t>并具有基金从业资格，其中，核算、监督等核心业务岗位人员应当具备2年以上托管业务从业经验；</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（四）有安全保管基金财产、确保基金财产完整与独立的条件；</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lastRenderedPageBreak/>
        <w:t>（五）有安全高效的清算、交割系统；</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（六）基金托管部门有满足营业需要的固定场所、配备独立的安全监控系统；</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（七）基金托管部门配备独立的托管业务技术系统，包括网络系统、应用系统、安全防护系统、数据备份系统；</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（八）有完善的内部稽核监控制度和风险控制制度；</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（九）最近3年无重大违法违规记录；</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（十）法律、行政法规规定的和经国务院批准的中国证监会、中国银监会规定的其他条件。</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黑体简体" w:eastAsia="方正黑体简体" w:hAnsi="宋体" w:cs="宋体" w:hint="eastAsia"/>
          <w:color w:val="000000"/>
          <w:kern w:val="0"/>
          <w:szCs w:val="21"/>
        </w:rPr>
        <w:t>第九条</w:t>
      </w:r>
      <w:r w:rsidRPr="00B9186C">
        <w:rPr>
          <w:rFonts w:ascii="方正仿宋简体" w:eastAsia="方正仿宋简体" w:hAnsi="宋体" w:cs="宋体" w:hint="eastAsia"/>
          <w:color w:val="000000"/>
          <w:kern w:val="0"/>
          <w:szCs w:val="21"/>
        </w:rPr>
        <w:t xml:space="preserve">  申请人应当具有健全的清算、交割业务制度，清算、交割系统应当符合下列规定:</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（一）系统内证券交易结算资金及时汇划到账；</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（二）从交易所、证券登记结算机构等相关机构安全接收交易结算数据；</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（三）与基金管理人、基金注册登记机构、证券登记结算机构等相关业务机构的系统安全对接；</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（四）依法执行基金管理人的投资指令，及时办理清算、交割事宜。</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黑体简体" w:eastAsia="方正黑体简体" w:hAnsi="宋体" w:cs="宋体" w:hint="eastAsia"/>
          <w:color w:val="000000"/>
          <w:kern w:val="0"/>
          <w:szCs w:val="21"/>
        </w:rPr>
        <w:t>第十条</w:t>
      </w:r>
      <w:r w:rsidRPr="00B9186C">
        <w:rPr>
          <w:rFonts w:ascii="方正仿宋简体" w:eastAsia="方正仿宋简体" w:hAnsi="宋体" w:cs="宋体" w:hint="eastAsia"/>
          <w:color w:val="000000"/>
          <w:kern w:val="0"/>
          <w:szCs w:val="21"/>
        </w:rPr>
        <w:t xml:space="preserve">  申请人的基金托管营业场所、安全防范设施、与基金托管业务有关的其他设施和相关制度，应当符合下列规定:</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（一）基金托管部门的营业场所相对独立，配备门禁系统；</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（二）能够接触基金交易数据的业务岗位有单独的办公场所，无关人员不得随意进入；</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（三）有完善的基金交易数据保密制度；</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（四）有安全的基金托管业务数据备份系统；</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（五）有基金托管业务的应急处理方案，具备应急处理能力。</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黑体简体" w:eastAsia="方正黑体简体" w:hAnsi="宋体" w:cs="宋体" w:hint="eastAsia"/>
          <w:color w:val="000000"/>
          <w:kern w:val="0"/>
          <w:szCs w:val="21"/>
        </w:rPr>
        <w:t xml:space="preserve">第十一条  </w:t>
      </w:r>
      <w:r w:rsidRPr="00B9186C">
        <w:rPr>
          <w:rFonts w:ascii="方正仿宋简体" w:eastAsia="方正仿宋简体" w:hAnsi="宋体" w:cs="宋体" w:hint="eastAsia"/>
          <w:color w:val="000000"/>
          <w:kern w:val="0"/>
          <w:szCs w:val="21"/>
        </w:rPr>
        <w:t>申请人应当向中国证监会报送下列申请材料，同时抄报中国银监会:</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（一）申请书；</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（二）具有证券业务资格的会计师事务所出具的净资产和资本充足率专项验资报告；</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（三）设立专门基金托管部门的证明文件，确保部门业务运营完整与独立的说明和承诺；</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（四）内部机构设置和岗位职责规定；</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（五）基金托管部门拟任高级管理人员和执业人员基本情况，包括拟任高级管理人员任职材料，拟任执业人员名单、履历、基金从业资格证明复印件、专业培训及岗位配备情况；</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（六）关于安全保管基金财产有关条件的报告；</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（七）关于基金清算、交割系统的运行测试报告；</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（八）办公场所平面图、安全监控系统设计方案和安装调试情况报告；</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（九）基金托管业务备份系统设计方案和应急处理方案、应急处理能力测试报告；</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lastRenderedPageBreak/>
        <w:t>（十）相关业务规章制度，包括业务管理、操作规程、基金会计核算、基金清算、信息披露、内部稽核监控、内控与风险管理、信息系统管理、从业人员管理、保密与档案管理、重大可疑情况报告、应急处理及其他履行基金托管人职责所需的规章制度；</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（十一）开办基金托管业务的商业计划书；</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（十二）中国证监会、中国银监会规定的其他材料。</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黑体简体" w:eastAsia="方正黑体简体" w:hAnsi="宋体" w:cs="宋体" w:hint="eastAsia"/>
          <w:color w:val="000000"/>
          <w:kern w:val="0"/>
          <w:szCs w:val="21"/>
        </w:rPr>
        <w:t>第十二条</w:t>
      </w:r>
      <w:r w:rsidRPr="00B9186C">
        <w:rPr>
          <w:rFonts w:ascii="方正仿宋简体" w:eastAsia="方正仿宋简体" w:hAnsi="宋体" w:cs="宋体" w:hint="eastAsia"/>
          <w:color w:val="000000"/>
          <w:kern w:val="0"/>
          <w:szCs w:val="21"/>
        </w:rPr>
        <w:t xml:space="preserve">  </w:t>
      </w:r>
      <w:r w:rsidRPr="0093185C">
        <w:rPr>
          <w:rFonts w:ascii="方正仿宋简体" w:eastAsia="方正仿宋简体" w:hAnsi="宋体" w:cs="宋体" w:hint="eastAsia"/>
          <w:color w:val="FF0000"/>
          <w:kern w:val="0"/>
          <w:szCs w:val="21"/>
          <w:highlight w:val="yellow"/>
        </w:rPr>
        <w:t>中国证监会应当自收到申请材料之日起</w:t>
      </w:r>
      <w:r w:rsidRPr="0093185C">
        <w:rPr>
          <w:rFonts w:ascii="方正仿宋简体" w:eastAsia="方正仿宋简体" w:hAnsi="宋体" w:cs="宋体" w:hint="eastAsia"/>
          <w:color w:val="FF0000"/>
          <w:kern w:val="0"/>
          <w:szCs w:val="21"/>
          <w:highlight w:val="lightGray"/>
        </w:rPr>
        <w:t>5个工作日</w:t>
      </w:r>
      <w:r w:rsidRPr="0093185C">
        <w:rPr>
          <w:rFonts w:ascii="方正仿宋简体" w:eastAsia="方正仿宋简体" w:hAnsi="宋体" w:cs="宋体" w:hint="eastAsia"/>
          <w:color w:val="FF0000"/>
          <w:kern w:val="0"/>
          <w:szCs w:val="21"/>
          <w:highlight w:val="yellow"/>
        </w:rPr>
        <w:t>内</w:t>
      </w:r>
      <w:proofErr w:type="gramStart"/>
      <w:r w:rsidRPr="0093185C">
        <w:rPr>
          <w:rFonts w:ascii="方正仿宋简体" w:eastAsia="方正仿宋简体" w:hAnsi="宋体" w:cs="宋体" w:hint="eastAsia"/>
          <w:color w:val="FF0000"/>
          <w:kern w:val="0"/>
          <w:szCs w:val="21"/>
          <w:highlight w:val="yellow"/>
        </w:rPr>
        <w:t>作出</w:t>
      </w:r>
      <w:proofErr w:type="gramEnd"/>
      <w:r w:rsidRPr="0093185C">
        <w:rPr>
          <w:rFonts w:ascii="方正仿宋简体" w:eastAsia="方正仿宋简体" w:hAnsi="宋体" w:cs="宋体" w:hint="eastAsia"/>
          <w:color w:val="FF0000"/>
          <w:kern w:val="0"/>
          <w:szCs w:val="21"/>
          <w:highlight w:val="yellow"/>
        </w:rPr>
        <w:t>是否</w:t>
      </w:r>
      <w:r w:rsidRPr="0093185C">
        <w:rPr>
          <w:rFonts w:ascii="方正仿宋简体" w:eastAsia="方正仿宋简体" w:hAnsi="宋体" w:cs="宋体" w:hint="eastAsia"/>
          <w:color w:val="FF0000"/>
          <w:kern w:val="0"/>
          <w:szCs w:val="21"/>
          <w:highlight w:val="lightGray"/>
        </w:rPr>
        <w:t>受理</w:t>
      </w:r>
      <w:r w:rsidRPr="0093185C">
        <w:rPr>
          <w:rFonts w:ascii="方正仿宋简体" w:eastAsia="方正仿宋简体" w:hAnsi="宋体" w:cs="宋体" w:hint="eastAsia"/>
          <w:color w:val="FF0000"/>
          <w:kern w:val="0"/>
          <w:szCs w:val="21"/>
          <w:highlight w:val="yellow"/>
        </w:rPr>
        <w:t>的决定。</w:t>
      </w:r>
      <w:r w:rsidRPr="00B9186C">
        <w:rPr>
          <w:rFonts w:ascii="方正仿宋简体" w:eastAsia="方正仿宋简体" w:hAnsi="宋体" w:cs="宋体" w:hint="eastAsia"/>
          <w:color w:val="000000"/>
          <w:kern w:val="0"/>
          <w:szCs w:val="21"/>
        </w:rPr>
        <w:t>申请材料齐全、符合法定形式的，向申请人出具书面受理凭证；申请材料不齐全或者不符合法定形式的，应当一次告知申请人需要补正的全部内容。</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黑体简体" w:eastAsia="方正黑体简体" w:hAnsi="宋体" w:cs="宋体" w:hint="eastAsia"/>
          <w:color w:val="000000"/>
          <w:kern w:val="0"/>
          <w:szCs w:val="21"/>
        </w:rPr>
        <w:t>第十三条</w:t>
      </w:r>
      <w:r w:rsidRPr="00B9186C">
        <w:rPr>
          <w:rFonts w:ascii="方正仿宋简体" w:eastAsia="方正仿宋简体" w:hAnsi="宋体" w:cs="宋体" w:hint="eastAsia"/>
          <w:color w:val="000000"/>
          <w:kern w:val="0"/>
          <w:szCs w:val="21"/>
        </w:rPr>
        <w:t xml:space="preserve">  中国证监会应当自受理申请材料之日起</w:t>
      </w:r>
      <w:r w:rsidRPr="0093185C">
        <w:rPr>
          <w:rFonts w:ascii="方正仿宋简体" w:eastAsia="方正仿宋简体" w:hAnsi="宋体" w:cs="宋体" w:hint="eastAsia"/>
          <w:color w:val="FF0000"/>
          <w:kern w:val="0"/>
          <w:szCs w:val="21"/>
        </w:rPr>
        <w:t>20个工作日内</w:t>
      </w:r>
      <w:proofErr w:type="gramStart"/>
      <w:r w:rsidRPr="0093185C">
        <w:rPr>
          <w:rFonts w:ascii="方正仿宋简体" w:eastAsia="方正仿宋简体" w:hAnsi="宋体" w:cs="宋体" w:hint="eastAsia"/>
          <w:color w:val="FF0000"/>
          <w:kern w:val="0"/>
          <w:szCs w:val="21"/>
          <w:highlight w:val="lightGray"/>
        </w:rPr>
        <w:t>作出</w:t>
      </w:r>
      <w:proofErr w:type="gramEnd"/>
      <w:r w:rsidRPr="0093185C">
        <w:rPr>
          <w:rFonts w:ascii="方正仿宋简体" w:eastAsia="方正仿宋简体" w:hAnsi="宋体" w:cs="宋体" w:hint="eastAsia"/>
          <w:color w:val="FF0000"/>
          <w:kern w:val="0"/>
          <w:szCs w:val="21"/>
          <w:highlight w:val="lightGray"/>
        </w:rPr>
        <w:t>行政许可决定。</w:t>
      </w:r>
      <w:r w:rsidRPr="00B9186C">
        <w:rPr>
          <w:rFonts w:ascii="方正仿宋简体" w:eastAsia="方正仿宋简体" w:hAnsi="宋体" w:cs="宋体" w:hint="eastAsia"/>
          <w:color w:val="000000"/>
          <w:kern w:val="0"/>
          <w:szCs w:val="21"/>
        </w:rPr>
        <w:t>中国证监会</w:t>
      </w:r>
      <w:proofErr w:type="gramStart"/>
      <w:r w:rsidRPr="00B9186C">
        <w:rPr>
          <w:rFonts w:ascii="方正仿宋简体" w:eastAsia="方正仿宋简体" w:hAnsi="宋体" w:cs="宋体" w:hint="eastAsia"/>
          <w:color w:val="000000"/>
          <w:kern w:val="0"/>
          <w:szCs w:val="21"/>
        </w:rPr>
        <w:t>作出</w:t>
      </w:r>
      <w:proofErr w:type="gramEnd"/>
      <w:r w:rsidRPr="00B9186C">
        <w:rPr>
          <w:rFonts w:ascii="方正仿宋简体" w:eastAsia="方正仿宋简体" w:hAnsi="宋体" w:cs="宋体" w:hint="eastAsia"/>
          <w:color w:val="000000"/>
          <w:kern w:val="0"/>
          <w:szCs w:val="21"/>
        </w:rPr>
        <w:t>予以核准决定的，应当会签中国银监会；</w:t>
      </w:r>
      <w:proofErr w:type="gramStart"/>
      <w:r w:rsidRPr="00B9186C">
        <w:rPr>
          <w:rFonts w:ascii="方正仿宋简体" w:eastAsia="方正仿宋简体" w:hAnsi="宋体" w:cs="宋体" w:hint="eastAsia"/>
          <w:color w:val="000000"/>
          <w:kern w:val="0"/>
          <w:szCs w:val="21"/>
        </w:rPr>
        <w:t>作出</w:t>
      </w:r>
      <w:proofErr w:type="gramEnd"/>
      <w:r w:rsidRPr="00B9186C">
        <w:rPr>
          <w:rFonts w:ascii="方正仿宋简体" w:eastAsia="方正仿宋简体" w:hAnsi="宋体" w:cs="宋体" w:hint="eastAsia"/>
          <w:color w:val="000000"/>
          <w:kern w:val="0"/>
          <w:szCs w:val="21"/>
        </w:rPr>
        <w:t>不予核准决定的，应当说明理由并告知申请人，行政许可程序终止。</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中国银监会应当自收到会签件之日</w:t>
      </w:r>
      <w:r w:rsidRPr="0093185C">
        <w:rPr>
          <w:rFonts w:ascii="方正仿宋简体" w:eastAsia="方正仿宋简体" w:hAnsi="宋体" w:cs="宋体" w:hint="eastAsia"/>
          <w:b/>
          <w:color w:val="FF0000"/>
          <w:kern w:val="0"/>
          <w:szCs w:val="21"/>
        </w:rPr>
        <w:t>起20个工作日内，</w:t>
      </w:r>
      <w:proofErr w:type="gramStart"/>
      <w:r w:rsidRPr="0093185C">
        <w:rPr>
          <w:rFonts w:ascii="方正仿宋简体" w:eastAsia="方正仿宋简体" w:hAnsi="宋体" w:cs="宋体" w:hint="eastAsia"/>
          <w:b/>
          <w:color w:val="FF0000"/>
          <w:kern w:val="0"/>
          <w:szCs w:val="21"/>
        </w:rPr>
        <w:t>作出</w:t>
      </w:r>
      <w:proofErr w:type="gramEnd"/>
      <w:r w:rsidRPr="0093185C">
        <w:rPr>
          <w:rFonts w:ascii="方正仿宋简体" w:eastAsia="方正仿宋简体" w:hAnsi="宋体" w:cs="宋体" w:hint="eastAsia"/>
          <w:b/>
          <w:color w:val="FF0000"/>
          <w:kern w:val="0"/>
          <w:szCs w:val="21"/>
        </w:rPr>
        <w:t>行政许可决定。</w:t>
      </w:r>
      <w:r w:rsidRPr="00B9186C">
        <w:rPr>
          <w:rFonts w:ascii="方正仿宋简体" w:eastAsia="方正仿宋简体" w:hAnsi="宋体" w:cs="宋体" w:hint="eastAsia"/>
          <w:color w:val="000000"/>
          <w:kern w:val="0"/>
          <w:szCs w:val="21"/>
        </w:rPr>
        <w:t>中国银监会</w:t>
      </w:r>
      <w:proofErr w:type="gramStart"/>
      <w:r w:rsidRPr="00B9186C">
        <w:rPr>
          <w:rFonts w:ascii="方正仿宋简体" w:eastAsia="方正仿宋简体" w:hAnsi="宋体" w:cs="宋体" w:hint="eastAsia"/>
          <w:color w:val="000000"/>
          <w:kern w:val="0"/>
          <w:szCs w:val="21"/>
        </w:rPr>
        <w:t>作出</w:t>
      </w:r>
      <w:proofErr w:type="gramEnd"/>
      <w:r w:rsidRPr="00B9186C">
        <w:rPr>
          <w:rFonts w:ascii="方正仿宋简体" w:eastAsia="方正仿宋简体" w:hAnsi="宋体" w:cs="宋体" w:hint="eastAsia"/>
          <w:color w:val="000000"/>
          <w:kern w:val="0"/>
          <w:szCs w:val="21"/>
        </w:rPr>
        <w:t>予以核准决定的，</w:t>
      </w:r>
      <w:r w:rsidRPr="0093185C">
        <w:rPr>
          <w:rFonts w:ascii="方正仿宋简体" w:eastAsia="方正仿宋简体" w:hAnsi="宋体" w:cs="宋体" w:hint="eastAsia"/>
          <w:b/>
          <w:color w:val="FF0000"/>
          <w:kern w:val="0"/>
          <w:szCs w:val="21"/>
        </w:rPr>
        <w:t>中国证监会和中国银监会共同签发批准文件，并由</w:t>
      </w:r>
      <w:r w:rsidRPr="0093185C">
        <w:rPr>
          <w:rFonts w:ascii="方正仿宋简体" w:eastAsia="方正仿宋简体" w:hAnsi="宋体" w:cs="宋体" w:hint="eastAsia"/>
          <w:b/>
          <w:color w:val="FF0000"/>
          <w:kern w:val="0"/>
          <w:szCs w:val="21"/>
          <w:highlight w:val="lightGray"/>
        </w:rPr>
        <w:t>中国证监会颁发</w:t>
      </w:r>
      <w:r w:rsidRPr="0093185C">
        <w:rPr>
          <w:rFonts w:ascii="方正仿宋简体" w:eastAsia="方正仿宋简体" w:hAnsi="宋体" w:cs="宋体" w:hint="eastAsia"/>
          <w:b/>
          <w:color w:val="FF0000"/>
          <w:kern w:val="0"/>
          <w:szCs w:val="21"/>
        </w:rPr>
        <w:t>基金托管业务许可证；</w:t>
      </w:r>
      <w:r w:rsidRPr="00B9186C">
        <w:rPr>
          <w:rFonts w:ascii="方正仿宋简体" w:eastAsia="方正仿宋简体" w:hAnsi="宋体" w:cs="宋体" w:hint="eastAsia"/>
          <w:color w:val="000000"/>
          <w:kern w:val="0"/>
          <w:szCs w:val="21"/>
        </w:rPr>
        <w:t>中国银监会</w:t>
      </w:r>
      <w:proofErr w:type="gramStart"/>
      <w:r w:rsidRPr="00B9186C">
        <w:rPr>
          <w:rFonts w:ascii="方正仿宋简体" w:eastAsia="方正仿宋简体" w:hAnsi="宋体" w:cs="宋体" w:hint="eastAsia"/>
          <w:color w:val="000000"/>
          <w:kern w:val="0"/>
          <w:szCs w:val="21"/>
        </w:rPr>
        <w:t>作出</w:t>
      </w:r>
      <w:proofErr w:type="gramEnd"/>
      <w:r w:rsidRPr="00B9186C">
        <w:rPr>
          <w:rFonts w:ascii="方正仿宋简体" w:eastAsia="方正仿宋简体" w:hAnsi="宋体" w:cs="宋体" w:hint="eastAsia"/>
          <w:color w:val="000000"/>
          <w:kern w:val="0"/>
          <w:szCs w:val="21"/>
        </w:rPr>
        <w:t>不予核准决定的，应当说明理由并告知申请人，行政许可程序终止。</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黑体简体" w:eastAsia="方正黑体简体" w:hAnsi="宋体" w:cs="宋体" w:hint="eastAsia"/>
          <w:color w:val="000000"/>
          <w:kern w:val="0"/>
          <w:szCs w:val="21"/>
        </w:rPr>
        <w:t>第十四条</w:t>
      </w:r>
      <w:r w:rsidRPr="00B9186C">
        <w:rPr>
          <w:rFonts w:ascii="方正仿宋简体" w:eastAsia="方正仿宋简体" w:hAnsi="宋体" w:cs="宋体" w:hint="eastAsia"/>
          <w:color w:val="000000"/>
          <w:kern w:val="0"/>
          <w:szCs w:val="21"/>
        </w:rPr>
        <w:t xml:space="preserve">  中国证监会、中国银监会在</w:t>
      </w:r>
      <w:proofErr w:type="gramStart"/>
      <w:r w:rsidRPr="00B9186C">
        <w:rPr>
          <w:rFonts w:ascii="方正仿宋简体" w:eastAsia="方正仿宋简体" w:hAnsi="宋体" w:cs="宋体" w:hint="eastAsia"/>
          <w:color w:val="000000"/>
          <w:kern w:val="0"/>
          <w:szCs w:val="21"/>
        </w:rPr>
        <w:t>作出</w:t>
      </w:r>
      <w:proofErr w:type="gramEnd"/>
      <w:r w:rsidRPr="00B9186C">
        <w:rPr>
          <w:rFonts w:ascii="方正仿宋简体" w:eastAsia="方正仿宋简体" w:hAnsi="宋体" w:cs="宋体" w:hint="eastAsia"/>
          <w:color w:val="000000"/>
          <w:kern w:val="0"/>
          <w:szCs w:val="21"/>
        </w:rPr>
        <w:t>核准决定</w:t>
      </w:r>
      <w:r w:rsidRPr="0093185C">
        <w:rPr>
          <w:rFonts w:ascii="方正仿宋简体" w:eastAsia="方正仿宋简体" w:hAnsi="宋体" w:cs="宋体" w:hint="eastAsia"/>
          <w:b/>
          <w:color w:val="FF0000"/>
          <w:kern w:val="0"/>
          <w:szCs w:val="21"/>
        </w:rPr>
        <w:t>前，</w:t>
      </w:r>
      <w:r w:rsidRPr="00B9186C">
        <w:rPr>
          <w:rFonts w:ascii="方正仿宋简体" w:eastAsia="方正仿宋简体" w:hAnsi="宋体" w:cs="宋体" w:hint="eastAsia"/>
          <w:color w:val="000000"/>
          <w:kern w:val="0"/>
          <w:szCs w:val="21"/>
        </w:rPr>
        <w:t>可以采取下列方式进行审查：</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（一）以专家评审、核查等方式审查申请材料的内容；</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（二）联合对商业银行拟设</w:t>
      </w:r>
      <w:proofErr w:type="gramStart"/>
      <w:r w:rsidRPr="00B9186C">
        <w:rPr>
          <w:rFonts w:ascii="方正仿宋简体" w:eastAsia="方正仿宋简体" w:hAnsi="宋体" w:cs="宋体" w:hint="eastAsia"/>
          <w:color w:val="000000"/>
          <w:kern w:val="0"/>
          <w:szCs w:val="21"/>
        </w:rPr>
        <w:t>立基金</w:t>
      </w:r>
      <w:proofErr w:type="gramEnd"/>
      <w:r w:rsidRPr="00B9186C">
        <w:rPr>
          <w:rFonts w:ascii="方正仿宋简体" w:eastAsia="方正仿宋简体" w:hAnsi="宋体" w:cs="宋体" w:hint="eastAsia"/>
          <w:color w:val="000000"/>
          <w:kern w:val="0"/>
          <w:szCs w:val="21"/>
        </w:rPr>
        <w:t>托管部门的筹建情况进行现场检查，现场检查由两名以上工作人员进行，现场检查的时间不计算在本办法第十三条规定的期限内。</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inherit" w:cs="宋体" w:hint="eastAsia"/>
          <w:b/>
          <w:bCs/>
          <w:color w:val="000000"/>
          <w:kern w:val="0"/>
          <w:sz w:val="30"/>
          <w:szCs w:val="30"/>
        </w:rPr>
      </w:pPr>
      <w:r w:rsidRPr="00B9186C">
        <w:rPr>
          <w:rFonts w:ascii="方正黑体简体" w:eastAsia="方正黑体简体" w:hAnsi="宋体" w:cs="宋体" w:hint="eastAsia"/>
          <w:color w:val="000000"/>
          <w:kern w:val="0"/>
          <w:szCs w:val="21"/>
        </w:rPr>
        <w:t>第十五条</w:t>
      </w:r>
      <w:r w:rsidRPr="00B9186C">
        <w:rPr>
          <w:rFonts w:ascii="方正仿宋简体" w:eastAsia="方正仿宋简体" w:hAnsi="宋体" w:cs="宋体" w:hint="eastAsia"/>
          <w:b/>
          <w:bCs/>
          <w:color w:val="000000"/>
          <w:kern w:val="0"/>
          <w:szCs w:val="21"/>
        </w:rPr>
        <w:t xml:space="preserve"> </w:t>
      </w:r>
      <w:r w:rsidRPr="00B9186C">
        <w:rPr>
          <w:rFonts w:ascii="方正仿宋简体" w:eastAsia="方正仿宋简体" w:hAnsi="宋体" w:cs="宋体" w:hint="eastAsia"/>
          <w:color w:val="000000"/>
          <w:kern w:val="0"/>
          <w:szCs w:val="21"/>
        </w:rPr>
        <w:t>取得基金托管资格的商业银行为基金托管人。基金托管人应当及时办理基金托管部门高级管理人员的任职手续。</w:t>
      </w:r>
    </w:p>
    <w:p w:rsidR="00B9186C" w:rsidRPr="00B9186C" w:rsidRDefault="00B9186C" w:rsidP="00DA6592">
      <w:pPr>
        <w:widowControl/>
        <w:shd w:val="clear" w:color="auto" w:fill="FFFFFF"/>
        <w:snapToGrid w:val="0"/>
        <w:spacing w:line="360" w:lineRule="auto"/>
        <w:jc w:val="center"/>
        <w:rPr>
          <w:rFonts w:ascii="方正仿宋简体" w:eastAsia="方正仿宋简体" w:hAnsi="inherit" w:cs="宋体" w:hint="eastAsia"/>
          <w:b/>
          <w:bCs/>
          <w:color w:val="000000"/>
          <w:kern w:val="0"/>
          <w:sz w:val="30"/>
          <w:szCs w:val="30"/>
        </w:rPr>
      </w:pPr>
      <w:r w:rsidRPr="00B9186C">
        <w:rPr>
          <w:rFonts w:ascii="方正黑体简体" w:eastAsia="方正黑体简体" w:hAnsi="宋体" w:cs="宋体" w:hint="eastAsia"/>
          <w:b/>
          <w:bCs/>
          <w:color w:val="000000"/>
          <w:kern w:val="0"/>
          <w:szCs w:val="21"/>
        </w:rPr>
        <w:t>第三章 托管职责的履行</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黑体简体" w:eastAsia="方正黑体简体" w:hAnsi="宋体" w:cs="宋体" w:hint="eastAsia"/>
          <w:color w:val="000000"/>
          <w:kern w:val="0"/>
          <w:szCs w:val="21"/>
        </w:rPr>
        <w:t>第十六条</w:t>
      </w:r>
      <w:r w:rsidRPr="00B9186C">
        <w:rPr>
          <w:rFonts w:ascii="方正仿宋简体" w:eastAsia="方正仿宋简体" w:hAnsi="宋体" w:cs="宋体" w:hint="eastAsia"/>
          <w:b/>
          <w:bCs/>
          <w:color w:val="000000"/>
          <w:kern w:val="0"/>
          <w:szCs w:val="21"/>
        </w:rPr>
        <w:t xml:space="preserve"> </w:t>
      </w:r>
      <w:r w:rsidRPr="00B9186C">
        <w:rPr>
          <w:rFonts w:ascii="方正仿宋简体" w:eastAsia="方正仿宋简体" w:hAnsi="宋体" w:cs="宋体" w:hint="eastAsia"/>
          <w:color w:val="000000"/>
          <w:kern w:val="0"/>
          <w:szCs w:val="21"/>
        </w:rPr>
        <w:t>基金托管人在与基金管理人订立基金合同、基金招募说明书、基金托管协议等法律文件前，应当从保护基金份额持有人角度，对涉及投资范围与投资限制、基金费用、收益分配、会计估值、信息披露等方面的条款进行评估，确保相关约定合</w:t>
      </w:r>
      <w:proofErr w:type="gramStart"/>
      <w:r w:rsidRPr="00B9186C">
        <w:rPr>
          <w:rFonts w:ascii="方正仿宋简体" w:eastAsia="方正仿宋简体" w:hAnsi="宋体" w:cs="宋体" w:hint="eastAsia"/>
          <w:color w:val="000000"/>
          <w:kern w:val="0"/>
          <w:szCs w:val="21"/>
        </w:rPr>
        <w:t>规</w:t>
      </w:r>
      <w:proofErr w:type="gramEnd"/>
      <w:r w:rsidRPr="00B9186C">
        <w:rPr>
          <w:rFonts w:ascii="方正仿宋简体" w:eastAsia="方正仿宋简体" w:hAnsi="宋体" w:cs="宋体" w:hint="eastAsia"/>
          <w:color w:val="000000"/>
          <w:kern w:val="0"/>
          <w:szCs w:val="21"/>
        </w:rPr>
        <w:t>清晰、风险揭示充分、会计估值科学公允。在基金托管协议中，还应当对基金托管人与基金管理人之间的业务监督与协作等职责进行详细约定。</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黑体简体" w:eastAsia="方正黑体简体" w:hAnsi="宋体" w:cs="宋体" w:hint="eastAsia"/>
          <w:color w:val="000000"/>
          <w:kern w:val="0"/>
          <w:szCs w:val="21"/>
        </w:rPr>
        <w:t>第十七条</w:t>
      </w:r>
      <w:r w:rsidRPr="00B9186C">
        <w:rPr>
          <w:rFonts w:ascii="方正仿宋简体" w:eastAsia="方正仿宋简体" w:hAnsi="宋体" w:cs="宋体" w:hint="eastAsia"/>
          <w:color w:val="000000"/>
          <w:kern w:val="0"/>
          <w:szCs w:val="21"/>
        </w:rPr>
        <w:t xml:space="preserve"> 基金托管人应当安全保管基金财产，按照相关规定和基金托管协议约定履行下列职责：</w:t>
      </w:r>
    </w:p>
    <w:p w:rsidR="00B9186C" w:rsidRPr="0092692C" w:rsidRDefault="00B9186C" w:rsidP="00DA6592">
      <w:pPr>
        <w:widowControl/>
        <w:shd w:val="clear" w:color="auto" w:fill="FFFFFF"/>
        <w:snapToGrid w:val="0"/>
        <w:spacing w:line="360" w:lineRule="auto"/>
        <w:ind w:firstLine="576"/>
        <w:jc w:val="left"/>
        <w:rPr>
          <w:rFonts w:ascii="方正仿宋简体" w:eastAsia="方正仿宋简体" w:hAnsi="宋体" w:cs="宋体"/>
          <w:b/>
          <w:color w:val="FF0000"/>
          <w:kern w:val="0"/>
          <w:szCs w:val="21"/>
        </w:rPr>
      </w:pPr>
      <w:r w:rsidRPr="00B9186C">
        <w:rPr>
          <w:rFonts w:ascii="方正仿宋简体" w:eastAsia="方正仿宋简体" w:hAnsi="宋体" w:cs="宋体" w:hint="eastAsia"/>
          <w:color w:val="000000"/>
          <w:kern w:val="0"/>
          <w:szCs w:val="21"/>
        </w:rPr>
        <w:t>（一）为所托管的不同基金财产</w:t>
      </w:r>
      <w:r w:rsidRPr="0092692C">
        <w:rPr>
          <w:rFonts w:ascii="方正仿宋简体" w:eastAsia="方正仿宋简体" w:hAnsi="宋体" w:cs="宋体" w:hint="eastAsia"/>
          <w:b/>
          <w:color w:val="FF0000"/>
          <w:kern w:val="0"/>
          <w:szCs w:val="21"/>
        </w:rPr>
        <w:t>分别设置资金账户、证券账户等投资交易必需的相关账户，确保基金财产的独立与完整；</w:t>
      </w:r>
    </w:p>
    <w:p w:rsidR="00B9186C" w:rsidRPr="0093185C" w:rsidRDefault="00B9186C" w:rsidP="00DA6592">
      <w:pPr>
        <w:widowControl/>
        <w:shd w:val="clear" w:color="auto" w:fill="FFFFFF"/>
        <w:snapToGrid w:val="0"/>
        <w:spacing w:line="360" w:lineRule="auto"/>
        <w:ind w:firstLine="576"/>
        <w:jc w:val="left"/>
        <w:rPr>
          <w:rFonts w:ascii="方正仿宋简体" w:eastAsia="方正仿宋简体" w:hAnsi="宋体" w:cs="宋体"/>
          <w:b/>
          <w:color w:val="FF0000"/>
          <w:kern w:val="0"/>
          <w:szCs w:val="21"/>
        </w:rPr>
      </w:pPr>
      <w:r w:rsidRPr="00B9186C">
        <w:rPr>
          <w:rFonts w:ascii="方正仿宋简体" w:eastAsia="方正仿宋简体" w:hAnsi="宋体" w:cs="宋体" w:hint="eastAsia"/>
          <w:color w:val="000000"/>
          <w:kern w:val="0"/>
          <w:szCs w:val="21"/>
        </w:rPr>
        <w:t>（二）建立与基金管理人的对账机制，定期核对资金头寸、证券账目、资产净值等数据，及时核查认购与申购资金的到账、赎回资金的支付以及投资资金的支付与到账情况，并对基金的会计凭证、交易记录、</w:t>
      </w:r>
      <w:r w:rsidRPr="0093185C">
        <w:rPr>
          <w:rFonts w:ascii="方正仿宋简体" w:eastAsia="方正仿宋简体" w:hAnsi="宋体" w:cs="宋体" w:hint="eastAsia"/>
          <w:b/>
          <w:color w:val="FF0000"/>
          <w:kern w:val="0"/>
          <w:szCs w:val="21"/>
        </w:rPr>
        <w:t>合同协议等重要文件档案保存15年以上；</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lastRenderedPageBreak/>
        <w:t>（三）对基金财产投资信息和相关资料负保密义务，除法律、行政法规和其他有关规定、监管机构及审计要求外，不得向任何机构或者个人泄露相关信息和资料。</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黑体简体" w:eastAsia="方正黑体简体" w:hAnsi="宋体" w:cs="宋体" w:hint="eastAsia"/>
          <w:color w:val="000000"/>
          <w:kern w:val="0"/>
          <w:szCs w:val="21"/>
        </w:rPr>
        <w:t>第十八条</w:t>
      </w:r>
      <w:r w:rsidRPr="00B9186C">
        <w:rPr>
          <w:rFonts w:ascii="方正仿宋简体" w:eastAsia="方正仿宋简体" w:hAnsi="宋体" w:cs="宋体" w:hint="eastAsia"/>
          <w:color w:val="000000"/>
          <w:kern w:val="0"/>
          <w:szCs w:val="21"/>
        </w:rPr>
        <w:t xml:space="preserve">  基金托管人应当与相关证券登记结算机构签订结算协议，依法承担作为市场结算参与人的相关职责。</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基金托管人与基金管理人应当签订结算协议或者在基金托管协议中约定结算条款，明确双方在基金清算交收及相关风险控制方面的职责。基金清算交</w:t>
      </w:r>
      <w:proofErr w:type="gramStart"/>
      <w:r w:rsidRPr="00B9186C">
        <w:rPr>
          <w:rFonts w:ascii="方正仿宋简体" w:eastAsia="方正仿宋简体" w:hAnsi="宋体" w:cs="宋体" w:hint="eastAsia"/>
          <w:color w:val="000000"/>
          <w:kern w:val="0"/>
          <w:szCs w:val="21"/>
        </w:rPr>
        <w:t>收过程</w:t>
      </w:r>
      <w:proofErr w:type="gramEnd"/>
      <w:r w:rsidRPr="00B9186C">
        <w:rPr>
          <w:rFonts w:ascii="方正仿宋简体" w:eastAsia="方正仿宋简体" w:hAnsi="宋体" w:cs="宋体" w:hint="eastAsia"/>
          <w:color w:val="000000"/>
          <w:kern w:val="0"/>
          <w:szCs w:val="21"/>
        </w:rPr>
        <w:t>中，出现基金财产中资金或证券不足以交收的，基金托管人应当及时通知基金管理人，督促基金管理人积极采取措施、最大程度控制违约交收风险与相关损失，并报告中国证监会。</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黑体简体" w:eastAsia="方正黑体简体" w:hAnsi="宋体" w:cs="宋体" w:hint="eastAsia"/>
          <w:color w:val="000000"/>
          <w:kern w:val="0"/>
          <w:szCs w:val="21"/>
        </w:rPr>
        <w:t>第十九条</w:t>
      </w:r>
      <w:r w:rsidRPr="00B9186C">
        <w:rPr>
          <w:rFonts w:ascii="方正仿宋简体" w:eastAsia="方正仿宋简体" w:hAnsi="宋体" w:cs="宋体" w:hint="eastAsia"/>
          <w:color w:val="000000"/>
          <w:kern w:val="0"/>
          <w:szCs w:val="21"/>
        </w:rPr>
        <w:t xml:space="preserve"> 基金托管人与基金管理人应当按照《企业会计准则》及中国证监会的有关规定进行估值核算，对各类金融工具的估值方法予以定期评估。基金托管人发现基金份额净值计价出现错误的，应当提示基金管理人立即纠正，并采取合理措施防止损失进一步扩大。基金托管人发现基金份额净值计价出现重大错误或者估值出现重大偏离的，应当提示基金管理人依法履行披露和报告义务。</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b/>
          <w:bCs/>
          <w:color w:val="000000"/>
          <w:kern w:val="0"/>
          <w:szCs w:val="21"/>
        </w:rPr>
      </w:pPr>
      <w:r w:rsidRPr="00B9186C">
        <w:rPr>
          <w:rFonts w:ascii="方正黑体简体" w:eastAsia="方正黑体简体" w:hAnsi="宋体" w:cs="宋体" w:hint="eastAsia"/>
          <w:color w:val="000000"/>
          <w:kern w:val="0"/>
          <w:szCs w:val="21"/>
        </w:rPr>
        <w:t>第二十条</w:t>
      </w:r>
      <w:r w:rsidRPr="00B9186C">
        <w:rPr>
          <w:rFonts w:ascii="方正仿宋简体" w:eastAsia="方正仿宋简体" w:hAnsi="宋体" w:cs="宋体" w:hint="eastAsia"/>
          <w:color w:val="000000"/>
          <w:kern w:val="0"/>
          <w:szCs w:val="21"/>
        </w:rPr>
        <w:t xml:space="preserve"> 基金托管人应当按照法律法规的规定以及基金合同的约定办理与基金托管业务有关的信息披露事项，包括但不限于：</w:t>
      </w:r>
      <w:r w:rsidRPr="0093185C">
        <w:rPr>
          <w:rFonts w:ascii="方正仿宋简体" w:eastAsia="方正仿宋简体" w:hAnsi="宋体" w:cs="宋体" w:hint="eastAsia"/>
          <w:b/>
          <w:color w:val="FF0000"/>
          <w:kern w:val="0"/>
          <w:szCs w:val="21"/>
        </w:rPr>
        <w:t>披露基金托管协议，对基金定期报告等信息披露文件中有关基金财务报告等信息及时进行复核审查并出具意见，在基金年度报告和半年度报告中出具托管人报告，就基金托管部门负责人变动等重大事项发布临时公告。</w:t>
      </w:r>
    </w:p>
    <w:p w:rsidR="00B9186C" w:rsidRPr="00B9186C" w:rsidRDefault="00B9186C" w:rsidP="00DA6592">
      <w:pPr>
        <w:widowControl/>
        <w:shd w:val="clear" w:color="auto" w:fill="FFFFFF"/>
        <w:snapToGrid w:val="0"/>
        <w:spacing w:line="360" w:lineRule="auto"/>
        <w:ind w:firstLine="600"/>
        <w:jc w:val="left"/>
        <w:rPr>
          <w:rFonts w:ascii="方正仿宋简体" w:eastAsia="方正仿宋简体" w:hAnsi="宋体" w:cs="宋体"/>
          <w:color w:val="000000"/>
          <w:kern w:val="0"/>
          <w:szCs w:val="21"/>
        </w:rPr>
      </w:pPr>
      <w:r w:rsidRPr="00B9186C">
        <w:rPr>
          <w:rFonts w:ascii="方正黑体简体" w:eastAsia="方正黑体简体" w:hAnsi="宋体" w:cs="宋体" w:hint="eastAsia"/>
          <w:color w:val="000000"/>
          <w:kern w:val="0"/>
          <w:szCs w:val="21"/>
        </w:rPr>
        <w:t>第二十一条</w:t>
      </w:r>
      <w:r w:rsidRPr="00B9186C">
        <w:rPr>
          <w:rFonts w:ascii="方正仿宋简体" w:eastAsia="方正仿宋简体" w:hAnsi="宋体" w:cs="宋体" w:hint="eastAsia"/>
          <w:color w:val="000000"/>
          <w:kern w:val="0"/>
          <w:szCs w:val="21"/>
        </w:rPr>
        <w:t xml:space="preserve"> 基金托管人应当根据基金合同及托管协议约定，制定基金投资监督标准与监督流程，对基金合同生效之后所托管基金的投资范围、投资比例、投资风格、投资限制、关联方交易等进行严格监督，及时提示基金管理人违规风险。</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当发现基金管理人发出但未执行的投资指令或者已经生效的投资指令违反法律、行政法规和其他有关规定，或者基金合同约定，应当依法履行通知基金管理人等程序，并及时报告中国证监会，持续跟进基金管理人的后续处理，督促基金管理人依法履行披露义务。基金管理人的上述违规失信行为给基金财产或者基金份额持有人造成损害的，基金托管人应当督促基金管理人及时予以赔偿。</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黑体简体" w:eastAsia="方正黑体简体" w:hAnsi="宋体" w:cs="宋体" w:hint="eastAsia"/>
          <w:color w:val="000000"/>
          <w:kern w:val="0"/>
          <w:szCs w:val="21"/>
        </w:rPr>
        <w:t>第二十二条</w:t>
      </w:r>
      <w:r w:rsidRPr="00B9186C">
        <w:rPr>
          <w:rFonts w:ascii="方正仿宋简体" w:eastAsia="方正仿宋简体" w:hAnsi="宋体" w:cs="宋体" w:hint="eastAsia"/>
          <w:color w:val="000000"/>
          <w:kern w:val="0"/>
          <w:szCs w:val="21"/>
        </w:rPr>
        <w:t xml:space="preserve"> 基金托管人应当对所托管基金履行法律法规、基金合同有关收益分配约定情况进行定期复核，发现基金收益分配有违规失信行为的，应当及时通知基金管理人，并报告中国证监会。</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黑体简体" w:eastAsia="方正黑体简体" w:hAnsi="宋体" w:cs="宋体" w:hint="eastAsia"/>
          <w:color w:val="000000"/>
          <w:kern w:val="0"/>
          <w:szCs w:val="21"/>
        </w:rPr>
        <w:t>第二十三条</w:t>
      </w:r>
      <w:r w:rsidRPr="00B9186C">
        <w:rPr>
          <w:rFonts w:ascii="方正仿宋简体" w:eastAsia="方正仿宋简体" w:hAnsi="宋体" w:cs="宋体" w:hint="eastAsia"/>
          <w:color w:val="000000"/>
          <w:kern w:val="0"/>
          <w:szCs w:val="21"/>
        </w:rPr>
        <w:t xml:space="preserve"> 对于转换基金运作方式、更换基金管理人等需召开基金份额持有人大会审议的事项，基金托管人应当积极配合基金管理人召集基金份额持有人大会；基金管理人未按规定召集或者不能召集的，基金托管人应当按照规定召集基金份额持有人大会，并依法履行对外披露与报告义务。</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黑体简体" w:eastAsia="方正黑体简体" w:hAnsi="宋体" w:cs="宋体" w:hint="eastAsia"/>
          <w:color w:val="000000"/>
          <w:kern w:val="0"/>
          <w:szCs w:val="21"/>
        </w:rPr>
        <w:lastRenderedPageBreak/>
        <w:t>第二十四条</w:t>
      </w:r>
      <w:r w:rsidRPr="00B9186C">
        <w:rPr>
          <w:rFonts w:ascii="方正仿宋简体" w:eastAsia="方正仿宋简体" w:hAnsi="宋体" w:cs="宋体" w:hint="eastAsia"/>
          <w:color w:val="000000"/>
          <w:kern w:val="0"/>
          <w:szCs w:val="21"/>
        </w:rPr>
        <w:t xml:space="preserve">  </w:t>
      </w:r>
      <w:r w:rsidRPr="0093185C">
        <w:rPr>
          <w:rFonts w:ascii="方正仿宋简体" w:eastAsia="方正仿宋简体" w:hAnsi="宋体" w:cs="宋体" w:hint="eastAsia"/>
          <w:b/>
          <w:color w:val="FF0000"/>
          <w:kern w:val="0"/>
          <w:szCs w:val="21"/>
        </w:rPr>
        <w:t>基金托管人在取得基金托管资格后，不得长期不开展基金托管业务；</w:t>
      </w:r>
      <w:r w:rsidRPr="00B9186C">
        <w:rPr>
          <w:rFonts w:ascii="方正仿宋简体" w:eastAsia="方正仿宋简体" w:hAnsi="宋体" w:cs="宋体" w:hint="eastAsia"/>
          <w:color w:val="000000"/>
          <w:kern w:val="0"/>
          <w:szCs w:val="21"/>
        </w:rPr>
        <w:t>在从事基金托管业务过程中，不得进行不正当竞争，不得利用非法手段垄断市场，不得违反基金托管协议约定将部分或者全部托管的基金财产委托他人托管。</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黑体简体" w:eastAsia="方正黑体简体" w:hAnsi="宋体" w:cs="宋体" w:hint="eastAsia"/>
          <w:color w:val="000000"/>
          <w:kern w:val="0"/>
          <w:szCs w:val="21"/>
        </w:rPr>
        <w:t>第二十五条</w:t>
      </w:r>
      <w:r w:rsidRPr="00B9186C">
        <w:rPr>
          <w:rFonts w:ascii="方正仿宋简体" w:eastAsia="方正仿宋简体" w:hAnsi="宋体" w:cs="宋体" w:hint="eastAsia"/>
          <w:color w:val="000000"/>
          <w:kern w:val="0"/>
          <w:szCs w:val="21"/>
        </w:rPr>
        <w:t xml:space="preserve">  基金托管人应当按照市场化原则，综合考虑基金</w:t>
      </w:r>
      <w:r w:rsidRPr="00FE1568">
        <w:rPr>
          <w:rFonts w:ascii="方正仿宋简体" w:eastAsia="方正仿宋简体" w:hAnsi="宋体" w:cs="宋体" w:hint="eastAsia"/>
          <w:color w:val="000000"/>
          <w:kern w:val="0"/>
          <w:szCs w:val="21"/>
          <w:highlight w:val="yellow"/>
        </w:rPr>
        <w:t>托管规模、产品类别、服务内容、业务处理难易程度等因素，与基金管理人协商</w:t>
      </w:r>
      <w:r w:rsidRPr="00B9186C">
        <w:rPr>
          <w:rFonts w:ascii="方正仿宋简体" w:eastAsia="方正仿宋简体" w:hAnsi="宋体" w:cs="宋体" w:hint="eastAsia"/>
          <w:color w:val="000000"/>
          <w:kern w:val="0"/>
          <w:szCs w:val="21"/>
        </w:rPr>
        <w:t>确定基金托管费用的计算方式和方法。</w:t>
      </w:r>
    </w:p>
    <w:p w:rsidR="00FB67F3" w:rsidRPr="00B9186C" w:rsidRDefault="00B9186C" w:rsidP="00DA6592">
      <w:pPr>
        <w:widowControl/>
        <w:shd w:val="clear" w:color="auto" w:fill="FFFFFF"/>
        <w:snapToGrid w:val="0"/>
        <w:spacing w:line="360" w:lineRule="auto"/>
        <w:ind w:firstLine="576"/>
        <w:jc w:val="left"/>
        <w:rPr>
          <w:rFonts w:ascii="方正仿宋简体" w:eastAsia="方正仿宋简体" w:hAnsi="inherit" w:cs="宋体" w:hint="eastAsia"/>
          <w:b/>
          <w:bCs/>
          <w:color w:val="000000"/>
          <w:kern w:val="0"/>
          <w:sz w:val="30"/>
          <w:szCs w:val="30"/>
        </w:rPr>
      </w:pPr>
      <w:r w:rsidRPr="00B9186C">
        <w:rPr>
          <w:rFonts w:ascii="方正仿宋简体" w:eastAsia="方正仿宋简体" w:hAnsi="宋体" w:cs="宋体" w:hint="eastAsia"/>
          <w:color w:val="000000"/>
          <w:kern w:val="0"/>
          <w:szCs w:val="21"/>
        </w:rPr>
        <w:t>基金托管费用的计提方式和计算方法应当在基金合同、基金招募说明书中明确列示。</w:t>
      </w:r>
    </w:p>
    <w:p w:rsidR="00B9186C" w:rsidRPr="00B9186C" w:rsidRDefault="00B9186C" w:rsidP="00DA6592">
      <w:pPr>
        <w:widowControl/>
        <w:shd w:val="clear" w:color="auto" w:fill="FFFFFF"/>
        <w:snapToGrid w:val="0"/>
        <w:spacing w:line="360" w:lineRule="auto"/>
        <w:jc w:val="center"/>
        <w:rPr>
          <w:rFonts w:ascii="方正黑体简体" w:eastAsia="方正黑体简体" w:hAnsi="宋体" w:cs="宋体"/>
          <w:b/>
          <w:bCs/>
          <w:kern w:val="0"/>
          <w:szCs w:val="21"/>
        </w:rPr>
      </w:pPr>
      <w:r w:rsidRPr="00B9186C">
        <w:rPr>
          <w:rFonts w:ascii="方正黑体简体" w:eastAsia="方正黑体简体" w:hAnsi="宋体" w:cs="宋体" w:hint="eastAsia"/>
          <w:b/>
          <w:bCs/>
          <w:color w:val="000000"/>
          <w:kern w:val="0"/>
          <w:szCs w:val="21"/>
        </w:rPr>
        <w:t>第四章 托管业务内部控制</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黑体简体" w:eastAsia="方正黑体简体" w:hAnsi="宋体" w:cs="宋体" w:hint="eastAsia"/>
          <w:color w:val="000000"/>
          <w:kern w:val="0"/>
          <w:szCs w:val="21"/>
        </w:rPr>
        <w:t>第二十六条</w:t>
      </w:r>
      <w:r w:rsidRPr="00B9186C">
        <w:rPr>
          <w:rFonts w:ascii="方正仿宋简体" w:eastAsia="方正仿宋简体" w:hAnsi="宋体" w:cs="宋体" w:hint="eastAsia"/>
          <w:color w:val="000000"/>
          <w:kern w:val="0"/>
          <w:szCs w:val="21"/>
        </w:rPr>
        <w:t xml:space="preserve"> 基金托管人应当按照相关法律法规，针对基金托管业务建立科学合理、控制严密、运行高效的内部控制体系，保持托管业务内部控制制度健全、执行有效。</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基金托管人应当每年聘请具有证券业务资格的会计师事务所，或者由托管人内部审计部门组织，针对基金托管法定业务和增值业务的内部控制制度建设与实施情况，开展相关审查与评估，出具评估报告。</w:t>
      </w:r>
      <w:bookmarkStart w:id="0" w:name="_GoBack"/>
      <w:bookmarkEnd w:id="0"/>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黑体简体" w:eastAsia="方正黑体简体" w:hAnsi="宋体" w:cs="宋体" w:hint="eastAsia"/>
          <w:color w:val="000000"/>
          <w:kern w:val="0"/>
          <w:szCs w:val="21"/>
        </w:rPr>
        <w:t>第二十七条</w:t>
      </w:r>
      <w:r w:rsidRPr="00B9186C">
        <w:rPr>
          <w:rFonts w:ascii="方正仿宋简体" w:eastAsia="方正仿宋简体" w:hAnsi="宋体" w:cs="宋体" w:hint="eastAsia"/>
          <w:color w:val="000000"/>
          <w:kern w:val="0"/>
          <w:szCs w:val="21"/>
        </w:rPr>
        <w:t xml:space="preserve"> 基金托管人应当建立突发事件处理预案制度，对发生严重影响基金份额持有人利益、可能引发系统性风险或者严重影响社会稳定的突发事件，按照预案妥善处理。</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黑体简体" w:eastAsia="方正黑体简体" w:hAnsi="宋体" w:cs="宋体" w:hint="eastAsia"/>
          <w:color w:val="000000"/>
          <w:kern w:val="0"/>
          <w:szCs w:val="21"/>
        </w:rPr>
        <w:t>第二十八条</w:t>
      </w:r>
      <w:r w:rsidRPr="00B9186C">
        <w:rPr>
          <w:rFonts w:ascii="方正仿宋简体" w:eastAsia="方正仿宋简体" w:hAnsi="宋体" w:cs="宋体" w:hint="eastAsia"/>
          <w:color w:val="000000"/>
          <w:kern w:val="0"/>
          <w:szCs w:val="21"/>
        </w:rPr>
        <w:t xml:space="preserve"> 基金托管人应当健全从业人员管理制度，完善信息管理及保密制度，加强对基金托管部门从业人员执业行为及投资基金等相关活动的管理。</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基金托管部门的从业人员不得利用未公开信息为自己或者他人谋取利益。</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黑体简体" w:eastAsia="方正黑体简体" w:hAnsi="宋体" w:cs="宋体" w:hint="eastAsia"/>
          <w:color w:val="000000"/>
          <w:kern w:val="0"/>
          <w:szCs w:val="21"/>
        </w:rPr>
        <w:t>第二十九条</w:t>
      </w:r>
      <w:r w:rsidRPr="00B9186C">
        <w:rPr>
          <w:rFonts w:ascii="方正仿宋简体" w:eastAsia="方正仿宋简体" w:hAnsi="宋体" w:cs="宋体" w:hint="eastAsia"/>
          <w:color w:val="000000"/>
          <w:kern w:val="0"/>
          <w:szCs w:val="21"/>
        </w:rPr>
        <w:t xml:space="preserve"> 基金托管人应当根据托管业务发展及其风险控制的需要，不断完善托管业务信息技术系统，配置足够的托管业务人员，规范岗位职责，加强职业培训，保证托管服务质量。</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黑体简体" w:eastAsia="方正黑体简体" w:hAnsi="宋体" w:cs="宋体" w:hint="eastAsia"/>
          <w:color w:val="000000"/>
          <w:kern w:val="0"/>
          <w:szCs w:val="21"/>
        </w:rPr>
        <w:t>第三十条</w:t>
      </w:r>
      <w:r w:rsidRPr="00B9186C">
        <w:rPr>
          <w:rFonts w:ascii="方正仿宋简体" w:eastAsia="方正仿宋简体" w:hAnsi="宋体" w:cs="宋体" w:hint="eastAsia"/>
          <w:color w:val="000000"/>
          <w:kern w:val="0"/>
          <w:szCs w:val="21"/>
        </w:rPr>
        <w:t xml:space="preserve">  基金托管人应当依法采取措施，确保基金托管和基金销售业务相互独立，切实保障基金财产的完整与独立。</w:t>
      </w:r>
    </w:p>
    <w:p w:rsidR="00B9186C" w:rsidRPr="00F6013A" w:rsidRDefault="00B9186C" w:rsidP="00DA6592">
      <w:pPr>
        <w:widowControl/>
        <w:shd w:val="clear" w:color="auto" w:fill="FFFFFF"/>
        <w:snapToGrid w:val="0"/>
        <w:spacing w:line="360" w:lineRule="auto"/>
        <w:ind w:firstLine="576"/>
        <w:jc w:val="left"/>
        <w:rPr>
          <w:rFonts w:ascii="方正仿宋简体" w:eastAsia="方正仿宋简体" w:hAnsi="宋体" w:cs="宋体"/>
          <w:color w:val="FF0000"/>
          <w:kern w:val="0"/>
          <w:szCs w:val="21"/>
        </w:rPr>
      </w:pPr>
      <w:r w:rsidRPr="00B9186C">
        <w:rPr>
          <w:rFonts w:ascii="方正黑体简体" w:eastAsia="方正黑体简体" w:hAnsi="宋体" w:cs="宋体" w:hint="eastAsia"/>
          <w:color w:val="000000"/>
          <w:kern w:val="0"/>
          <w:szCs w:val="21"/>
        </w:rPr>
        <w:t>第三十一条</w:t>
      </w:r>
      <w:r w:rsidRPr="00F6013A">
        <w:rPr>
          <w:rFonts w:ascii="方正仿宋简体" w:eastAsia="方正仿宋简体" w:hAnsi="宋体" w:cs="宋体" w:hint="eastAsia"/>
          <w:color w:val="FF0000"/>
          <w:kern w:val="0"/>
          <w:szCs w:val="21"/>
        </w:rPr>
        <w:t xml:space="preserve">  </w:t>
      </w:r>
      <w:r w:rsidRPr="00F6013A">
        <w:rPr>
          <w:rFonts w:ascii="方正仿宋简体" w:eastAsia="方正仿宋简体" w:hAnsi="宋体" w:cs="宋体" w:hint="eastAsia"/>
          <w:color w:val="FF0000"/>
          <w:kern w:val="0"/>
          <w:szCs w:val="21"/>
          <w:highlight w:val="yellow"/>
        </w:rPr>
        <w:t>基金托管人根据业务发展的需要，按照法律法规规定和基金托管协议约定委托符合条件的境外资产托管人开展境外资产托管业务的，应当对境外资产托管人进行尽职调查，制定遴选标准与程序，健全相关的业务风险管理和应急处理制度，加强对境外资产托管人的监督与约束。</w:t>
      </w:r>
    </w:p>
    <w:p w:rsidR="00B9186C" w:rsidRPr="00B9186C" w:rsidRDefault="00B9186C" w:rsidP="00F6013A">
      <w:pPr>
        <w:widowControl/>
        <w:shd w:val="clear" w:color="auto" w:fill="FFFFFF"/>
        <w:snapToGrid w:val="0"/>
        <w:spacing w:line="360" w:lineRule="auto"/>
        <w:ind w:firstLine="576"/>
        <w:jc w:val="left"/>
        <w:rPr>
          <w:rFonts w:ascii="方正黑体简体" w:eastAsia="方正黑体简体" w:hAnsi="inherit" w:cs="宋体" w:hint="eastAsia"/>
          <w:color w:val="000000"/>
          <w:kern w:val="0"/>
          <w:sz w:val="30"/>
          <w:szCs w:val="30"/>
        </w:rPr>
      </w:pPr>
      <w:r w:rsidRPr="00B9186C">
        <w:rPr>
          <w:rFonts w:ascii="方正黑体简体" w:eastAsia="方正黑体简体" w:hAnsi="宋体" w:cs="宋体" w:hint="eastAsia"/>
          <w:color w:val="000000"/>
          <w:kern w:val="0"/>
          <w:szCs w:val="21"/>
        </w:rPr>
        <w:t>第三十二条</w:t>
      </w:r>
      <w:r w:rsidRPr="00B9186C">
        <w:rPr>
          <w:rFonts w:ascii="方正仿宋简体" w:eastAsia="方正仿宋简体" w:hAnsi="宋体" w:cs="宋体" w:hint="eastAsia"/>
          <w:color w:val="000000"/>
          <w:kern w:val="0"/>
          <w:szCs w:val="21"/>
        </w:rPr>
        <w:t xml:space="preserve"> 基金托管人在法定托管职责之外依法开展基金服务外包等增值业务的，应当设立专门的团队与业务系统，与原有基金托管业务团队之间建立必要的业务隔离，有效防范潜在的利益冲突。</w:t>
      </w:r>
    </w:p>
    <w:p w:rsidR="00B9186C" w:rsidRPr="00B9186C" w:rsidRDefault="00B9186C" w:rsidP="00F6013A">
      <w:pPr>
        <w:widowControl/>
        <w:shd w:val="clear" w:color="auto" w:fill="FFFFFF"/>
        <w:snapToGrid w:val="0"/>
        <w:spacing w:line="360" w:lineRule="auto"/>
        <w:jc w:val="center"/>
        <w:rPr>
          <w:rFonts w:ascii="方正仿宋简体" w:eastAsia="方正仿宋简体" w:hAnsi="inherit" w:cs="宋体" w:hint="eastAsia"/>
          <w:kern w:val="0"/>
          <w:sz w:val="30"/>
          <w:szCs w:val="30"/>
        </w:rPr>
      </w:pPr>
      <w:r w:rsidRPr="00B9186C">
        <w:rPr>
          <w:rFonts w:ascii="方正黑体简体" w:eastAsia="方正黑体简体" w:hAnsi="宋体" w:cs="宋体" w:hint="eastAsia"/>
          <w:b/>
          <w:bCs/>
          <w:color w:val="000000"/>
          <w:kern w:val="0"/>
          <w:szCs w:val="21"/>
        </w:rPr>
        <w:t>第五章 监督管理与法律责任</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黑体简体" w:eastAsia="方正黑体简体" w:hAnsi="宋体" w:cs="宋体" w:hint="eastAsia"/>
          <w:color w:val="000000"/>
          <w:kern w:val="0"/>
          <w:szCs w:val="21"/>
        </w:rPr>
        <w:t>第三十三条</w:t>
      </w:r>
      <w:r w:rsidRPr="00B9186C">
        <w:rPr>
          <w:rFonts w:ascii="方正仿宋简体" w:eastAsia="方正仿宋简体" w:hAnsi="宋体" w:cs="宋体" w:hint="eastAsia"/>
          <w:color w:val="000000"/>
          <w:kern w:val="0"/>
          <w:szCs w:val="21"/>
        </w:rPr>
        <w:t xml:space="preserve">  申请人在申请基金托管资格时，隐瞒有关情况或者提供虚假申请材料的，中国证监会、中国银监会不予受理或者不予核准，并给予警告；</w:t>
      </w:r>
      <w:r w:rsidRPr="00F6013A">
        <w:rPr>
          <w:rFonts w:ascii="方正仿宋简体" w:eastAsia="方正仿宋简体" w:hAnsi="宋体" w:cs="宋体" w:hint="eastAsia"/>
          <w:b/>
          <w:color w:val="FF0000"/>
          <w:kern w:val="0"/>
          <w:szCs w:val="21"/>
        </w:rPr>
        <w:t>申请人在3年内不得再次申请基金托管资格。</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lastRenderedPageBreak/>
        <w:t>申请人以欺骗、贿赂等不正当手段取得基金托管资格的，中国证监会商中国银监会取消基金托管资格，给予警告、罚款，由中国证监会注销基金托管业务许可证；中国银监会可以区别不同情形，责令申请人对直接负责的主管人员和其他直接责任人员给予纪律处分，或者对其给予警告、罚款，或者禁止其一定期限直至终身从事银行业工作；申请人在3年内不得再次申请基金托管资格；涉嫌犯罪的依法移送司法机关，追究刑事责任。</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黑体简体" w:eastAsia="方正黑体简体" w:hAnsi="宋体" w:cs="宋体" w:hint="eastAsia"/>
          <w:color w:val="000000"/>
          <w:kern w:val="0"/>
          <w:szCs w:val="21"/>
        </w:rPr>
        <w:t>第三十四条</w:t>
      </w:r>
      <w:r w:rsidRPr="00B9186C">
        <w:rPr>
          <w:rFonts w:ascii="方正仿宋简体" w:eastAsia="方正仿宋简体" w:hAnsi="宋体" w:cs="宋体" w:hint="eastAsia"/>
          <w:color w:val="000000"/>
          <w:kern w:val="0"/>
          <w:szCs w:val="21"/>
        </w:rPr>
        <w:t xml:space="preserve"> </w:t>
      </w:r>
      <w:r w:rsidRPr="00304528">
        <w:rPr>
          <w:rFonts w:ascii="方正仿宋简体" w:eastAsia="方正仿宋简体" w:hAnsi="宋体" w:cs="宋体" w:hint="eastAsia"/>
          <w:color w:val="000000"/>
          <w:kern w:val="0"/>
          <w:szCs w:val="21"/>
          <w:highlight w:val="yellow"/>
        </w:rPr>
        <w:t>未取得基金托管资格擅自从事基金托管业务的，责令停止，没收违法所得，并处违法所得一倍以上五倍以下罚款；没有违法所得或者违法所得不足一百万元的，并处十万元以上一百万元以下罚款；对直接负责的主管人员和其他直接责任人员给予警告，并处三万元以上三十万元以下罚款。</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黑体简体" w:eastAsia="方正黑体简体" w:hAnsi="宋体" w:cs="宋体" w:hint="eastAsia"/>
          <w:color w:val="000000"/>
          <w:kern w:val="0"/>
          <w:szCs w:val="21"/>
        </w:rPr>
        <w:t>第三十五条</w:t>
      </w:r>
      <w:r w:rsidRPr="00B9186C">
        <w:rPr>
          <w:rFonts w:ascii="方正仿宋简体" w:eastAsia="方正仿宋简体" w:hAnsi="宋体" w:cs="宋体" w:hint="eastAsia"/>
          <w:color w:val="000000"/>
          <w:kern w:val="0"/>
          <w:szCs w:val="21"/>
        </w:rPr>
        <w:t xml:space="preserve"> 基金托管人应当根据中国证监会的要求，履行下列信息报送义务：</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（一）基金投资运作监督报告；</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（二）基金托管业务运营情况报告；</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（三）基金托管业务内部控制年度评估报告；</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（四）中国证监会根据审慎监管原则要求报送的其他材料。</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黑体简体" w:eastAsia="方正黑体简体" w:hAnsi="宋体" w:cs="宋体" w:hint="eastAsia"/>
          <w:color w:val="000000"/>
          <w:kern w:val="0"/>
          <w:szCs w:val="21"/>
        </w:rPr>
        <w:t>第三十六条</w:t>
      </w:r>
      <w:r w:rsidRPr="00B9186C">
        <w:rPr>
          <w:rFonts w:ascii="方正仿宋简体" w:eastAsia="方正仿宋简体" w:hAnsi="宋体" w:cs="宋体" w:hint="eastAsia"/>
          <w:color w:val="000000"/>
          <w:kern w:val="0"/>
          <w:szCs w:val="21"/>
        </w:rPr>
        <w:t xml:space="preserve"> 当基金托管人发生下列情形之一的，应当自发生之日起5日内向中国证监会报告：</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（一）基金托管部门的设置发生重大变更；</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（二）托管人或者其基金托管部门的名称、住所发生变更；</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（三）基金托管部门的高级管理人员发生变更；</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（四）托管人及基金托管部门的高级管理人员受到刑事、行政处罚，或者被监管机构、司法机关调查；</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（五）涉及托管业务的重大诉讼或者仲裁；</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（六）与基金托管业务相关的其他重大事项。</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黑体简体" w:eastAsia="方正黑体简体" w:hAnsi="宋体" w:cs="宋体" w:hint="eastAsia"/>
          <w:color w:val="000000"/>
          <w:kern w:val="0"/>
          <w:szCs w:val="21"/>
        </w:rPr>
        <w:t>第三十七条</w:t>
      </w:r>
      <w:r w:rsidRPr="00B9186C">
        <w:rPr>
          <w:rFonts w:ascii="方正仿宋简体" w:eastAsia="方正仿宋简体" w:hAnsi="宋体" w:cs="宋体" w:hint="eastAsia"/>
          <w:color w:val="000000"/>
          <w:kern w:val="0"/>
          <w:szCs w:val="21"/>
        </w:rPr>
        <w:t xml:space="preserve">  中国证监会可以根据日常监管情况，对基金托管人的基金托管部门进行现场检查，并采取下列措施：</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（一）要求提供与检查事项有关的文件、会议记录、报表、凭证和其他资料，查阅、复制与检查事项有关的文件；</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（二）询问相关工作人员，要求其对有关检查事项做出说明；</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（三）检查基金托管业务系统；</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（四）中国证监会规定的其他措施。</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中国证监会进行现场检查后，应当向被检查的基金托管人出具检查结论。基金托管人及有关人员应当配合中国证监会进行检查，不得以任何理由拒绝、拖延提供有关材料，或者提供不真实、不准确、不完整的资料。</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黑体简体" w:eastAsia="方正黑体简体" w:hAnsi="宋体" w:cs="宋体" w:hint="eastAsia"/>
          <w:color w:val="000000"/>
          <w:kern w:val="0"/>
          <w:szCs w:val="21"/>
        </w:rPr>
        <w:lastRenderedPageBreak/>
        <w:t>第三十八条</w:t>
      </w:r>
      <w:r w:rsidRPr="00B9186C">
        <w:rPr>
          <w:rFonts w:ascii="方正仿宋简体" w:eastAsia="方正仿宋简体" w:hAnsi="宋体" w:cs="宋体" w:hint="eastAsia"/>
          <w:color w:val="000000"/>
          <w:kern w:val="0"/>
          <w:szCs w:val="21"/>
        </w:rPr>
        <w:t xml:space="preserve">  基金托管人在开展基金托管业务过程中违反本办法规定，中国证监会应当责令限期整改，整改期间可以暂停其办理新的基金托管业务；对直接负责的基金托管业务主管人员和其他直接责任人员，可以采取监管谈话、出具警示函等行政监管措施。</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黑体简体" w:eastAsia="方正黑体简体" w:hAnsi="宋体" w:cs="宋体" w:hint="eastAsia"/>
          <w:color w:val="000000"/>
          <w:kern w:val="0"/>
          <w:szCs w:val="21"/>
        </w:rPr>
        <w:t>第三十九条</w:t>
      </w:r>
      <w:r w:rsidRPr="00B9186C">
        <w:rPr>
          <w:rFonts w:ascii="方正仿宋简体" w:eastAsia="方正仿宋简体" w:hAnsi="宋体" w:cs="宋体" w:hint="eastAsia"/>
          <w:color w:val="000000"/>
          <w:kern w:val="0"/>
          <w:szCs w:val="21"/>
        </w:rPr>
        <w:t xml:space="preserve"> 对有下列情形之一的基金托管人，中国证监会商中国银监会可以依法取消其基金托管资格，依法给予罚款；对直接负责的主管人员和其他直接责任人员，中国证监会依法给予罚款，可以并处暂停或者撤销基金从业资格，中国银监会可以并处禁止一定期限直至终身从事银行业工作：</w:t>
      </w:r>
    </w:p>
    <w:p w:rsidR="00B9186C" w:rsidRPr="0055121F" w:rsidRDefault="00B9186C" w:rsidP="00DA6592">
      <w:pPr>
        <w:widowControl/>
        <w:shd w:val="clear" w:color="auto" w:fill="FFFFFF"/>
        <w:snapToGrid w:val="0"/>
        <w:spacing w:line="360" w:lineRule="auto"/>
        <w:ind w:firstLine="576"/>
        <w:jc w:val="left"/>
        <w:rPr>
          <w:rFonts w:ascii="方正仿宋简体" w:eastAsia="方正仿宋简体" w:hAnsi="宋体" w:cs="宋体"/>
          <w:b/>
          <w:color w:val="FF0000"/>
          <w:kern w:val="0"/>
          <w:szCs w:val="21"/>
        </w:rPr>
      </w:pPr>
      <w:r w:rsidRPr="0055121F">
        <w:rPr>
          <w:rFonts w:ascii="方正仿宋简体" w:eastAsia="方正仿宋简体" w:hAnsi="宋体" w:cs="宋体" w:hint="eastAsia"/>
          <w:b/>
          <w:color w:val="FF0000"/>
          <w:kern w:val="0"/>
          <w:szCs w:val="21"/>
          <w:highlight w:val="yellow"/>
        </w:rPr>
        <w:t>（一）连续3年没有开展基金托管业务的；</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（二）未能在规定时间内通过整改验收的；</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（三）违反法律法规，情节严重的；</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仿宋简体" w:eastAsia="方正仿宋简体" w:hAnsi="宋体" w:cs="宋体" w:hint="eastAsia"/>
          <w:color w:val="000000"/>
          <w:kern w:val="0"/>
          <w:szCs w:val="21"/>
        </w:rPr>
        <w:t>（四）法律法规规定的其他情形。</w:t>
      </w:r>
    </w:p>
    <w:p w:rsidR="00B9186C" w:rsidRPr="00B9186C" w:rsidRDefault="00B9186C" w:rsidP="00DA6592">
      <w:pPr>
        <w:widowControl/>
        <w:shd w:val="clear" w:color="auto" w:fill="FFFFFF"/>
        <w:snapToGrid w:val="0"/>
        <w:spacing w:line="360" w:lineRule="auto"/>
        <w:ind w:firstLine="540"/>
        <w:jc w:val="center"/>
        <w:rPr>
          <w:rFonts w:ascii="方正仿宋简体" w:eastAsia="方正仿宋简体" w:hAnsi="inherit" w:cs="宋体" w:hint="eastAsia"/>
          <w:b/>
          <w:bCs/>
          <w:color w:val="000000"/>
          <w:kern w:val="0"/>
          <w:sz w:val="30"/>
          <w:szCs w:val="30"/>
        </w:rPr>
      </w:pPr>
    </w:p>
    <w:p w:rsidR="00B9186C" w:rsidRPr="00B9186C" w:rsidRDefault="00B9186C" w:rsidP="00DA6592">
      <w:pPr>
        <w:widowControl/>
        <w:shd w:val="clear" w:color="auto" w:fill="FFFFFF"/>
        <w:snapToGrid w:val="0"/>
        <w:spacing w:line="360" w:lineRule="auto"/>
        <w:jc w:val="center"/>
        <w:rPr>
          <w:rFonts w:ascii="方正黑体简体" w:eastAsia="方正黑体简体" w:hAnsi="宋体" w:cs="宋体"/>
          <w:b/>
          <w:bCs/>
          <w:kern w:val="0"/>
          <w:szCs w:val="21"/>
        </w:rPr>
      </w:pPr>
      <w:r w:rsidRPr="00B9186C">
        <w:rPr>
          <w:rFonts w:ascii="方正黑体简体" w:eastAsia="方正黑体简体" w:hAnsi="宋体" w:cs="宋体" w:hint="eastAsia"/>
          <w:b/>
          <w:bCs/>
          <w:color w:val="000000"/>
          <w:kern w:val="0"/>
          <w:szCs w:val="21"/>
        </w:rPr>
        <w:t>第六章 附 则</w:t>
      </w:r>
    </w:p>
    <w:p w:rsidR="00B9186C" w:rsidRPr="00B9186C" w:rsidRDefault="00B9186C" w:rsidP="00DA6592">
      <w:pPr>
        <w:widowControl/>
        <w:shd w:val="clear" w:color="auto" w:fill="FFFFFF"/>
        <w:snapToGrid w:val="0"/>
        <w:spacing w:line="360" w:lineRule="auto"/>
        <w:ind w:firstLine="540"/>
        <w:jc w:val="center"/>
        <w:rPr>
          <w:rFonts w:ascii="方正仿宋简体" w:eastAsia="方正仿宋简体" w:hAnsi="inherit" w:cs="宋体" w:hint="eastAsia"/>
          <w:kern w:val="0"/>
          <w:sz w:val="30"/>
          <w:szCs w:val="30"/>
        </w:rPr>
      </w:pP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黑体简体" w:eastAsia="方正黑体简体" w:hAnsi="宋体" w:cs="宋体" w:hint="eastAsia"/>
          <w:color w:val="000000"/>
          <w:kern w:val="0"/>
          <w:szCs w:val="21"/>
        </w:rPr>
        <w:t>第四十条</w:t>
      </w:r>
      <w:r w:rsidRPr="00B9186C">
        <w:rPr>
          <w:rFonts w:ascii="方正仿宋简体" w:eastAsia="方正仿宋简体" w:hAnsi="宋体" w:cs="宋体" w:hint="eastAsia"/>
          <w:color w:val="000000"/>
          <w:kern w:val="0"/>
          <w:szCs w:val="21"/>
        </w:rPr>
        <w:t xml:space="preserve">  本办法适用于境内法人商业银行及境内依法设立的其他金融机构。</w:t>
      </w:r>
    </w:p>
    <w:p w:rsidR="00B9186C" w:rsidRPr="00B9186C" w:rsidRDefault="00B9186C" w:rsidP="00DA6592">
      <w:pPr>
        <w:widowControl/>
        <w:shd w:val="clear" w:color="auto" w:fill="FFFFFF"/>
        <w:snapToGrid w:val="0"/>
        <w:spacing w:line="360" w:lineRule="auto"/>
        <w:ind w:firstLine="576"/>
        <w:jc w:val="left"/>
        <w:rPr>
          <w:rFonts w:ascii="方正仿宋简体" w:eastAsia="方正仿宋简体" w:hAnsi="宋体" w:cs="宋体"/>
          <w:color w:val="000000"/>
          <w:kern w:val="0"/>
          <w:szCs w:val="21"/>
        </w:rPr>
      </w:pPr>
      <w:r w:rsidRPr="00B9186C">
        <w:rPr>
          <w:rFonts w:ascii="方正黑体简体" w:eastAsia="方正黑体简体" w:hAnsi="宋体" w:cs="宋体" w:hint="eastAsia"/>
          <w:color w:val="000000"/>
          <w:kern w:val="0"/>
          <w:szCs w:val="21"/>
        </w:rPr>
        <w:t>第四十一条</w:t>
      </w:r>
      <w:r w:rsidRPr="00B9186C">
        <w:rPr>
          <w:rFonts w:ascii="方正仿宋简体" w:eastAsia="方正仿宋简体" w:hAnsi="宋体" w:cs="宋体" w:hint="eastAsia"/>
          <w:color w:val="000000"/>
          <w:kern w:val="0"/>
          <w:szCs w:val="21"/>
        </w:rPr>
        <w:t xml:space="preserve"> 非银行金融机构申请基金托管资格的条件与程序由中国证监会另行规定。</w:t>
      </w:r>
    </w:p>
    <w:p w:rsidR="00B9186C" w:rsidRPr="00B9186C" w:rsidRDefault="00B9186C" w:rsidP="00DA6592">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B9186C">
        <w:rPr>
          <w:rFonts w:ascii="方正黑体简体" w:eastAsia="方正黑体简体" w:hAnsi="宋体" w:cs="宋体" w:hint="eastAsia"/>
          <w:color w:val="000000"/>
          <w:kern w:val="0"/>
          <w:szCs w:val="21"/>
        </w:rPr>
        <w:t>第四十二条</w:t>
      </w:r>
      <w:r w:rsidRPr="00B9186C">
        <w:rPr>
          <w:rFonts w:ascii="方正仿宋简体" w:eastAsia="方正仿宋简体" w:hAnsi="宋体" w:cs="宋体" w:hint="eastAsia"/>
          <w:color w:val="000000"/>
          <w:kern w:val="0"/>
          <w:szCs w:val="21"/>
        </w:rPr>
        <w:t xml:space="preserve">  本办法自2013年4月2日起施行。2004年11月29日中国证监会、中国银监会联合公布的《证券投资基金托管资格管理办法》同时废止</w:t>
      </w:r>
      <w:r w:rsidRPr="00B9186C">
        <w:rPr>
          <w:rFonts w:ascii="仿宋_GB2312" w:eastAsia="仿宋_GB2312" w:hAnsi="宋体" w:cs="宋体" w:hint="eastAsia"/>
          <w:color w:val="000000"/>
          <w:kern w:val="0"/>
          <w:szCs w:val="21"/>
        </w:rPr>
        <w:t>。</w:t>
      </w:r>
    </w:p>
    <w:p w:rsidR="00B9186C" w:rsidRPr="00B9186C" w:rsidRDefault="00B9186C" w:rsidP="00DA6592">
      <w:pPr>
        <w:widowControl/>
        <w:shd w:val="clear" w:color="auto" w:fill="FFFFFF"/>
        <w:snapToGrid w:val="0"/>
        <w:spacing w:line="360" w:lineRule="auto"/>
        <w:ind w:right="259" w:firstLine="300"/>
        <w:jc w:val="left"/>
        <w:rPr>
          <w:rFonts w:ascii="方正仿宋简体" w:eastAsia="方正仿宋简体" w:hAnsi="inherit" w:cs="宋体" w:hint="eastAsia"/>
          <w:color w:val="000000"/>
          <w:kern w:val="0"/>
          <w:sz w:val="30"/>
          <w:szCs w:val="30"/>
        </w:rPr>
      </w:pPr>
    </w:p>
    <w:p w:rsidR="00336864" w:rsidRPr="00B9186C" w:rsidRDefault="00336864" w:rsidP="00DA6592">
      <w:pPr>
        <w:spacing w:line="360" w:lineRule="auto"/>
      </w:pPr>
    </w:p>
    <w:sectPr w:rsidR="00336864" w:rsidRPr="00B918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AC6" w:rsidRDefault="00124AC6" w:rsidP="00DA6592">
      <w:r>
        <w:separator/>
      </w:r>
    </w:p>
  </w:endnote>
  <w:endnote w:type="continuationSeparator" w:id="0">
    <w:p w:rsidR="00124AC6" w:rsidRDefault="00124AC6" w:rsidP="00DA6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方正大标宋简体">
    <w:altName w:val="Arial Unicode MS"/>
    <w:charset w:val="86"/>
    <w:family w:val="auto"/>
    <w:pitch w:val="default"/>
    <w:sig w:usb0="00000000" w:usb1="080E0000" w:usb2="00000000" w:usb3="00000000" w:csb0="00040000" w:csb1="00000000"/>
  </w:font>
  <w:font w:name="仿宋_GB2312">
    <w:altName w:val="仿宋"/>
    <w:charset w:val="86"/>
    <w:family w:val="modern"/>
    <w:pitch w:val="default"/>
    <w:sig w:usb0="00000000" w:usb1="080E0000" w:usb2="00000000" w:usb3="00000000" w:csb0="00040000" w:csb1="00000000"/>
  </w:font>
  <w:font w:name="方正黑体简体">
    <w:altName w:val="宋体"/>
    <w:charset w:val="86"/>
    <w:family w:val="auto"/>
    <w:pitch w:val="default"/>
    <w:sig w:usb0="00000001" w:usb1="080E0000" w:usb2="00000010" w:usb3="00000000" w:csb0="00040000" w:csb1="00000000"/>
  </w:font>
  <w:font w:name="方正仿宋简体">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AC6" w:rsidRDefault="00124AC6" w:rsidP="00DA6592">
      <w:r>
        <w:separator/>
      </w:r>
    </w:p>
  </w:footnote>
  <w:footnote w:type="continuationSeparator" w:id="0">
    <w:p w:rsidR="00124AC6" w:rsidRDefault="00124AC6" w:rsidP="00DA65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86C"/>
    <w:rsid w:val="00000F2E"/>
    <w:rsid w:val="00124AC6"/>
    <w:rsid w:val="00273FCD"/>
    <w:rsid w:val="00304528"/>
    <w:rsid w:val="00336864"/>
    <w:rsid w:val="0055121F"/>
    <w:rsid w:val="0092692C"/>
    <w:rsid w:val="0093185C"/>
    <w:rsid w:val="00B9186C"/>
    <w:rsid w:val="00C77AE0"/>
    <w:rsid w:val="00DA6592"/>
    <w:rsid w:val="00F6013A"/>
    <w:rsid w:val="00FB67F3"/>
    <w:rsid w:val="00FE1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9186C"/>
    <w:rPr>
      <w:b/>
      <w:bCs/>
    </w:rPr>
  </w:style>
  <w:style w:type="paragraph" w:styleId="a4">
    <w:name w:val="header"/>
    <w:basedOn w:val="a"/>
    <w:link w:val="Char"/>
    <w:uiPriority w:val="99"/>
    <w:unhideWhenUsed/>
    <w:rsid w:val="00DA65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A6592"/>
    <w:rPr>
      <w:sz w:val="18"/>
      <w:szCs w:val="18"/>
    </w:rPr>
  </w:style>
  <w:style w:type="paragraph" w:styleId="a5">
    <w:name w:val="footer"/>
    <w:basedOn w:val="a"/>
    <w:link w:val="Char0"/>
    <w:uiPriority w:val="99"/>
    <w:unhideWhenUsed/>
    <w:rsid w:val="00DA6592"/>
    <w:pPr>
      <w:tabs>
        <w:tab w:val="center" w:pos="4153"/>
        <w:tab w:val="right" w:pos="8306"/>
      </w:tabs>
      <w:snapToGrid w:val="0"/>
      <w:jc w:val="left"/>
    </w:pPr>
    <w:rPr>
      <w:sz w:val="18"/>
      <w:szCs w:val="18"/>
    </w:rPr>
  </w:style>
  <w:style w:type="character" w:customStyle="1" w:styleId="Char0">
    <w:name w:val="页脚 Char"/>
    <w:basedOn w:val="a0"/>
    <w:link w:val="a5"/>
    <w:uiPriority w:val="99"/>
    <w:rsid w:val="00DA659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9186C"/>
    <w:rPr>
      <w:b/>
      <w:bCs/>
    </w:rPr>
  </w:style>
  <w:style w:type="paragraph" w:styleId="a4">
    <w:name w:val="header"/>
    <w:basedOn w:val="a"/>
    <w:link w:val="Char"/>
    <w:uiPriority w:val="99"/>
    <w:unhideWhenUsed/>
    <w:rsid w:val="00DA65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A6592"/>
    <w:rPr>
      <w:sz w:val="18"/>
      <w:szCs w:val="18"/>
    </w:rPr>
  </w:style>
  <w:style w:type="paragraph" w:styleId="a5">
    <w:name w:val="footer"/>
    <w:basedOn w:val="a"/>
    <w:link w:val="Char0"/>
    <w:uiPriority w:val="99"/>
    <w:unhideWhenUsed/>
    <w:rsid w:val="00DA6592"/>
    <w:pPr>
      <w:tabs>
        <w:tab w:val="center" w:pos="4153"/>
        <w:tab w:val="right" w:pos="8306"/>
      </w:tabs>
      <w:snapToGrid w:val="0"/>
      <w:jc w:val="left"/>
    </w:pPr>
    <w:rPr>
      <w:sz w:val="18"/>
      <w:szCs w:val="18"/>
    </w:rPr>
  </w:style>
  <w:style w:type="character" w:customStyle="1" w:styleId="Char0">
    <w:name w:val="页脚 Char"/>
    <w:basedOn w:val="a0"/>
    <w:link w:val="a5"/>
    <w:uiPriority w:val="99"/>
    <w:rsid w:val="00DA65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440209">
      <w:bodyDiv w:val="1"/>
      <w:marLeft w:val="0"/>
      <w:marRight w:val="0"/>
      <w:marTop w:val="0"/>
      <w:marBottom w:val="0"/>
      <w:divBdr>
        <w:top w:val="none" w:sz="0" w:space="0" w:color="auto"/>
        <w:left w:val="none" w:sz="0" w:space="0" w:color="auto"/>
        <w:bottom w:val="none" w:sz="0" w:space="0" w:color="auto"/>
        <w:right w:val="none" w:sz="0" w:space="0" w:color="auto"/>
      </w:divBdr>
      <w:divsChild>
        <w:div w:id="2083016530">
          <w:marLeft w:val="0"/>
          <w:marRight w:val="0"/>
          <w:marTop w:val="0"/>
          <w:marBottom w:val="0"/>
          <w:divBdr>
            <w:top w:val="none" w:sz="0" w:space="0" w:color="auto"/>
            <w:left w:val="none" w:sz="0" w:space="0" w:color="auto"/>
            <w:bottom w:val="none" w:sz="0" w:space="0" w:color="auto"/>
            <w:right w:val="none" w:sz="0" w:space="0" w:color="auto"/>
          </w:divBdr>
          <w:divsChild>
            <w:div w:id="1663122656">
              <w:marLeft w:val="0"/>
              <w:marRight w:val="0"/>
              <w:marTop w:val="0"/>
              <w:marBottom w:val="0"/>
              <w:divBdr>
                <w:top w:val="none" w:sz="0" w:space="0" w:color="auto"/>
                <w:left w:val="none" w:sz="0" w:space="0" w:color="auto"/>
                <w:bottom w:val="none" w:sz="0" w:space="0" w:color="auto"/>
                <w:right w:val="none" w:sz="0" w:space="0" w:color="auto"/>
              </w:divBdr>
              <w:divsChild>
                <w:div w:id="521286982">
                  <w:marLeft w:val="105"/>
                  <w:marRight w:val="105"/>
                  <w:marTop w:val="0"/>
                  <w:marBottom w:val="0"/>
                  <w:divBdr>
                    <w:top w:val="none" w:sz="0" w:space="0" w:color="auto"/>
                    <w:left w:val="none" w:sz="0" w:space="0" w:color="auto"/>
                    <w:bottom w:val="none" w:sz="0" w:space="0" w:color="auto"/>
                    <w:right w:val="none" w:sz="0" w:space="0" w:color="auto"/>
                  </w:divBdr>
                  <w:divsChild>
                    <w:div w:id="1828394830">
                      <w:marLeft w:val="0"/>
                      <w:marRight w:val="0"/>
                      <w:marTop w:val="0"/>
                      <w:marBottom w:val="0"/>
                      <w:divBdr>
                        <w:top w:val="none" w:sz="0" w:space="0" w:color="auto"/>
                        <w:left w:val="none" w:sz="0" w:space="0" w:color="auto"/>
                        <w:bottom w:val="none" w:sz="0" w:space="0" w:color="auto"/>
                        <w:right w:val="none" w:sz="0" w:space="0" w:color="auto"/>
                      </w:divBdr>
                      <w:divsChild>
                        <w:div w:id="604312833">
                          <w:marLeft w:val="0"/>
                          <w:marRight w:val="0"/>
                          <w:marTop w:val="0"/>
                          <w:marBottom w:val="0"/>
                          <w:divBdr>
                            <w:top w:val="none" w:sz="0" w:space="0" w:color="auto"/>
                            <w:left w:val="none" w:sz="0" w:space="0" w:color="auto"/>
                            <w:bottom w:val="single" w:sz="12" w:space="11" w:color="CCCCCC"/>
                            <w:right w:val="none" w:sz="0" w:space="0" w:color="auto"/>
                          </w:divBdr>
                        </w:div>
                        <w:div w:id="1516841231">
                          <w:marLeft w:val="0"/>
                          <w:marRight w:val="0"/>
                          <w:marTop w:val="0"/>
                          <w:marBottom w:val="300"/>
                          <w:divBdr>
                            <w:top w:val="none" w:sz="0" w:space="0" w:color="auto"/>
                            <w:left w:val="none" w:sz="0" w:space="0" w:color="auto"/>
                            <w:bottom w:val="none" w:sz="0" w:space="0" w:color="auto"/>
                            <w:right w:val="none" w:sz="0" w:space="0" w:color="auto"/>
                          </w:divBdr>
                        </w:div>
                        <w:div w:id="114172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0F53B-A776-4710-AB12-A86CEE571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7</Pages>
  <Words>968</Words>
  <Characters>5522</Characters>
  <Application>Microsoft Office Word</Application>
  <DocSecurity>0</DocSecurity>
  <Lines>46</Lines>
  <Paragraphs>12</Paragraphs>
  <ScaleCrop>false</ScaleCrop>
  <Company/>
  <LinksUpToDate>false</LinksUpToDate>
  <CharactersWithSpaces>6478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liyan</cp:lastModifiedBy>
  <cp:revision>6</cp:revision>
  <dcterms:created xsi:type="dcterms:W3CDTF">2016-03-15T08:12:00Z</dcterms:created>
  <dcterms:modified xsi:type="dcterms:W3CDTF">2017-09-09T03:42:00Z</dcterms:modified>
</cp:coreProperties>
</file>