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B6" w:rsidRPr="000701B6" w:rsidRDefault="000701B6" w:rsidP="000701B6">
      <w:pPr>
        <w:widowControl/>
        <w:pBdr>
          <w:bottom w:val="single" w:sz="6" w:space="15" w:color="989898"/>
        </w:pBdr>
        <w:spacing w:before="100" w:beforeAutospacing="1" w:after="100" w:afterAutospacing="1" w:line="420" w:lineRule="atLeast"/>
        <w:jc w:val="center"/>
        <w:outlineLvl w:val="1"/>
        <w:rPr>
          <w:rFonts w:ascii="微软雅黑" w:eastAsia="微软雅黑" w:hAnsi="微软雅黑" w:cs="宋体"/>
          <w:color w:val="3A3A3A"/>
          <w:kern w:val="0"/>
          <w:sz w:val="24"/>
          <w:szCs w:val="24"/>
        </w:rPr>
      </w:pPr>
      <w:r w:rsidRPr="000701B6">
        <w:rPr>
          <w:rFonts w:ascii="微软雅黑" w:eastAsia="微软雅黑" w:hAnsi="微软雅黑" w:cs="宋体" w:hint="eastAsia"/>
          <w:color w:val="3A3A3A"/>
          <w:kern w:val="0"/>
          <w:sz w:val="24"/>
          <w:szCs w:val="24"/>
        </w:rPr>
        <w:t>关于发布《托管银行监督基金运作情况报告的内容与格式指引(试行)》的通知</w:t>
      </w:r>
    </w:p>
    <w:p w:rsidR="000701B6" w:rsidRPr="000701B6" w:rsidRDefault="000701B6" w:rsidP="000701B6">
      <w:pPr>
        <w:widowControl/>
        <w:spacing w:before="225" w:after="100" w:afterAutospacing="1" w:line="420" w:lineRule="atLeast"/>
        <w:jc w:val="center"/>
        <w:rPr>
          <w:rFonts w:ascii="微软雅黑" w:eastAsia="微软雅黑" w:hAnsi="微软雅黑" w:cs="宋体"/>
          <w:color w:val="3A3A3A"/>
          <w:kern w:val="0"/>
          <w:sz w:val="18"/>
          <w:szCs w:val="18"/>
        </w:rPr>
      </w:pPr>
      <w:r w:rsidRPr="000701B6">
        <w:rPr>
          <w:rFonts w:ascii="微软雅黑" w:eastAsia="微软雅黑" w:hAnsi="微软雅黑" w:cs="宋体" w:hint="eastAsia"/>
          <w:color w:val="3A3A3A"/>
          <w:kern w:val="0"/>
          <w:sz w:val="18"/>
          <w:szCs w:val="18"/>
        </w:rPr>
        <w:t>基金部通知[2006]13号</w:t>
      </w:r>
    </w:p>
    <w:p w:rsidR="000701B6" w:rsidRP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各基金托管部：</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为加强基金托管银行监督基金投资运作的职责，提高基金合法合</w:t>
      </w:r>
      <w:proofErr w:type="gramStart"/>
      <w:r w:rsidRPr="000701B6">
        <w:rPr>
          <w:rFonts w:asciiTheme="minorEastAsia" w:hAnsiTheme="minorEastAsia" w:cs="宋体" w:hint="eastAsia"/>
          <w:color w:val="3A3A3A"/>
          <w:kern w:val="0"/>
          <w:szCs w:val="21"/>
        </w:rPr>
        <w:t>规</w:t>
      </w:r>
      <w:proofErr w:type="gramEnd"/>
      <w:r w:rsidRPr="000701B6">
        <w:rPr>
          <w:rFonts w:asciiTheme="minorEastAsia" w:hAnsiTheme="minorEastAsia" w:cs="宋体" w:hint="eastAsia"/>
          <w:color w:val="3A3A3A"/>
          <w:kern w:val="0"/>
          <w:szCs w:val="21"/>
        </w:rPr>
        <w:t>运作水平，根据有关法律法规的规定，现发布《托管银行监督基金运作情况报告的内容与格式指引（试行）》（以下简称《指引》），现将有关问题通知如下：</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一、基金托管部应高度重视基金投资运作监督工作，严格按照《指引》的要求，认真做好监督工作，出具托管银行监督基金运作情况报告（以下简称监督报告）。</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二、基金托管部应确保监督报告真实、准确、完整地反映基金投资运作情况。监督报告应有充分的事实依据。</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三、鼓励基金托管部根据实际情况，增加报告内容。对法律法规、基金合同调整或新增基金投资运作方面规定的，各基金托管部应在相关报告事项中调整或增加报告内容。</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四、基金托管部应当加强监督意识，强化监控手段，增加对基金证券投资交易监督的人员和技术系统配备。当所托管基金出现异常交易行为时，各基金托管部应当针对不同情况采取电话提示、书面警示、书面报告我部等处理方式。</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五、</w:t>
      </w:r>
      <w:r w:rsidRPr="000701B6">
        <w:rPr>
          <w:rFonts w:asciiTheme="minorEastAsia" w:hAnsiTheme="minorEastAsia" w:cs="宋体" w:hint="eastAsia"/>
          <w:b/>
          <w:color w:val="FF0000"/>
          <w:kern w:val="0"/>
          <w:szCs w:val="21"/>
        </w:rPr>
        <w:t>基金托管部应分别于每季终了后10个工作日内、每年终了后30个工作日内向我部报送监督报告</w:t>
      </w:r>
      <w:r w:rsidRPr="000701B6">
        <w:rPr>
          <w:rFonts w:asciiTheme="minorEastAsia" w:hAnsiTheme="minorEastAsia" w:cs="宋体" w:hint="eastAsia"/>
          <w:color w:val="3A3A3A"/>
          <w:kern w:val="0"/>
          <w:szCs w:val="21"/>
        </w:rPr>
        <w:t>（2006年第一季度监督报告可于季度终了后15个工作日内报送），报告应当采用电子文本和书面报告两种形式。电子文本请通过基金文档传输系统“收文发文”目录下的“托管银行监督基金运作情况报告”报送。</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六、基金托管部出具的监督报告，将作为我部、派出机构以及证券交易所检查基金定期报告披露情况的重要依据。</w:t>
      </w:r>
    </w:p>
    <w:p w:rsid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七、基金托管部相关业务人员在基金工作中应当谨慎勤勉、恪尽职守。对监督业务人员及相关责任人严重失职、发现问题隐匿不报的，我部将按相关法律法规采取相应措施。</w:t>
      </w:r>
    </w:p>
    <w:p w:rsidR="000701B6" w:rsidRPr="000701B6" w:rsidRDefault="000701B6" w:rsidP="000701B6">
      <w:pPr>
        <w:widowControl/>
        <w:spacing w:line="360" w:lineRule="auto"/>
        <w:ind w:firstLineChars="200" w:firstLine="420"/>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八、本通知自发布之日起实施，各基金托管部不需再按《关于报送定期报告和不定期报告及备案材料的通知》向我部报送托管银行监督基金运作</w:t>
      </w:r>
      <w:proofErr w:type="gramStart"/>
      <w:r w:rsidRPr="000701B6">
        <w:rPr>
          <w:rFonts w:asciiTheme="minorEastAsia" w:hAnsiTheme="minorEastAsia" w:cs="宋体" w:hint="eastAsia"/>
          <w:color w:val="3A3A3A"/>
          <w:kern w:val="0"/>
          <w:szCs w:val="21"/>
        </w:rPr>
        <w:t>情况双</w:t>
      </w:r>
      <w:proofErr w:type="gramEnd"/>
      <w:r w:rsidRPr="000701B6">
        <w:rPr>
          <w:rFonts w:asciiTheme="minorEastAsia" w:hAnsiTheme="minorEastAsia" w:cs="宋体" w:hint="eastAsia"/>
          <w:color w:val="3A3A3A"/>
          <w:kern w:val="0"/>
          <w:szCs w:val="21"/>
        </w:rPr>
        <w:t>月报。</w:t>
      </w:r>
    </w:p>
    <w:p w:rsidR="000701B6" w:rsidRDefault="000701B6" w:rsidP="000701B6">
      <w:pPr>
        <w:widowControl/>
        <w:spacing w:line="360" w:lineRule="auto"/>
        <w:jc w:val="righ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中国证监会 基金监管部</w:t>
      </w:r>
    </w:p>
    <w:p w:rsidR="000701B6" w:rsidRPr="000701B6" w:rsidRDefault="000701B6" w:rsidP="000701B6">
      <w:pPr>
        <w:widowControl/>
        <w:spacing w:line="360" w:lineRule="auto"/>
        <w:jc w:val="righ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二○○六年四月三日</w:t>
      </w:r>
    </w:p>
    <w:p w:rsid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lastRenderedPageBreak/>
        <w:t>托管银行监督基金运作情况报告的内容与格式指引</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一、报告的纸张和封面</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（一）纸张</w:t>
      </w:r>
      <w:r>
        <w:rPr>
          <w:rFonts w:asciiTheme="minorEastAsia" w:hAnsiTheme="minorEastAsia" w:cs="宋体" w:hint="eastAsia"/>
          <w:color w:val="3A3A3A"/>
          <w:kern w:val="0"/>
          <w:szCs w:val="21"/>
        </w:rPr>
        <w:t>：</w:t>
      </w:r>
      <w:r w:rsidRPr="000701B6">
        <w:rPr>
          <w:rFonts w:asciiTheme="minorEastAsia" w:hAnsiTheme="minorEastAsia" w:cs="宋体" w:hint="eastAsia"/>
          <w:color w:val="3A3A3A"/>
          <w:kern w:val="0"/>
          <w:szCs w:val="21"/>
        </w:rPr>
        <w:t>应采用幅面为209×295毫米规格的纸张(相当于A4纸张规格)。</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（二）封面</w:t>
      </w:r>
      <w:r>
        <w:rPr>
          <w:rFonts w:asciiTheme="minorEastAsia" w:hAnsiTheme="minorEastAsia" w:cs="宋体" w:hint="eastAsia"/>
          <w:color w:val="3A3A3A"/>
          <w:kern w:val="0"/>
          <w:szCs w:val="21"/>
        </w:rPr>
        <w:t>：</w:t>
      </w:r>
      <w:r w:rsidRPr="000701B6">
        <w:rPr>
          <w:rFonts w:asciiTheme="minorEastAsia" w:hAnsiTheme="minorEastAsia" w:cs="宋体" w:hint="eastAsia"/>
          <w:color w:val="3A3A3A"/>
          <w:kern w:val="0"/>
          <w:szCs w:val="21"/>
        </w:rPr>
        <w:t>封面应标有“××银行××××年第×季度（××××年度）监督基金运作情况报告”字样，封面下端应应标明报送日期、联系人姓名及联系方式。</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二、报告首页的声明</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由托管银行的基金托管部门负责人签字的以下声明：“××银行基金托管部门的总经理（或主持工作的副总）于××××年××月××日阅读本报告，并知晓本报告内容。”</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三、报告正文的内容与格式</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报告正文列示报告期内托管的所有基金投资运作遵规守信的整体情况、本托管银行在监督过程中采取的措施、基金管理公司的反馈情况等内容，报告事项包括但不限于以下方面。</w:t>
      </w:r>
    </w:p>
    <w:p w:rsid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（一）基金运作状况</w:t>
      </w:r>
    </w:p>
    <w:p w:rsidR="000701B6" w:rsidRPr="000701B6" w:rsidRDefault="000701B6" w:rsidP="000701B6">
      <w:pPr>
        <w:widowControl/>
        <w:spacing w:line="360" w:lineRule="auto"/>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按以下内容和格式列示本银行托管的所有基金在本报告期内投资运作的总体状况。</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581"/>
        <w:gridCol w:w="691"/>
        <w:gridCol w:w="1438"/>
        <w:gridCol w:w="1133"/>
        <w:gridCol w:w="4778"/>
      </w:tblGrid>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83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657"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运作状况</w:t>
            </w:r>
            <w:r w:rsidRPr="000701B6">
              <w:rPr>
                <w:rFonts w:asciiTheme="minorEastAsia" w:hAnsiTheme="minorEastAsia" w:cs="宋体" w:hint="eastAsia"/>
                <w:color w:val="3A3A3A"/>
                <w:kern w:val="0"/>
                <w:szCs w:val="21"/>
              </w:rPr>
              <w:br/>
              <w:t>（正常/关注）</w:t>
            </w:r>
          </w:p>
        </w:tc>
        <w:tc>
          <w:tcPr>
            <w:tcW w:w="2771"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关注（若有）的主要原因（存在法律禁止的投资行为/违反投资范围限制/违反投资运作比例限制/违反交易对手范围限制/货币市场基金的组合平均剩余期限不合</w:t>
            </w:r>
            <w:proofErr w:type="gramStart"/>
            <w:r w:rsidRPr="000701B6">
              <w:rPr>
                <w:rFonts w:asciiTheme="minorEastAsia" w:hAnsiTheme="minorEastAsia" w:cs="宋体" w:hint="eastAsia"/>
                <w:color w:val="3A3A3A"/>
                <w:kern w:val="0"/>
                <w:szCs w:val="21"/>
              </w:rPr>
              <w:t>规</w:t>
            </w:r>
            <w:proofErr w:type="gramEnd"/>
            <w:r w:rsidRPr="000701B6">
              <w:rPr>
                <w:rFonts w:asciiTheme="minorEastAsia" w:hAnsiTheme="minorEastAsia" w:cs="宋体" w:hint="eastAsia"/>
                <w:color w:val="3A3A3A"/>
                <w:kern w:val="0"/>
                <w:szCs w:val="21"/>
              </w:rPr>
              <w:t>/出现异常交易/存在需提请关注的事项等）</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3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657"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2771"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3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657"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2771"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（二）禁止投资行为</w:t>
      </w:r>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说明报告期内托管的所有基金财产是否用于《证券投资基金法》第59条所禁止的投资或活动。对违反法律规定而运用基金财产的情况，应按以下内容和格式列示。</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560"/>
        <w:gridCol w:w="631"/>
        <w:gridCol w:w="1236"/>
        <w:gridCol w:w="4686"/>
        <w:gridCol w:w="631"/>
        <w:gridCol w:w="877"/>
      </w:tblGrid>
      <w:tr w:rsidR="000701B6" w:rsidRPr="000701B6" w:rsidTr="000701B6">
        <w:trPr>
          <w:tblCellSpacing w:w="0" w:type="dxa"/>
          <w:jc w:val="center"/>
        </w:trPr>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717" w:type="pct"/>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2718"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基金财产用于法律禁止的投资或活动</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w:t>
            </w:r>
            <w:r w:rsidRPr="000701B6">
              <w:rPr>
                <w:rFonts w:asciiTheme="minorEastAsia" w:hAnsiTheme="minorEastAsia" w:cs="宋体" w:hint="eastAsia"/>
                <w:color w:val="3A3A3A"/>
                <w:kern w:val="0"/>
                <w:szCs w:val="21"/>
              </w:rPr>
              <w:br/>
              <w:t>采</w:t>
            </w:r>
            <w:r w:rsidRPr="000701B6">
              <w:rPr>
                <w:rFonts w:asciiTheme="minorEastAsia" w:hAnsiTheme="minorEastAsia" w:cs="宋体" w:hint="eastAsia"/>
                <w:color w:val="3A3A3A"/>
                <w:kern w:val="0"/>
                <w:szCs w:val="21"/>
              </w:rPr>
              <w:lastRenderedPageBreak/>
              <w:t>取措施</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lastRenderedPageBreak/>
              <w:t>基金公司反馈及更正情</w:t>
            </w:r>
            <w:r w:rsidRPr="000701B6">
              <w:rPr>
                <w:rFonts w:asciiTheme="minorEastAsia" w:hAnsiTheme="minorEastAsia" w:cs="宋体" w:hint="eastAsia"/>
                <w:color w:val="3A3A3A"/>
                <w:kern w:val="0"/>
                <w:szCs w:val="21"/>
              </w:rPr>
              <w:lastRenderedPageBreak/>
              <w:t>况</w:t>
            </w:r>
          </w:p>
        </w:tc>
      </w:tr>
      <w:tr w:rsidR="000701B6" w:rsidRPr="000701B6" w:rsidTr="000701B6">
        <w:trPr>
          <w:tblCellSpacing w:w="0" w:type="dxa"/>
          <w:jc w:val="center"/>
        </w:trPr>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717" w:type="pct"/>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2718"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（承销证券/向他人贷款或者提供担保/从事承担无限责任的投资/违规买卖其他基金份额/向其管理人、托管人出资或者买卖其管理人、托管</w:t>
            </w:r>
            <w:r w:rsidRPr="000701B6">
              <w:rPr>
                <w:rFonts w:asciiTheme="minorEastAsia" w:hAnsiTheme="minorEastAsia" w:cs="宋体" w:hint="eastAsia"/>
                <w:color w:val="3A3A3A"/>
                <w:kern w:val="0"/>
                <w:szCs w:val="21"/>
              </w:rPr>
              <w:lastRenderedPageBreak/>
              <w:t>人发行的股票或者债券/买卖与其管理人、托管人有控股关系的股东或者与其管理人、托管人有其他重大利害关系的公司发行的证券或者承销期内承销的证券等）</w:t>
            </w: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lastRenderedPageBreak/>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17"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718"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17"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718"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（三）投资范围</w:t>
      </w:r>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说明报告期内托管的所有基金的投资范围是否遵规守约，是否存在法律法规、基金合同禁止的投资品种，投资品种的期限和信用级别是否符合法律法规、基金合同的约定，实际投资是否符合基金合同已明确约定的投资风格（如主要投资于大盘股票、基础行业股票、可转债或跟踪指数等）或证券选择标准。对投资范围、投资品种、投资风格不符合法律法规、基金合同约定的基金，应按以下内容和格式列示。</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589"/>
        <w:gridCol w:w="716"/>
        <w:gridCol w:w="1405"/>
        <w:gridCol w:w="4354"/>
        <w:gridCol w:w="715"/>
        <w:gridCol w:w="842"/>
      </w:tblGrid>
      <w:tr w:rsidR="000701B6" w:rsidRPr="000701B6" w:rsidTr="000701B6">
        <w:trPr>
          <w:tblCellSpacing w:w="0" w:type="dxa"/>
          <w:jc w:val="center"/>
        </w:trPr>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815" w:type="pct"/>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252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投资范围不遵规守约的具体情况</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w:t>
            </w:r>
            <w:r w:rsidRPr="000701B6">
              <w:rPr>
                <w:rFonts w:asciiTheme="minorEastAsia" w:hAnsiTheme="minorEastAsia" w:cs="宋体" w:hint="eastAsia"/>
                <w:color w:val="3A3A3A"/>
                <w:kern w:val="0"/>
                <w:szCs w:val="21"/>
              </w:rPr>
              <w:br/>
              <w:t>采取措施</w:t>
            </w:r>
          </w:p>
        </w:tc>
        <w:tc>
          <w:tcPr>
            <w:tcW w:w="0" w:type="auto"/>
            <w:vMerge w:val="restar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基金公司反馈</w:t>
            </w:r>
            <w:r w:rsidRPr="000701B6">
              <w:rPr>
                <w:rFonts w:asciiTheme="minorEastAsia" w:hAnsiTheme="minorEastAsia" w:cs="宋体" w:hint="eastAsia"/>
                <w:color w:val="3A3A3A"/>
                <w:kern w:val="0"/>
                <w:szCs w:val="21"/>
              </w:rPr>
              <w:br/>
              <w:t>及更正情况</w:t>
            </w:r>
          </w:p>
        </w:tc>
      </w:tr>
      <w:tr w:rsidR="000701B6" w:rsidRPr="000701B6" w:rsidTr="000701B6">
        <w:trPr>
          <w:tblCellSpacing w:w="0" w:type="dxa"/>
          <w:jc w:val="center"/>
        </w:trPr>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815" w:type="pct"/>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252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（存在法律法规、基金合同禁止的投资品种/投资品种的期限和信用级别不符合法律法规、基金合同的约定/实际投资不符合基金合同已明确约定的投资风格等）</w:t>
            </w: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c>
          <w:tcPr>
            <w:tcW w:w="0" w:type="auto"/>
            <w:vMerge/>
            <w:tcBorders>
              <w:bottom w:val="single" w:sz="6" w:space="0" w:color="C9C9C9"/>
              <w:right w:val="single" w:sz="6" w:space="0" w:color="C9C9C9"/>
            </w:tcBorders>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1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52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1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52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br/>
        <w:t xml:space="preserve">　　 （四）投资运作比例</w:t>
      </w:r>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说明报告期内托管的所有基金的投资运作比例是否遵规守约。对投资运作比例不符合法律法规规定和基金合同约定的基金（因证券市场波动、基金规模变动等基金公司之外的因素致使</w:t>
      </w:r>
      <w:r w:rsidRPr="000701B6">
        <w:rPr>
          <w:rFonts w:asciiTheme="minorEastAsia" w:hAnsiTheme="minorEastAsia" w:cs="宋体" w:hint="eastAsia"/>
          <w:color w:val="3A3A3A"/>
          <w:kern w:val="0"/>
          <w:szCs w:val="21"/>
        </w:rPr>
        <w:lastRenderedPageBreak/>
        <w:t>基金投资比例不符合规定，</w:t>
      </w:r>
      <w:proofErr w:type="gramStart"/>
      <w:r w:rsidRPr="000701B6">
        <w:rPr>
          <w:rFonts w:asciiTheme="minorEastAsia" w:hAnsiTheme="minorEastAsia" w:cs="宋体" w:hint="eastAsia"/>
          <w:color w:val="3A3A3A"/>
          <w:kern w:val="0"/>
          <w:szCs w:val="21"/>
        </w:rPr>
        <w:t>且基金</w:t>
      </w:r>
      <w:proofErr w:type="gramEnd"/>
      <w:r w:rsidRPr="000701B6">
        <w:rPr>
          <w:rFonts w:asciiTheme="minorEastAsia" w:hAnsiTheme="minorEastAsia" w:cs="宋体" w:hint="eastAsia"/>
          <w:color w:val="3A3A3A"/>
          <w:kern w:val="0"/>
          <w:szCs w:val="21"/>
        </w:rPr>
        <w:t>在相关法规规定的交易日内调整的，不属于此种情况），应按以下内容和格式列示。</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632"/>
        <w:gridCol w:w="847"/>
        <w:gridCol w:w="1231"/>
        <w:gridCol w:w="3035"/>
        <w:gridCol w:w="1277"/>
        <w:gridCol w:w="1599"/>
      </w:tblGrid>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71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176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投资运作比例不符合法律法规规定、基金合同约定的具体情况</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托管银行采取措施</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基金公司反馈及更正情况</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1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176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14"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176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br/>
        <w:t>托管银行监督的基金投资运作比例包括但不限于以下方面：</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1.单只基金的资产配置比例（在建仓期内，基金投资股票或债券的比例可以低于基金合同规定的比例下限，但不能超过基金合同规定的比例上限）；</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2.单只基金持有的现金或到期日在1年内的</w:t>
      </w:r>
      <w:proofErr w:type="gramStart"/>
      <w:r w:rsidRPr="000701B6">
        <w:rPr>
          <w:rFonts w:asciiTheme="minorEastAsia" w:hAnsiTheme="minorEastAsia" w:cs="宋体" w:hint="eastAsia"/>
          <w:color w:val="3A3A3A"/>
          <w:kern w:val="0"/>
          <w:szCs w:val="21"/>
        </w:rPr>
        <w:t>政府债占基金</w:t>
      </w:r>
      <w:proofErr w:type="gramEnd"/>
      <w:r w:rsidRPr="000701B6">
        <w:rPr>
          <w:rFonts w:asciiTheme="minorEastAsia" w:hAnsiTheme="minorEastAsia" w:cs="宋体" w:hint="eastAsia"/>
          <w:color w:val="3A3A3A"/>
          <w:kern w:val="0"/>
          <w:szCs w:val="21"/>
        </w:rPr>
        <w:t>资产净值的比例；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3.名称显示投资方向的基金，其持有的属投资方向的非现金资产的比例；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4.单只基金持有1家上市公司股票的市值占基金资产净值的比例（完全按照有关指数的构成比例进行投资的基金除外）；</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5.本行托管的同一基金公司管理的基金持有1家公司发行的证券占该证券的比例（包括持有同一权证占该权证的比例）（完全按照有关指数的构成比例进行投资的基金除外）；</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6.参与股票发行申购的单只基金所申报的金额占基金总资产的比例，单只基金所申报的股票数量占拟发行股票公司本次发行股票总量的比例；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7.单只基金在银行间市场进行债券回购的资金余额占基金资产净值的比例；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8.单只基金在任何交易日买入权证的总金额占上一交易日基金资产净值的比例，单只基金持有的全部权证市值占基金资产净值的比例；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9.单只基金通过一家券商席位的股票年交易量占基金的股票年交易总量的比例（纯债券基金、基金合同中约定股票投资比例在基金资产总值20％以内的债券基金除外）（适用于监督基金运作情况年度报告）；</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10.货币市场基金存放在具有基金托管资格的同一商业银行的存款占基金资产净值的比例，货币市场基金存放在不具有基金托管资格的同一商业银行的存款占基金资产净值的比例，货币市场基金投资同一公司发行的短期融资</w:t>
      </w:r>
      <w:proofErr w:type="gramStart"/>
      <w:r w:rsidRPr="000701B6">
        <w:rPr>
          <w:rFonts w:asciiTheme="minorEastAsia" w:hAnsiTheme="minorEastAsia" w:cs="宋体" w:hint="eastAsia"/>
          <w:color w:val="3A3A3A"/>
          <w:kern w:val="0"/>
          <w:szCs w:val="21"/>
        </w:rPr>
        <w:t>券</w:t>
      </w:r>
      <w:proofErr w:type="gramEnd"/>
      <w:r w:rsidRPr="000701B6">
        <w:rPr>
          <w:rFonts w:asciiTheme="minorEastAsia" w:hAnsiTheme="minorEastAsia" w:cs="宋体" w:hint="eastAsia"/>
          <w:color w:val="3A3A3A"/>
          <w:kern w:val="0"/>
          <w:szCs w:val="21"/>
        </w:rPr>
        <w:t>及短期</w:t>
      </w:r>
      <w:proofErr w:type="gramStart"/>
      <w:r w:rsidRPr="000701B6">
        <w:rPr>
          <w:rFonts w:asciiTheme="minorEastAsia" w:hAnsiTheme="minorEastAsia" w:cs="宋体" w:hint="eastAsia"/>
          <w:color w:val="3A3A3A"/>
          <w:kern w:val="0"/>
          <w:szCs w:val="21"/>
        </w:rPr>
        <w:t>企业债占基金</w:t>
      </w:r>
      <w:proofErr w:type="gramEnd"/>
      <w:r w:rsidRPr="000701B6">
        <w:rPr>
          <w:rFonts w:asciiTheme="minorEastAsia" w:hAnsiTheme="minorEastAsia" w:cs="宋体" w:hint="eastAsia"/>
          <w:color w:val="3A3A3A"/>
          <w:kern w:val="0"/>
          <w:szCs w:val="21"/>
        </w:rPr>
        <w:t>资产净值的比例，货币市场</w:t>
      </w:r>
      <w:r w:rsidRPr="000701B6">
        <w:rPr>
          <w:rFonts w:asciiTheme="minorEastAsia" w:hAnsiTheme="minorEastAsia" w:cs="宋体" w:hint="eastAsia"/>
          <w:color w:val="3A3A3A"/>
          <w:kern w:val="0"/>
          <w:szCs w:val="21"/>
        </w:rPr>
        <w:lastRenderedPageBreak/>
        <w:t>基金投资的定期存款占基金资产净值的比例，货币市场基金持有的剩余期限不超过397天但剩余存续期超过397天的浮动利率债券的摊</w:t>
      </w:r>
      <w:proofErr w:type="gramStart"/>
      <w:r w:rsidRPr="000701B6">
        <w:rPr>
          <w:rFonts w:asciiTheme="minorEastAsia" w:hAnsiTheme="minorEastAsia" w:cs="宋体" w:hint="eastAsia"/>
          <w:color w:val="3A3A3A"/>
          <w:kern w:val="0"/>
          <w:szCs w:val="21"/>
        </w:rPr>
        <w:t>余成本</w:t>
      </w:r>
      <w:proofErr w:type="gramEnd"/>
      <w:r w:rsidRPr="000701B6">
        <w:rPr>
          <w:rFonts w:asciiTheme="minorEastAsia" w:hAnsiTheme="minorEastAsia" w:cs="宋体" w:hint="eastAsia"/>
          <w:color w:val="3A3A3A"/>
          <w:kern w:val="0"/>
          <w:szCs w:val="21"/>
        </w:rPr>
        <w:t>占当日基金资产净值的比例，货币市场基金债券正回购的资金余额占基金资产净值的比例；</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11.中短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持有的剩余期限在397天以内的债券、现金、剩余期限在14天以内的回购余额占基金资产净值的比例，中短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持有的除国债、政策性金融债以外的其他债券的规模占该债券发行总量的比例，中短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持有同一公司发行的债券、短期融资</w:t>
      </w:r>
      <w:proofErr w:type="gramStart"/>
      <w:r w:rsidRPr="000701B6">
        <w:rPr>
          <w:rFonts w:asciiTheme="minorEastAsia" w:hAnsiTheme="minorEastAsia" w:cs="宋体" w:hint="eastAsia"/>
          <w:color w:val="3A3A3A"/>
          <w:kern w:val="0"/>
          <w:szCs w:val="21"/>
        </w:rPr>
        <w:t>券</w:t>
      </w:r>
      <w:proofErr w:type="gramEnd"/>
      <w:r w:rsidRPr="000701B6">
        <w:rPr>
          <w:rFonts w:asciiTheme="minorEastAsia" w:hAnsiTheme="minorEastAsia" w:cs="宋体" w:hint="eastAsia"/>
          <w:color w:val="3A3A3A"/>
          <w:kern w:val="0"/>
          <w:szCs w:val="21"/>
        </w:rPr>
        <w:t>等合计占基金资产净值的比例（本条适用于基金合同中已约定以上投资比例的中短债基金）。</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（五）交易对手信用风险</w:t>
      </w:r>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说明报告期内托管的所有基金在控制交易对手信用风险方面是否符合法律法规规定、基金合同约定，是否按照托管协议约定的方式进行控制。对交易对手信用风险的控制不遵规守约的，应按以下内容和格式列示。</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589"/>
        <w:gridCol w:w="716"/>
        <w:gridCol w:w="1405"/>
        <w:gridCol w:w="3543"/>
        <w:gridCol w:w="1207"/>
        <w:gridCol w:w="1161"/>
      </w:tblGrid>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81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205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交易对手信用风险的控制不遵规守约的具体情况（交易对手的选择不符合相关约定/与交易对手的交易量不符合相关约定/未采用约定的交易方式等）</w:t>
            </w:r>
          </w:p>
        </w:tc>
        <w:tc>
          <w:tcPr>
            <w:tcW w:w="70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w:t>
            </w:r>
            <w:r w:rsidRPr="000701B6">
              <w:rPr>
                <w:rFonts w:asciiTheme="minorEastAsia" w:hAnsiTheme="minorEastAsia" w:cs="宋体" w:hint="eastAsia"/>
                <w:color w:val="3A3A3A"/>
                <w:kern w:val="0"/>
                <w:szCs w:val="21"/>
              </w:rPr>
              <w:br/>
              <w:t>采取措施</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基金公司反馈及更正情况</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1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05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0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81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2055"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700" w:type="pct"/>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（六）货币市场基金和中短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运作的特有事项</w:t>
      </w:r>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说明报告期内托管的所有货币市场基金的投资组合平均剩余期限、中短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的</w:t>
      </w:r>
      <w:proofErr w:type="gramStart"/>
      <w:r w:rsidRPr="000701B6">
        <w:rPr>
          <w:rFonts w:asciiTheme="minorEastAsia" w:hAnsiTheme="minorEastAsia" w:cs="宋体" w:hint="eastAsia"/>
          <w:color w:val="3A3A3A"/>
          <w:kern w:val="0"/>
          <w:szCs w:val="21"/>
        </w:rPr>
        <w:t>组合久期是否</w:t>
      </w:r>
      <w:proofErr w:type="gramEnd"/>
      <w:r w:rsidRPr="000701B6">
        <w:rPr>
          <w:rFonts w:asciiTheme="minorEastAsia" w:hAnsiTheme="minorEastAsia" w:cs="宋体" w:hint="eastAsia"/>
          <w:color w:val="3A3A3A"/>
          <w:kern w:val="0"/>
          <w:szCs w:val="21"/>
        </w:rPr>
        <w:t>符合法律法规规定、基金合同约定，货币市场基金和中短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 xml:space="preserve">的偏离度绝对值是否曾在0.5％以上，是否按规定进行披露和调整。对存在以上情况的货币市场基金和中短债基金，应按以下内容和格式列示。 </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750"/>
        <w:gridCol w:w="750"/>
        <w:gridCol w:w="1155"/>
        <w:gridCol w:w="3716"/>
        <w:gridCol w:w="1125"/>
        <w:gridCol w:w="1125"/>
      </w:tblGrid>
      <w:tr w:rsidR="000701B6" w:rsidRPr="000701B6" w:rsidTr="000701B6">
        <w:trPr>
          <w:tblCellSpacing w:w="0" w:type="dxa"/>
          <w:jc w:val="center"/>
        </w:trPr>
        <w:tc>
          <w:tcPr>
            <w:tcW w:w="750"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750"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1155"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货币市场基金和中短</w:t>
            </w:r>
            <w:proofErr w:type="gramStart"/>
            <w:r w:rsidRPr="000701B6">
              <w:rPr>
                <w:rFonts w:asciiTheme="minorEastAsia" w:hAnsiTheme="minorEastAsia" w:cs="宋体" w:hint="eastAsia"/>
                <w:color w:val="3A3A3A"/>
                <w:kern w:val="0"/>
                <w:szCs w:val="21"/>
              </w:rPr>
              <w:t>债基金</w:t>
            </w:r>
            <w:proofErr w:type="gramEnd"/>
            <w:r w:rsidRPr="000701B6">
              <w:rPr>
                <w:rFonts w:asciiTheme="minorEastAsia" w:hAnsiTheme="minorEastAsia" w:cs="宋体" w:hint="eastAsia"/>
                <w:color w:val="3A3A3A"/>
                <w:kern w:val="0"/>
                <w:szCs w:val="21"/>
              </w:rPr>
              <w:t>运作需关注的特有事项（组合平均剩余期限或组合</w:t>
            </w:r>
            <w:proofErr w:type="gramStart"/>
            <w:r w:rsidRPr="000701B6">
              <w:rPr>
                <w:rFonts w:asciiTheme="minorEastAsia" w:hAnsiTheme="minorEastAsia" w:cs="宋体" w:hint="eastAsia"/>
                <w:color w:val="3A3A3A"/>
                <w:kern w:val="0"/>
                <w:szCs w:val="21"/>
              </w:rPr>
              <w:t>久期不合规</w:t>
            </w:r>
            <w:proofErr w:type="gramEnd"/>
            <w:r w:rsidRPr="000701B6">
              <w:rPr>
                <w:rFonts w:asciiTheme="minorEastAsia" w:hAnsiTheme="minorEastAsia" w:cs="宋体" w:hint="eastAsia"/>
                <w:color w:val="3A3A3A"/>
                <w:kern w:val="0"/>
                <w:szCs w:val="21"/>
              </w:rPr>
              <w:t>/偏离度绝对值×年×月×日在0.5％以上）</w:t>
            </w:r>
          </w:p>
        </w:tc>
        <w:tc>
          <w:tcPr>
            <w:tcW w:w="1125"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托管银行采取措施</w:t>
            </w:r>
          </w:p>
        </w:tc>
        <w:tc>
          <w:tcPr>
            <w:tcW w:w="1125"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基金公司反馈及采取措施</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lastRenderedPageBreak/>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（七）异常或需提请关注的交易或事项说明报告期内托管的所有基金是否存在其他异常或需提请关注的交易或事项。如存在，应按以下内容和格式列示。 </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751"/>
        <w:gridCol w:w="750"/>
        <w:gridCol w:w="1155"/>
        <w:gridCol w:w="2720"/>
        <w:gridCol w:w="1429"/>
        <w:gridCol w:w="1816"/>
      </w:tblGrid>
      <w:tr w:rsidR="000701B6" w:rsidRPr="000701B6" w:rsidTr="000701B6">
        <w:trPr>
          <w:tblCellSpacing w:w="0" w:type="dxa"/>
          <w:jc w:val="center"/>
        </w:trPr>
        <w:tc>
          <w:tcPr>
            <w:tcW w:w="751"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750"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1155"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其他异常或需提请关注的具体交易或事项</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托管银行采取措施</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基金公司反馈或更正情况</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异常或需提请关注的交易或事项包括但不限于以下方面：</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1.单只开放式基金发生巨额赎回；</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2.基金份额净值计价错误</w:t>
      </w:r>
      <w:proofErr w:type="gramStart"/>
      <w:r w:rsidRPr="000701B6">
        <w:rPr>
          <w:rFonts w:asciiTheme="minorEastAsia" w:hAnsiTheme="minorEastAsia" w:cs="宋体" w:hint="eastAsia"/>
          <w:color w:val="3A3A3A"/>
          <w:kern w:val="0"/>
          <w:szCs w:val="21"/>
        </w:rPr>
        <w:t>达基金</w:t>
      </w:r>
      <w:proofErr w:type="gramEnd"/>
      <w:r w:rsidRPr="000701B6">
        <w:rPr>
          <w:rFonts w:asciiTheme="minorEastAsia" w:hAnsiTheme="minorEastAsia" w:cs="宋体" w:hint="eastAsia"/>
          <w:color w:val="3A3A3A"/>
          <w:kern w:val="0"/>
          <w:szCs w:val="21"/>
        </w:rPr>
        <w:t>份额净值的0.5％；</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3.报告期内货币市场基金偏离度在0.25-0.5％的次数；</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4.“回购交易异常”，包括回购交易量异常和回购利率异常。</w:t>
      </w:r>
      <w:r w:rsidRPr="008C18F5">
        <w:rPr>
          <w:rFonts w:asciiTheme="minorEastAsia" w:hAnsiTheme="minorEastAsia" w:cs="宋体" w:hint="eastAsia"/>
          <w:b/>
          <w:color w:val="FF0000"/>
          <w:kern w:val="0"/>
          <w:szCs w:val="21"/>
        </w:rPr>
        <w:t>回购交易量异常指与同一交易对手的所有未到期回购交易金额累计超过基金资产净值的10％，或交易对手资信较差；</w:t>
      </w:r>
      <w:r w:rsidRPr="000701B6">
        <w:rPr>
          <w:rFonts w:asciiTheme="minorEastAsia" w:hAnsiTheme="minorEastAsia" w:cs="宋体" w:hint="eastAsia"/>
          <w:color w:val="3A3A3A"/>
          <w:kern w:val="0"/>
          <w:szCs w:val="21"/>
        </w:rPr>
        <w:t>回购利率异常指</w:t>
      </w:r>
      <w:r w:rsidRPr="008C18F5">
        <w:rPr>
          <w:rFonts w:asciiTheme="minorEastAsia" w:hAnsiTheme="minorEastAsia" w:cs="宋体" w:hint="eastAsia"/>
          <w:color w:val="FF0000"/>
          <w:kern w:val="0"/>
          <w:szCs w:val="21"/>
        </w:rPr>
        <w:t>回购利率偏离同期“影子定价”收益率30bp以上（1年期或以下品种）</w:t>
      </w:r>
      <w:r w:rsidRPr="000701B6">
        <w:rPr>
          <w:rFonts w:asciiTheme="minorEastAsia" w:hAnsiTheme="minorEastAsia" w:cs="宋体" w:hint="eastAsia"/>
          <w:color w:val="3A3A3A"/>
          <w:kern w:val="0"/>
          <w:szCs w:val="21"/>
        </w:rPr>
        <w:t>；</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5.现券交易中的“交易价格严重脱离市场价格”，</w:t>
      </w:r>
      <w:r w:rsidRPr="008C18F5">
        <w:rPr>
          <w:rFonts w:asciiTheme="minorEastAsia" w:hAnsiTheme="minorEastAsia" w:cs="宋体" w:hint="eastAsia"/>
          <w:b/>
          <w:color w:val="FF0000"/>
          <w:kern w:val="0"/>
          <w:szCs w:val="21"/>
        </w:rPr>
        <w:t>指根据交易价格推算出的收益率偏离同期“影子定价”收益率30bp以上（剩余期限为397天或以下债券，期限为1年或以下央票）或50bp以上（剩余期限为397天以上债券，期限为1年以上央票）</w:t>
      </w:r>
      <w:r w:rsidRPr="000701B6">
        <w:rPr>
          <w:rFonts w:asciiTheme="minorEastAsia" w:hAnsiTheme="minorEastAsia" w:cs="宋体" w:hint="eastAsia"/>
          <w:color w:val="3A3A3A"/>
          <w:kern w:val="0"/>
          <w:szCs w:val="21"/>
        </w:rPr>
        <w:t>；</w:t>
      </w:r>
    </w:p>
    <w:p w:rsidR="000701B6" w:rsidRPr="008C18F5" w:rsidRDefault="000701B6" w:rsidP="000701B6">
      <w:pPr>
        <w:widowControl/>
        <w:spacing w:line="360" w:lineRule="auto"/>
        <w:jc w:val="left"/>
        <w:rPr>
          <w:rFonts w:asciiTheme="minorEastAsia" w:hAnsiTheme="minorEastAsia" w:cs="宋体"/>
          <w:b/>
          <w:color w:val="FF0000"/>
          <w:kern w:val="0"/>
          <w:szCs w:val="21"/>
        </w:rPr>
      </w:pPr>
      <w:r w:rsidRPr="000701B6">
        <w:rPr>
          <w:rFonts w:asciiTheme="minorEastAsia" w:hAnsiTheme="minorEastAsia" w:cs="宋体" w:hint="eastAsia"/>
          <w:color w:val="3A3A3A"/>
          <w:kern w:val="0"/>
          <w:szCs w:val="21"/>
        </w:rPr>
        <w:t xml:space="preserve"> </w:t>
      </w:r>
      <w:r w:rsidRPr="008C18F5">
        <w:rPr>
          <w:rFonts w:asciiTheme="minorEastAsia" w:hAnsiTheme="minorEastAsia" w:cs="宋体" w:hint="eastAsia"/>
          <w:b/>
          <w:color w:val="FF0000"/>
          <w:kern w:val="0"/>
          <w:szCs w:val="21"/>
        </w:rPr>
        <w:t>6.“同日反向交易”指当天买卖同一债券品种且价格相同的交易、当天</w:t>
      </w:r>
      <w:proofErr w:type="gramStart"/>
      <w:r w:rsidRPr="008C18F5">
        <w:rPr>
          <w:rFonts w:asciiTheme="minorEastAsia" w:hAnsiTheme="minorEastAsia" w:cs="宋体" w:hint="eastAsia"/>
          <w:b/>
          <w:color w:val="FF0000"/>
          <w:kern w:val="0"/>
          <w:szCs w:val="21"/>
        </w:rPr>
        <w:t>做利率</w:t>
      </w:r>
      <w:proofErr w:type="gramEnd"/>
      <w:r w:rsidRPr="008C18F5">
        <w:rPr>
          <w:rFonts w:asciiTheme="minorEastAsia" w:hAnsiTheme="minorEastAsia" w:cs="宋体" w:hint="eastAsia"/>
          <w:b/>
          <w:color w:val="FF0000"/>
          <w:kern w:val="0"/>
          <w:szCs w:val="21"/>
        </w:rPr>
        <w:t>相同的正逆回购交易等；</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7.清算交收不及时，在截止最后清算时间，出现场内交易透支或场外交易因基金头寸不足而无法按时履约。</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（八）其他问题或建议</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1.列示报告期内基金投资运作中存在未能遵规守信的其他情况，或存在损害基金份额持有人利益的其他行为。</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2.就改进托管银行监督工作提出意见和建议，或向监管部门提出其他政策建议。</w:t>
      </w:r>
    </w:p>
    <w:p w:rsid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四、报告附件</w:t>
      </w:r>
      <w:bookmarkStart w:id="0" w:name="_GoBack"/>
      <w:bookmarkEnd w:id="0"/>
    </w:p>
    <w:p w:rsidR="000701B6" w:rsidRPr="000701B6" w:rsidRDefault="000701B6" w:rsidP="000701B6">
      <w:pPr>
        <w:widowControl/>
        <w:spacing w:line="360" w:lineRule="auto"/>
        <w:jc w:val="left"/>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lastRenderedPageBreak/>
        <w:t>将与上述报告事项相关的、已发送给基金管理公司的提示函（复印件）以及基金管理公司的回函以书面形式报送我部，作为季度报告的附件，同时按以下格式列出提示函清单。</w:t>
      </w:r>
    </w:p>
    <w:tbl>
      <w:tblPr>
        <w:tblW w:w="5000" w:type="pct"/>
        <w:jc w:val="center"/>
        <w:tblCellSpacing w:w="0" w:type="dxa"/>
        <w:tblBorders>
          <w:top w:val="single" w:sz="6" w:space="0" w:color="C9C9C9"/>
        </w:tblBorders>
        <w:tblCellMar>
          <w:left w:w="0" w:type="dxa"/>
          <w:right w:w="0" w:type="dxa"/>
        </w:tblCellMar>
        <w:tblLook w:val="04A0" w:firstRow="1" w:lastRow="0" w:firstColumn="1" w:lastColumn="0" w:noHBand="0" w:noVBand="1"/>
      </w:tblPr>
      <w:tblGrid>
        <w:gridCol w:w="749"/>
        <w:gridCol w:w="750"/>
        <w:gridCol w:w="1155"/>
        <w:gridCol w:w="1774"/>
        <w:gridCol w:w="1774"/>
        <w:gridCol w:w="2419"/>
      </w:tblGrid>
      <w:tr w:rsidR="000701B6" w:rsidRPr="000701B6" w:rsidTr="000701B6">
        <w:trPr>
          <w:tblCellSpacing w:w="0" w:type="dxa"/>
          <w:jc w:val="center"/>
        </w:trPr>
        <w:tc>
          <w:tcPr>
            <w:tcW w:w="749"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序号</w:t>
            </w:r>
          </w:p>
        </w:tc>
        <w:tc>
          <w:tcPr>
            <w:tcW w:w="750"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基金公司</w:t>
            </w:r>
          </w:p>
        </w:tc>
        <w:tc>
          <w:tcPr>
            <w:tcW w:w="1155" w:type="dxa"/>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基金名称</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提示时间</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提示事由</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公司是否回函</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1</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r w:rsidR="000701B6" w:rsidRPr="000701B6" w:rsidTr="000701B6">
        <w:trPr>
          <w:tblCellSpacing w:w="0" w:type="dxa"/>
          <w:jc w:val="center"/>
        </w:trPr>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2</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××基金</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c>
          <w:tcPr>
            <w:tcW w:w="0" w:type="auto"/>
            <w:tcBorders>
              <w:bottom w:val="single" w:sz="6" w:space="0" w:color="C9C9C9"/>
              <w:right w:val="single" w:sz="6" w:space="0" w:color="C9C9C9"/>
            </w:tcBorders>
            <w:tcMar>
              <w:top w:w="75" w:type="dxa"/>
              <w:left w:w="150" w:type="dxa"/>
              <w:bottom w:w="75" w:type="dxa"/>
              <w:right w:w="150" w:type="dxa"/>
            </w:tcMar>
            <w:vAlign w:val="center"/>
            <w:hideMark/>
          </w:tcPr>
          <w:p w:rsidR="000701B6" w:rsidRPr="000701B6" w:rsidRDefault="000701B6" w:rsidP="000701B6">
            <w:pPr>
              <w:widowControl/>
              <w:spacing w:line="360" w:lineRule="auto"/>
              <w:jc w:val="center"/>
              <w:rPr>
                <w:rFonts w:asciiTheme="minorEastAsia" w:hAnsiTheme="minorEastAsia" w:cs="宋体"/>
                <w:color w:val="3A3A3A"/>
                <w:kern w:val="0"/>
                <w:szCs w:val="21"/>
              </w:rPr>
            </w:pPr>
            <w:r w:rsidRPr="000701B6">
              <w:rPr>
                <w:rFonts w:asciiTheme="minorEastAsia" w:hAnsiTheme="minorEastAsia" w:cs="宋体" w:hint="eastAsia"/>
                <w:color w:val="3A3A3A"/>
                <w:kern w:val="0"/>
                <w:szCs w:val="21"/>
              </w:rPr>
              <w:t xml:space="preserve">　</w:t>
            </w:r>
          </w:p>
        </w:tc>
      </w:tr>
    </w:tbl>
    <w:p w:rsidR="009D1EC7" w:rsidRPr="000701B6" w:rsidRDefault="009D1EC7" w:rsidP="000701B6">
      <w:pPr>
        <w:spacing w:line="360" w:lineRule="auto"/>
        <w:rPr>
          <w:rFonts w:asciiTheme="minorEastAsia" w:hAnsiTheme="minorEastAsia"/>
          <w:szCs w:val="21"/>
        </w:rPr>
      </w:pPr>
    </w:p>
    <w:sectPr w:rsidR="009D1EC7" w:rsidRPr="00070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02" w:rsidRDefault="003D7602" w:rsidP="008C18F5">
      <w:r>
        <w:separator/>
      </w:r>
    </w:p>
  </w:endnote>
  <w:endnote w:type="continuationSeparator" w:id="0">
    <w:p w:rsidR="003D7602" w:rsidRDefault="003D7602" w:rsidP="008C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02" w:rsidRDefault="003D7602" w:rsidP="008C18F5">
      <w:r>
        <w:separator/>
      </w:r>
    </w:p>
  </w:footnote>
  <w:footnote w:type="continuationSeparator" w:id="0">
    <w:p w:rsidR="003D7602" w:rsidRDefault="003D7602" w:rsidP="008C1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B6"/>
    <w:rsid w:val="000701B6"/>
    <w:rsid w:val="003A53F9"/>
    <w:rsid w:val="003D7602"/>
    <w:rsid w:val="0048212A"/>
    <w:rsid w:val="00686FE8"/>
    <w:rsid w:val="007A7FDB"/>
    <w:rsid w:val="008C18F5"/>
    <w:rsid w:val="009D1EC7"/>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701B6"/>
    <w:pPr>
      <w:widowControl/>
      <w:spacing w:before="100" w:beforeAutospacing="1" w:after="100" w:afterAutospacing="1"/>
      <w:jc w:val="left"/>
      <w:outlineLvl w:val="1"/>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01B6"/>
    <w:rPr>
      <w:rFonts w:ascii="宋体" w:eastAsia="宋体" w:hAnsi="宋体" w:cs="宋体"/>
      <w:b/>
      <w:bCs/>
      <w:kern w:val="0"/>
      <w:szCs w:val="21"/>
    </w:rPr>
  </w:style>
  <w:style w:type="paragraph" w:customStyle="1" w:styleId="tr2">
    <w:name w:val="tr2"/>
    <w:basedOn w:val="a"/>
    <w:rsid w:val="000701B6"/>
    <w:pPr>
      <w:widowControl/>
      <w:spacing w:before="225" w:after="100" w:afterAutospacing="1"/>
      <w:jc w:val="right"/>
    </w:pPr>
    <w:rPr>
      <w:rFonts w:ascii="宋体" w:eastAsia="宋体" w:hAnsi="宋体" w:cs="宋体"/>
      <w:kern w:val="0"/>
      <w:sz w:val="24"/>
      <w:szCs w:val="24"/>
    </w:rPr>
  </w:style>
  <w:style w:type="paragraph" w:styleId="a3">
    <w:name w:val="List Paragraph"/>
    <w:basedOn w:val="a"/>
    <w:uiPriority w:val="34"/>
    <w:qFormat/>
    <w:rsid w:val="000701B6"/>
    <w:pPr>
      <w:ind w:firstLineChars="200" w:firstLine="420"/>
    </w:pPr>
  </w:style>
  <w:style w:type="paragraph" w:styleId="a4">
    <w:name w:val="header"/>
    <w:basedOn w:val="a"/>
    <w:link w:val="Char"/>
    <w:uiPriority w:val="99"/>
    <w:unhideWhenUsed/>
    <w:rsid w:val="008C1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18F5"/>
    <w:rPr>
      <w:sz w:val="18"/>
      <w:szCs w:val="18"/>
    </w:rPr>
  </w:style>
  <w:style w:type="paragraph" w:styleId="a5">
    <w:name w:val="footer"/>
    <w:basedOn w:val="a"/>
    <w:link w:val="Char0"/>
    <w:uiPriority w:val="99"/>
    <w:unhideWhenUsed/>
    <w:rsid w:val="008C18F5"/>
    <w:pPr>
      <w:tabs>
        <w:tab w:val="center" w:pos="4153"/>
        <w:tab w:val="right" w:pos="8306"/>
      </w:tabs>
      <w:snapToGrid w:val="0"/>
      <w:jc w:val="left"/>
    </w:pPr>
    <w:rPr>
      <w:sz w:val="18"/>
      <w:szCs w:val="18"/>
    </w:rPr>
  </w:style>
  <w:style w:type="character" w:customStyle="1" w:styleId="Char0">
    <w:name w:val="页脚 Char"/>
    <w:basedOn w:val="a0"/>
    <w:link w:val="a5"/>
    <w:uiPriority w:val="99"/>
    <w:rsid w:val="008C18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701B6"/>
    <w:pPr>
      <w:widowControl/>
      <w:spacing w:before="100" w:beforeAutospacing="1" w:after="100" w:afterAutospacing="1"/>
      <w:jc w:val="left"/>
      <w:outlineLvl w:val="1"/>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01B6"/>
    <w:rPr>
      <w:rFonts w:ascii="宋体" w:eastAsia="宋体" w:hAnsi="宋体" w:cs="宋体"/>
      <w:b/>
      <w:bCs/>
      <w:kern w:val="0"/>
      <w:szCs w:val="21"/>
    </w:rPr>
  </w:style>
  <w:style w:type="paragraph" w:customStyle="1" w:styleId="tr2">
    <w:name w:val="tr2"/>
    <w:basedOn w:val="a"/>
    <w:rsid w:val="000701B6"/>
    <w:pPr>
      <w:widowControl/>
      <w:spacing w:before="225" w:after="100" w:afterAutospacing="1"/>
      <w:jc w:val="right"/>
    </w:pPr>
    <w:rPr>
      <w:rFonts w:ascii="宋体" w:eastAsia="宋体" w:hAnsi="宋体" w:cs="宋体"/>
      <w:kern w:val="0"/>
      <w:sz w:val="24"/>
      <w:szCs w:val="24"/>
    </w:rPr>
  </w:style>
  <w:style w:type="paragraph" w:styleId="a3">
    <w:name w:val="List Paragraph"/>
    <w:basedOn w:val="a"/>
    <w:uiPriority w:val="34"/>
    <w:qFormat/>
    <w:rsid w:val="000701B6"/>
    <w:pPr>
      <w:ind w:firstLineChars="200" w:firstLine="420"/>
    </w:pPr>
  </w:style>
  <w:style w:type="paragraph" w:styleId="a4">
    <w:name w:val="header"/>
    <w:basedOn w:val="a"/>
    <w:link w:val="Char"/>
    <w:uiPriority w:val="99"/>
    <w:unhideWhenUsed/>
    <w:rsid w:val="008C1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18F5"/>
    <w:rPr>
      <w:sz w:val="18"/>
      <w:szCs w:val="18"/>
    </w:rPr>
  </w:style>
  <w:style w:type="paragraph" w:styleId="a5">
    <w:name w:val="footer"/>
    <w:basedOn w:val="a"/>
    <w:link w:val="Char0"/>
    <w:uiPriority w:val="99"/>
    <w:unhideWhenUsed/>
    <w:rsid w:val="008C18F5"/>
    <w:pPr>
      <w:tabs>
        <w:tab w:val="center" w:pos="4153"/>
        <w:tab w:val="right" w:pos="8306"/>
      </w:tabs>
      <w:snapToGrid w:val="0"/>
      <w:jc w:val="left"/>
    </w:pPr>
    <w:rPr>
      <w:sz w:val="18"/>
      <w:szCs w:val="18"/>
    </w:rPr>
  </w:style>
  <w:style w:type="character" w:customStyle="1" w:styleId="Char0">
    <w:name w:val="页脚 Char"/>
    <w:basedOn w:val="a0"/>
    <w:link w:val="a5"/>
    <w:uiPriority w:val="99"/>
    <w:rsid w:val="008C18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38091">
      <w:bodyDiv w:val="1"/>
      <w:marLeft w:val="0"/>
      <w:marRight w:val="0"/>
      <w:marTop w:val="0"/>
      <w:marBottom w:val="0"/>
      <w:divBdr>
        <w:top w:val="none" w:sz="0" w:space="0" w:color="auto"/>
        <w:left w:val="none" w:sz="0" w:space="0" w:color="auto"/>
        <w:bottom w:val="none" w:sz="0" w:space="0" w:color="auto"/>
        <w:right w:val="none" w:sz="0" w:space="0" w:color="auto"/>
      </w:divBdr>
      <w:divsChild>
        <w:div w:id="1694841748">
          <w:marLeft w:val="0"/>
          <w:marRight w:val="0"/>
          <w:marTop w:val="0"/>
          <w:marBottom w:val="375"/>
          <w:divBdr>
            <w:top w:val="none" w:sz="0" w:space="0" w:color="auto"/>
            <w:left w:val="none" w:sz="0" w:space="0" w:color="auto"/>
            <w:bottom w:val="none" w:sz="0" w:space="0" w:color="auto"/>
            <w:right w:val="none" w:sz="0" w:space="0" w:color="auto"/>
          </w:divBdr>
          <w:divsChild>
            <w:div w:id="1298990106">
              <w:marLeft w:val="0"/>
              <w:marRight w:val="0"/>
              <w:marTop w:val="0"/>
              <w:marBottom w:val="0"/>
              <w:divBdr>
                <w:top w:val="none" w:sz="0" w:space="0" w:color="auto"/>
                <w:left w:val="none" w:sz="0" w:space="0" w:color="auto"/>
                <w:bottom w:val="none" w:sz="0" w:space="0" w:color="auto"/>
                <w:right w:val="none" w:sz="0" w:space="0" w:color="auto"/>
              </w:divBdr>
              <w:divsChild>
                <w:div w:id="1867863078">
                  <w:marLeft w:val="0"/>
                  <w:marRight w:val="0"/>
                  <w:marTop w:val="0"/>
                  <w:marBottom w:val="0"/>
                  <w:divBdr>
                    <w:top w:val="none" w:sz="0" w:space="0" w:color="auto"/>
                    <w:left w:val="none" w:sz="0" w:space="0" w:color="auto"/>
                    <w:bottom w:val="none" w:sz="0" w:space="0" w:color="auto"/>
                    <w:right w:val="none" w:sz="0" w:space="0" w:color="auto"/>
                  </w:divBdr>
                  <w:divsChild>
                    <w:div w:id="1942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2</cp:revision>
  <dcterms:created xsi:type="dcterms:W3CDTF">2016-03-19T16:06:00Z</dcterms:created>
  <dcterms:modified xsi:type="dcterms:W3CDTF">2017-09-10T05:53:00Z</dcterms:modified>
</cp:coreProperties>
</file>