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72A" w:rsidRPr="00B0272A" w:rsidRDefault="00B0272A" w:rsidP="00B0272A">
      <w:pPr>
        <w:widowControl/>
        <w:shd w:val="clear" w:color="auto" w:fill="FFFFFF"/>
        <w:spacing w:line="525" w:lineRule="atLeast"/>
        <w:jc w:val="center"/>
        <w:rPr>
          <w:rFonts w:ascii="微软雅黑" w:eastAsia="微软雅黑" w:hAnsi="微软雅黑" w:cs="宋体"/>
          <w:b/>
          <w:bCs/>
          <w:color w:val="0C5CB1"/>
          <w:kern w:val="0"/>
          <w:sz w:val="30"/>
          <w:szCs w:val="30"/>
        </w:rPr>
      </w:pPr>
      <w:r w:rsidRPr="00B0272A">
        <w:rPr>
          <w:rFonts w:ascii="微软雅黑" w:eastAsia="微软雅黑" w:hAnsi="微软雅黑" w:cs="宋体" w:hint="eastAsia"/>
          <w:b/>
          <w:bCs/>
          <w:color w:val="0C5CB1"/>
          <w:kern w:val="0"/>
          <w:sz w:val="30"/>
          <w:szCs w:val="30"/>
        </w:rPr>
        <w:t>关于规范证券投资基金运作</w:t>
      </w:r>
      <w:proofErr w:type="gramStart"/>
      <w:r w:rsidRPr="00B0272A">
        <w:rPr>
          <w:rFonts w:ascii="微软雅黑" w:eastAsia="微软雅黑" w:hAnsi="微软雅黑" w:cs="宋体" w:hint="eastAsia"/>
          <w:b/>
          <w:bCs/>
          <w:color w:val="0C5CB1"/>
          <w:kern w:val="0"/>
          <w:sz w:val="30"/>
          <w:szCs w:val="30"/>
        </w:rPr>
        <w:t>中证券</w:t>
      </w:r>
      <w:proofErr w:type="gramEnd"/>
      <w:r w:rsidRPr="00B0272A">
        <w:rPr>
          <w:rFonts w:ascii="微软雅黑" w:eastAsia="微软雅黑" w:hAnsi="微软雅黑" w:cs="宋体" w:hint="eastAsia"/>
          <w:b/>
          <w:bCs/>
          <w:color w:val="0C5CB1"/>
          <w:kern w:val="0"/>
          <w:sz w:val="30"/>
          <w:szCs w:val="30"/>
        </w:rPr>
        <w:t>交易行为的通知</w:t>
      </w:r>
    </w:p>
    <w:p w:rsidR="00B0272A" w:rsidRPr="00B0272A" w:rsidRDefault="00B0272A" w:rsidP="00B0272A">
      <w:pPr>
        <w:widowControl/>
        <w:shd w:val="clear" w:color="auto" w:fill="FFFFFF"/>
        <w:spacing w:line="480" w:lineRule="auto"/>
        <w:jc w:val="center"/>
        <w:rPr>
          <w:rFonts w:ascii="inherit" w:eastAsia="宋体" w:hAnsi="inherit" w:cs="宋体" w:hint="eastAsia"/>
          <w:color w:val="888888"/>
          <w:kern w:val="0"/>
          <w:sz w:val="18"/>
          <w:szCs w:val="18"/>
        </w:rPr>
      </w:pPr>
      <w:r w:rsidRPr="00B0272A">
        <w:rPr>
          <w:rFonts w:ascii="inherit" w:eastAsia="宋体" w:hAnsi="inherit" w:cs="宋体"/>
          <w:color w:val="888888"/>
          <w:kern w:val="0"/>
          <w:sz w:val="18"/>
          <w:szCs w:val="18"/>
        </w:rPr>
        <w:t>中国证监会</w:t>
      </w:r>
      <w:r w:rsidRPr="00B0272A">
        <w:rPr>
          <w:rFonts w:ascii="inherit" w:eastAsia="宋体" w:hAnsi="inherit" w:cs="宋体"/>
          <w:color w:val="888888"/>
          <w:kern w:val="0"/>
          <w:sz w:val="18"/>
          <w:szCs w:val="18"/>
        </w:rPr>
        <w:t xml:space="preserve"> www.csrc.gov.cn </w:t>
      </w:r>
      <w:r w:rsidRPr="00B0272A">
        <w:rPr>
          <w:rFonts w:ascii="inherit" w:eastAsia="宋体" w:hAnsi="inherit" w:cs="宋体"/>
          <w:color w:val="888888"/>
          <w:kern w:val="0"/>
          <w:sz w:val="18"/>
          <w:szCs w:val="18"/>
        </w:rPr>
        <w:t>时间：</w:t>
      </w:r>
      <w:r w:rsidRPr="00B0272A">
        <w:rPr>
          <w:rFonts w:ascii="inherit" w:eastAsia="宋体" w:hAnsi="inherit" w:cs="宋体"/>
          <w:color w:val="888888"/>
          <w:kern w:val="0"/>
          <w:sz w:val="18"/>
          <w:szCs w:val="18"/>
        </w:rPr>
        <w:t xml:space="preserve">2001-02-26 </w:t>
      </w:r>
      <w:r w:rsidRPr="00B0272A">
        <w:rPr>
          <w:rFonts w:ascii="inherit" w:eastAsia="宋体" w:hAnsi="inherit" w:cs="宋体"/>
          <w:color w:val="888888"/>
          <w:kern w:val="0"/>
          <w:sz w:val="18"/>
          <w:szCs w:val="18"/>
        </w:rPr>
        <w:t>来源：</w:t>
      </w:r>
      <w:r w:rsidRPr="00B0272A">
        <w:rPr>
          <w:rFonts w:ascii="inherit" w:eastAsia="宋体" w:hAnsi="inherit" w:cs="宋体"/>
          <w:color w:val="888888"/>
          <w:kern w:val="0"/>
          <w:sz w:val="18"/>
          <w:szCs w:val="18"/>
        </w:rPr>
        <w:t xml:space="preserve"> </w:t>
      </w:r>
    </w:p>
    <w:p w:rsidR="00B0272A" w:rsidRPr="00B0272A" w:rsidRDefault="00B0272A" w:rsidP="00B0272A">
      <w:pPr>
        <w:widowControl/>
        <w:shd w:val="clear" w:color="auto" w:fill="FFFFFF"/>
        <w:spacing w:line="480" w:lineRule="auto"/>
        <w:jc w:val="center"/>
        <w:rPr>
          <w:rFonts w:ascii="inherit" w:eastAsia="宋体" w:hAnsi="inherit" w:cs="宋体" w:hint="eastAsia"/>
          <w:color w:val="333333"/>
          <w:kern w:val="0"/>
          <w:szCs w:val="21"/>
        </w:rPr>
      </w:pPr>
      <w:r w:rsidRPr="00B0272A">
        <w:rPr>
          <w:rFonts w:ascii="宋体" w:eastAsia="宋体" w:hAnsi="宋体" w:cs="宋体"/>
          <w:color w:val="333333"/>
          <w:kern w:val="0"/>
          <w:szCs w:val="21"/>
        </w:rPr>
        <w:t>证监发[2001]29号</w:t>
      </w:r>
      <w:r w:rsidRPr="00B0272A">
        <w:rPr>
          <w:rFonts w:ascii="inherit" w:eastAsia="宋体" w:hAnsi="inherit" w:cs="宋体"/>
          <w:color w:val="333333"/>
          <w:kern w:val="0"/>
          <w:szCs w:val="21"/>
        </w:rPr>
        <w:t> </w:t>
      </w:r>
    </w:p>
    <w:p w:rsidR="00B0272A" w:rsidRPr="00B0272A" w:rsidRDefault="00B0272A" w:rsidP="00B0272A">
      <w:pPr>
        <w:widowControl/>
        <w:shd w:val="clear" w:color="auto" w:fill="FFFFFF"/>
        <w:spacing w:line="480" w:lineRule="auto"/>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 xml:space="preserve">各基金管理公司，各托管人，上海、深圳证券交易所： </w:t>
      </w:r>
    </w:p>
    <w:p w:rsidR="00B0272A" w:rsidRPr="00B0272A" w:rsidRDefault="00B0272A" w:rsidP="00EB3F11">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为进一步加强证券投资基金（以下简称“基金”）监管，规范基金运作，维护基金投资人的合法权益，根据《证券投资基金管理暂行办法》及有关规定，现就规范基金运作</w:t>
      </w:r>
      <w:proofErr w:type="gramStart"/>
      <w:r w:rsidRPr="00B0272A">
        <w:rPr>
          <w:rFonts w:ascii="宋体" w:eastAsia="宋体" w:hAnsi="宋体" w:cs="宋体"/>
          <w:color w:val="333333"/>
          <w:kern w:val="0"/>
          <w:szCs w:val="21"/>
        </w:rPr>
        <w:t>中证券</w:t>
      </w:r>
      <w:proofErr w:type="gramEnd"/>
      <w:r w:rsidRPr="00B0272A">
        <w:rPr>
          <w:rFonts w:ascii="宋体" w:eastAsia="宋体" w:hAnsi="宋体" w:cs="宋体"/>
          <w:color w:val="333333"/>
          <w:kern w:val="0"/>
          <w:szCs w:val="21"/>
        </w:rPr>
        <w:t>交易行为的有关问题通知如下：</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一、各基金管理公司及基金从业人员应当提高认识，转变观念，明确自身的法律主体性质；竭诚为基金投资人服务，在证券投资交易活动中应当与其他社会投资人履行相同的义务。</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二、各基金管理公司应当以</w:t>
      </w:r>
      <w:r w:rsidRPr="00677752">
        <w:rPr>
          <w:rFonts w:ascii="宋体" w:eastAsia="宋体" w:hAnsi="宋体" w:cs="宋体"/>
          <w:color w:val="333333"/>
          <w:kern w:val="0"/>
          <w:szCs w:val="21"/>
          <w:highlight w:val="yellow"/>
        </w:rPr>
        <w:t>取信于市场、取信于社会投资公众</w:t>
      </w:r>
      <w:r w:rsidRPr="00B0272A">
        <w:rPr>
          <w:rFonts w:ascii="宋体" w:eastAsia="宋体" w:hAnsi="宋体" w:cs="宋体"/>
          <w:color w:val="333333"/>
          <w:kern w:val="0"/>
          <w:szCs w:val="21"/>
        </w:rPr>
        <w:t>为宗旨，按照</w:t>
      </w:r>
      <w:r w:rsidRPr="00677752">
        <w:rPr>
          <w:rFonts w:ascii="宋体" w:eastAsia="宋体" w:hAnsi="宋体" w:cs="宋体"/>
          <w:color w:val="333333"/>
          <w:kern w:val="0"/>
          <w:szCs w:val="21"/>
          <w:highlight w:val="yellow"/>
        </w:rPr>
        <w:t>诚实信用</w:t>
      </w:r>
      <w:r w:rsidRPr="00B0272A">
        <w:rPr>
          <w:rFonts w:ascii="宋体" w:eastAsia="宋体" w:hAnsi="宋体" w:cs="宋体"/>
          <w:color w:val="333333"/>
          <w:kern w:val="0"/>
          <w:szCs w:val="21"/>
        </w:rPr>
        <w:t>原则，更新投资理念，调整和规范现有的投资决策制度。</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三、各基金管理公司应当调整和完善</w:t>
      </w:r>
      <w:r w:rsidRPr="007C796C">
        <w:rPr>
          <w:rFonts w:ascii="宋体" w:eastAsia="宋体" w:hAnsi="宋体" w:cs="宋体"/>
          <w:color w:val="333333"/>
          <w:kern w:val="0"/>
          <w:szCs w:val="21"/>
          <w:highlight w:val="yellow"/>
        </w:rPr>
        <w:t>内控制度和各项决策程序</w:t>
      </w:r>
      <w:r w:rsidRPr="00B0272A">
        <w:rPr>
          <w:rFonts w:ascii="宋体" w:eastAsia="宋体" w:hAnsi="宋体" w:cs="宋体"/>
          <w:color w:val="333333"/>
          <w:kern w:val="0"/>
          <w:szCs w:val="21"/>
        </w:rPr>
        <w:t>，明确各个岗位对保证规范交易行为的责任；要对公司职员强化职业操守规范，对基金经理等主要投资管理人员，加强法律意识、行业规范、品行操守等方面的监督和约束，并通过完善的制度确保其</w:t>
      </w:r>
      <w:r w:rsidRPr="007C796C">
        <w:rPr>
          <w:rFonts w:ascii="宋体" w:eastAsia="宋体" w:hAnsi="宋体" w:cs="宋体"/>
          <w:color w:val="333333"/>
          <w:kern w:val="0"/>
          <w:szCs w:val="21"/>
          <w:highlight w:val="yellow"/>
        </w:rPr>
        <w:t>守法合</w:t>
      </w:r>
      <w:proofErr w:type="gramStart"/>
      <w:r w:rsidRPr="007C796C">
        <w:rPr>
          <w:rFonts w:ascii="宋体" w:eastAsia="宋体" w:hAnsi="宋体" w:cs="宋体"/>
          <w:color w:val="333333"/>
          <w:kern w:val="0"/>
          <w:szCs w:val="21"/>
          <w:highlight w:val="yellow"/>
        </w:rPr>
        <w:t>规</w:t>
      </w:r>
      <w:proofErr w:type="gramEnd"/>
      <w:r w:rsidRPr="007C796C">
        <w:rPr>
          <w:rFonts w:ascii="宋体" w:eastAsia="宋体" w:hAnsi="宋体" w:cs="宋体"/>
          <w:color w:val="333333"/>
          <w:kern w:val="0"/>
          <w:szCs w:val="21"/>
          <w:highlight w:val="yellow"/>
        </w:rPr>
        <w:t>，严格自律</w:t>
      </w:r>
      <w:r w:rsidRPr="00B0272A">
        <w:rPr>
          <w:rFonts w:ascii="宋体" w:eastAsia="宋体" w:hAnsi="宋体" w:cs="宋体"/>
          <w:color w:val="333333"/>
          <w:kern w:val="0"/>
          <w:szCs w:val="21"/>
        </w:rPr>
        <w:t>。</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基金经理必须对其管理的基金运作中涉及的交易行为负责，并向证券交易所提交自律承诺书，对偶然发生的异常交易行为要做出合理的解释。</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督察员应恪尽职守，强化内部监察稽核和风险监控，及时、准确地发现公司管理制度中的缺陷和不足，对发生的异常交易行为要及时报告，并提出有效的改进措施。</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四、各基金管理公司应当关注并接受社会公众对基金证券投资交易行为的合理评论和监督，及时根据证券交易制度的修订调整修正基金的证券投资和交易行为。</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lastRenderedPageBreak/>
        <w:t>五、证券交易所在日常交易监控中，</w:t>
      </w:r>
      <w:r w:rsidRPr="00B0272A">
        <w:rPr>
          <w:rFonts w:ascii="宋体" w:eastAsia="宋体" w:hAnsi="宋体" w:cs="宋体"/>
          <w:b/>
          <w:color w:val="FF0000"/>
          <w:kern w:val="0"/>
          <w:szCs w:val="21"/>
        </w:rPr>
        <w:t>应当将一个基金视为单一的投资人，将一个基金管理公司视为持有不同账户的单一投资人，比照同一投资人进行监控。</w:t>
      </w:r>
      <w:r w:rsidRPr="00B0272A">
        <w:rPr>
          <w:rFonts w:ascii="宋体" w:eastAsia="宋体" w:hAnsi="宋体" w:cs="宋体"/>
          <w:color w:val="333333"/>
          <w:kern w:val="0"/>
          <w:szCs w:val="21"/>
        </w:rPr>
        <w:t>当</w:t>
      </w:r>
      <w:proofErr w:type="gramStart"/>
      <w:r w:rsidRPr="00B0272A">
        <w:rPr>
          <w:rFonts w:ascii="宋体" w:eastAsia="宋体" w:hAnsi="宋体" w:cs="宋体"/>
          <w:color w:val="333333"/>
          <w:kern w:val="0"/>
          <w:szCs w:val="21"/>
        </w:rPr>
        <w:t>单一基金</w:t>
      </w:r>
      <w:proofErr w:type="gramEnd"/>
      <w:r w:rsidRPr="00B0272A">
        <w:rPr>
          <w:rFonts w:ascii="宋体" w:eastAsia="宋体" w:hAnsi="宋体" w:cs="宋体"/>
          <w:color w:val="333333"/>
          <w:kern w:val="0"/>
          <w:szCs w:val="21"/>
        </w:rPr>
        <w:t>或基金管理公司管理的不同基金出现异常交易行为时，证券交易所应根据不同情况进行以下处理：</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1.电话提示，要求基金管理公司或有关基金经理做出解释；</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2.书面警告；</w:t>
      </w:r>
      <w:bookmarkStart w:id="0" w:name="_GoBack"/>
      <w:bookmarkEnd w:id="0"/>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3.公开谴责；</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4.对异常交易程度和性质的认定有争议的，书面报告中国证监会。</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六、各基金托管人应当加强监督意识，强化监控手段，增加对基金证券投资交易监督的人员和技术系统配备。当所托管基金出现异常交易行为时，各基金托管人应当针对不同情况进行以下方式的处理：</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1.电话提示。对媒体和舆论反映集中的问题，电话提示有关基金管理公司；</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2.书面警示。对所托管基金投资比例接近超标、资金头寸不足等问题，以书面方式对有关基金管理公司进行提示；</w:t>
      </w:r>
    </w:p>
    <w:p w:rsidR="00B0272A" w:rsidRPr="00B0272A" w:rsidRDefault="00B0272A" w:rsidP="009A7B65">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B0272A">
        <w:rPr>
          <w:rFonts w:ascii="宋体" w:eastAsia="宋体" w:hAnsi="宋体" w:cs="宋体"/>
          <w:color w:val="333333"/>
          <w:kern w:val="0"/>
          <w:szCs w:val="21"/>
        </w:rPr>
        <w:t>3.书面报告。对所托管基金投资比例超标、清算资金透支以及其他涉嫌违规交易等行为，书面提示有关基金管理公司并报中国证监会。</w:t>
      </w:r>
    </w:p>
    <w:p w:rsidR="00336864" w:rsidRDefault="00B0272A" w:rsidP="009A7B65">
      <w:pPr>
        <w:widowControl/>
        <w:shd w:val="clear" w:color="auto" w:fill="FFFFFF"/>
        <w:spacing w:line="480" w:lineRule="auto"/>
        <w:ind w:firstLineChars="200" w:firstLine="420"/>
        <w:jc w:val="left"/>
      </w:pPr>
      <w:r w:rsidRPr="00B0272A">
        <w:rPr>
          <w:rFonts w:ascii="宋体" w:eastAsia="宋体" w:hAnsi="宋体" w:cs="宋体"/>
          <w:color w:val="333333"/>
          <w:kern w:val="0"/>
          <w:szCs w:val="21"/>
        </w:rPr>
        <w:t>七、中国证监会将建立基金运作</w:t>
      </w:r>
      <w:proofErr w:type="gramStart"/>
      <w:r w:rsidRPr="00B0272A">
        <w:rPr>
          <w:rFonts w:ascii="宋体" w:eastAsia="宋体" w:hAnsi="宋体" w:cs="宋体"/>
          <w:color w:val="333333"/>
          <w:kern w:val="0"/>
          <w:szCs w:val="21"/>
        </w:rPr>
        <w:t>中证券</w:t>
      </w:r>
      <w:proofErr w:type="gramEnd"/>
      <w:r w:rsidRPr="00B0272A">
        <w:rPr>
          <w:rFonts w:ascii="宋体" w:eastAsia="宋体" w:hAnsi="宋体" w:cs="宋体"/>
          <w:color w:val="333333"/>
          <w:kern w:val="0"/>
          <w:szCs w:val="21"/>
        </w:rPr>
        <w:t>交易行为的定期分析制度，对有争议的问题，向社会各界广泛征求意见，对证据确凿的违法违规行为，严肃查处。</w:t>
      </w:r>
    </w:p>
    <w:sectPr w:rsidR="00336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C4E" w:rsidRDefault="00191C4E" w:rsidP="00EB3F11">
      <w:r>
        <w:separator/>
      </w:r>
    </w:p>
  </w:endnote>
  <w:endnote w:type="continuationSeparator" w:id="0">
    <w:p w:rsidR="00191C4E" w:rsidRDefault="00191C4E" w:rsidP="00E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C4E" w:rsidRDefault="00191C4E" w:rsidP="00EB3F11">
      <w:r>
        <w:separator/>
      </w:r>
    </w:p>
  </w:footnote>
  <w:footnote w:type="continuationSeparator" w:id="0">
    <w:p w:rsidR="00191C4E" w:rsidRDefault="00191C4E" w:rsidP="00E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72A"/>
    <w:rsid w:val="00191C4E"/>
    <w:rsid w:val="00336864"/>
    <w:rsid w:val="00677752"/>
    <w:rsid w:val="007C1E44"/>
    <w:rsid w:val="007C796C"/>
    <w:rsid w:val="009A7B65"/>
    <w:rsid w:val="00B0272A"/>
    <w:rsid w:val="00B6074D"/>
    <w:rsid w:val="00EB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F11"/>
    <w:rPr>
      <w:sz w:val="18"/>
      <w:szCs w:val="18"/>
    </w:rPr>
  </w:style>
  <w:style w:type="paragraph" w:styleId="a4">
    <w:name w:val="footer"/>
    <w:basedOn w:val="a"/>
    <w:link w:val="Char0"/>
    <w:uiPriority w:val="99"/>
    <w:unhideWhenUsed/>
    <w:rsid w:val="00EB3F11"/>
    <w:pPr>
      <w:tabs>
        <w:tab w:val="center" w:pos="4153"/>
        <w:tab w:val="right" w:pos="8306"/>
      </w:tabs>
      <w:snapToGrid w:val="0"/>
      <w:jc w:val="left"/>
    </w:pPr>
    <w:rPr>
      <w:sz w:val="18"/>
      <w:szCs w:val="18"/>
    </w:rPr>
  </w:style>
  <w:style w:type="character" w:customStyle="1" w:styleId="Char0">
    <w:name w:val="页脚 Char"/>
    <w:basedOn w:val="a0"/>
    <w:link w:val="a4"/>
    <w:uiPriority w:val="99"/>
    <w:rsid w:val="00EB3F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F11"/>
    <w:rPr>
      <w:sz w:val="18"/>
      <w:szCs w:val="18"/>
    </w:rPr>
  </w:style>
  <w:style w:type="paragraph" w:styleId="a4">
    <w:name w:val="footer"/>
    <w:basedOn w:val="a"/>
    <w:link w:val="Char0"/>
    <w:uiPriority w:val="99"/>
    <w:unhideWhenUsed/>
    <w:rsid w:val="00EB3F11"/>
    <w:pPr>
      <w:tabs>
        <w:tab w:val="center" w:pos="4153"/>
        <w:tab w:val="right" w:pos="8306"/>
      </w:tabs>
      <w:snapToGrid w:val="0"/>
      <w:jc w:val="left"/>
    </w:pPr>
    <w:rPr>
      <w:sz w:val="18"/>
      <w:szCs w:val="18"/>
    </w:rPr>
  </w:style>
  <w:style w:type="character" w:customStyle="1" w:styleId="Char0">
    <w:name w:val="页脚 Char"/>
    <w:basedOn w:val="a0"/>
    <w:link w:val="a4"/>
    <w:uiPriority w:val="99"/>
    <w:rsid w:val="00EB3F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3169">
      <w:bodyDiv w:val="1"/>
      <w:marLeft w:val="0"/>
      <w:marRight w:val="0"/>
      <w:marTop w:val="0"/>
      <w:marBottom w:val="0"/>
      <w:divBdr>
        <w:top w:val="none" w:sz="0" w:space="0" w:color="auto"/>
        <w:left w:val="none" w:sz="0" w:space="0" w:color="auto"/>
        <w:bottom w:val="none" w:sz="0" w:space="0" w:color="auto"/>
        <w:right w:val="none" w:sz="0" w:space="0" w:color="auto"/>
      </w:divBdr>
      <w:divsChild>
        <w:div w:id="593172685">
          <w:marLeft w:val="0"/>
          <w:marRight w:val="0"/>
          <w:marTop w:val="0"/>
          <w:marBottom w:val="0"/>
          <w:divBdr>
            <w:top w:val="none" w:sz="0" w:space="0" w:color="auto"/>
            <w:left w:val="none" w:sz="0" w:space="0" w:color="auto"/>
            <w:bottom w:val="none" w:sz="0" w:space="0" w:color="auto"/>
            <w:right w:val="none" w:sz="0" w:space="0" w:color="auto"/>
          </w:divBdr>
          <w:divsChild>
            <w:div w:id="650719503">
              <w:marLeft w:val="0"/>
              <w:marRight w:val="0"/>
              <w:marTop w:val="0"/>
              <w:marBottom w:val="0"/>
              <w:divBdr>
                <w:top w:val="none" w:sz="0" w:space="0" w:color="auto"/>
                <w:left w:val="none" w:sz="0" w:space="0" w:color="auto"/>
                <w:bottom w:val="none" w:sz="0" w:space="0" w:color="auto"/>
                <w:right w:val="none" w:sz="0" w:space="0" w:color="auto"/>
              </w:divBdr>
              <w:divsChild>
                <w:div w:id="1128276798">
                  <w:marLeft w:val="105"/>
                  <w:marRight w:val="105"/>
                  <w:marTop w:val="0"/>
                  <w:marBottom w:val="0"/>
                  <w:divBdr>
                    <w:top w:val="none" w:sz="0" w:space="0" w:color="auto"/>
                    <w:left w:val="none" w:sz="0" w:space="0" w:color="auto"/>
                    <w:bottom w:val="none" w:sz="0" w:space="0" w:color="auto"/>
                    <w:right w:val="none" w:sz="0" w:space="0" w:color="auto"/>
                  </w:divBdr>
                  <w:divsChild>
                    <w:div w:id="303050894">
                      <w:marLeft w:val="0"/>
                      <w:marRight w:val="0"/>
                      <w:marTop w:val="0"/>
                      <w:marBottom w:val="0"/>
                      <w:divBdr>
                        <w:top w:val="none" w:sz="0" w:space="0" w:color="auto"/>
                        <w:left w:val="none" w:sz="0" w:space="0" w:color="auto"/>
                        <w:bottom w:val="none" w:sz="0" w:space="0" w:color="auto"/>
                        <w:right w:val="none" w:sz="0" w:space="0" w:color="auto"/>
                      </w:divBdr>
                      <w:divsChild>
                        <w:div w:id="386145122">
                          <w:marLeft w:val="0"/>
                          <w:marRight w:val="0"/>
                          <w:marTop w:val="0"/>
                          <w:marBottom w:val="0"/>
                          <w:divBdr>
                            <w:top w:val="none" w:sz="0" w:space="0" w:color="auto"/>
                            <w:left w:val="none" w:sz="0" w:space="0" w:color="auto"/>
                            <w:bottom w:val="single" w:sz="12" w:space="11" w:color="CCCCCC"/>
                            <w:right w:val="none" w:sz="0" w:space="0" w:color="auto"/>
                          </w:divBdr>
                        </w:div>
                        <w:div w:id="2084600345">
                          <w:marLeft w:val="0"/>
                          <w:marRight w:val="0"/>
                          <w:marTop w:val="0"/>
                          <w:marBottom w:val="300"/>
                          <w:divBdr>
                            <w:top w:val="none" w:sz="0" w:space="0" w:color="auto"/>
                            <w:left w:val="none" w:sz="0" w:space="0" w:color="auto"/>
                            <w:bottom w:val="none" w:sz="0" w:space="0" w:color="auto"/>
                            <w:right w:val="none" w:sz="0" w:space="0" w:color="auto"/>
                          </w:divBdr>
                        </w:div>
                        <w:div w:id="733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6</cp:revision>
  <dcterms:created xsi:type="dcterms:W3CDTF">2016-03-15T08:08:00Z</dcterms:created>
  <dcterms:modified xsi:type="dcterms:W3CDTF">2017-09-10T05:59:00Z</dcterms:modified>
</cp:coreProperties>
</file>