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A28" w:rsidRPr="00234A28" w:rsidRDefault="00234A28" w:rsidP="00234A28">
      <w:pPr>
        <w:widowControl/>
        <w:shd w:val="clear" w:color="auto" w:fill="FFFFFF"/>
        <w:spacing w:line="525" w:lineRule="atLeast"/>
        <w:jc w:val="center"/>
        <w:rPr>
          <w:rFonts w:ascii="微软雅黑" w:eastAsia="微软雅黑" w:hAnsi="微软雅黑" w:cs="宋体"/>
          <w:b/>
          <w:bCs/>
          <w:color w:val="0C5CB1"/>
          <w:kern w:val="0"/>
          <w:sz w:val="30"/>
          <w:szCs w:val="30"/>
        </w:rPr>
      </w:pPr>
      <w:r w:rsidRPr="00234A28">
        <w:rPr>
          <w:rFonts w:ascii="微软雅黑" w:eastAsia="微软雅黑" w:hAnsi="微软雅黑" w:cs="宋体" w:hint="eastAsia"/>
          <w:b/>
          <w:bCs/>
          <w:color w:val="0C5CB1"/>
          <w:kern w:val="0"/>
          <w:sz w:val="30"/>
          <w:szCs w:val="30"/>
        </w:rPr>
        <w:t>关于证券投资基金投资资产支持证券有关事项的通知</w:t>
      </w:r>
    </w:p>
    <w:p w:rsidR="00234A28" w:rsidRPr="00234A28" w:rsidRDefault="00234A28" w:rsidP="00234A28">
      <w:pPr>
        <w:widowControl/>
        <w:shd w:val="clear" w:color="auto" w:fill="FFFFFF"/>
        <w:spacing w:line="480" w:lineRule="auto"/>
        <w:jc w:val="center"/>
        <w:rPr>
          <w:rFonts w:ascii="inherit" w:eastAsia="宋体" w:hAnsi="inherit" w:cs="宋体" w:hint="eastAsia"/>
          <w:color w:val="888888"/>
          <w:kern w:val="0"/>
          <w:sz w:val="18"/>
          <w:szCs w:val="18"/>
        </w:rPr>
      </w:pPr>
      <w:r w:rsidRPr="00234A28">
        <w:rPr>
          <w:rFonts w:ascii="inherit" w:eastAsia="宋体" w:hAnsi="inherit" w:cs="宋体"/>
          <w:color w:val="888888"/>
          <w:kern w:val="0"/>
          <w:sz w:val="18"/>
          <w:szCs w:val="18"/>
        </w:rPr>
        <w:t>中国证监会</w:t>
      </w:r>
      <w:r w:rsidRPr="00234A28">
        <w:rPr>
          <w:rFonts w:ascii="inherit" w:eastAsia="宋体" w:hAnsi="inherit" w:cs="宋体"/>
          <w:color w:val="888888"/>
          <w:kern w:val="0"/>
          <w:sz w:val="18"/>
          <w:szCs w:val="18"/>
        </w:rPr>
        <w:t xml:space="preserve"> www.csrc.gov.cn </w:t>
      </w:r>
      <w:r w:rsidRPr="00234A28">
        <w:rPr>
          <w:rFonts w:ascii="inherit" w:eastAsia="宋体" w:hAnsi="inherit" w:cs="宋体"/>
          <w:color w:val="888888"/>
          <w:kern w:val="0"/>
          <w:sz w:val="18"/>
          <w:szCs w:val="18"/>
        </w:rPr>
        <w:t>时间：</w:t>
      </w:r>
      <w:r w:rsidRPr="00234A28">
        <w:rPr>
          <w:rFonts w:ascii="inherit" w:eastAsia="宋体" w:hAnsi="inherit" w:cs="宋体"/>
          <w:color w:val="888888"/>
          <w:kern w:val="0"/>
          <w:sz w:val="18"/>
          <w:szCs w:val="18"/>
        </w:rPr>
        <w:t xml:space="preserve">2006-05-14 </w:t>
      </w:r>
      <w:r w:rsidRPr="00234A28">
        <w:rPr>
          <w:rFonts w:ascii="inherit" w:eastAsia="宋体" w:hAnsi="inherit" w:cs="宋体"/>
          <w:color w:val="888888"/>
          <w:kern w:val="0"/>
          <w:sz w:val="18"/>
          <w:szCs w:val="18"/>
        </w:rPr>
        <w:t>来源：</w:t>
      </w:r>
      <w:r w:rsidRPr="00234A28">
        <w:rPr>
          <w:rFonts w:ascii="inherit" w:eastAsia="宋体" w:hAnsi="inherit" w:cs="宋体"/>
          <w:color w:val="888888"/>
          <w:kern w:val="0"/>
          <w:sz w:val="18"/>
          <w:szCs w:val="18"/>
        </w:rPr>
        <w:t xml:space="preserve"> </w:t>
      </w:r>
    </w:p>
    <w:p w:rsidR="00234A28" w:rsidRPr="00234A28" w:rsidRDefault="00234A28" w:rsidP="00234A28">
      <w:pPr>
        <w:widowControl/>
        <w:shd w:val="clear" w:color="auto" w:fill="FFFFFF"/>
        <w:spacing w:line="480" w:lineRule="auto"/>
        <w:jc w:val="center"/>
        <w:rPr>
          <w:rFonts w:ascii="inherit" w:eastAsia="宋体" w:hAnsi="inherit" w:cs="宋体" w:hint="eastAsia"/>
          <w:color w:val="333333"/>
          <w:kern w:val="0"/>
          <w:szCs w:val="21"/>
        </w:rPr>
      </w:pPr>
      <w:r w:rsidRPr="00234A28">
        <w:rPr>
          <w:rFonts w:ascii="宋体" w:eastAsia="宋体" w:hAnsi="宋体" w:cs="宋体"/>
          <w:color w:val="333333"/>
          <w:kern w:val="0"/>
          <w:szCs w:val="21"/>
        </w:rPr>
        <w:t>证</w:t>
      </w:r>
      <w:proofErr w:type="gramStart"/>
      <w:r w:rsidRPr="00234A28">
        <w:rPr>
          <w:rFonts w:ascii="宋体" w:eastAsia="宋体" w:hAnsi="宋体" w:cs="宋体"/>
          <w:color w:val="333333"/>
          <w:kern w:val="0"/>
          <w:szCs w:val="21"/>
        </w:rPr>
        <w:t>监基金字</w:t>
      </w:r>
      <w:proofErr w:type="gramEnd"/>
      <w:r w:rsidRPr="00234A28">
        <w:rPr>
          <w:rFonts w:ascii="宋体" w:eastAsia="宋体" w:hAnsi="宋体" w:cs="宋体"/>
          <w:color w:val="333333"/>
          <w:kern w:val="0"/>
          <w:szCs w:val="21"/>
        </w:rPr>
        <w:t>[2006]93号</w:t>
      </w:r>
    </w:p>
    <w:p w:rsidR="00234A28" w:rsidRPr="00234A28" w:rsidRDefault="00234A28" w:rsidP="00234A28">
      <w:pPr>
        <w:widowControl/>
        <w:shd w:val="clear" w:color="auto" w:fill="FFFFFF"/>
        <w:spacing w:line="480" w:lineRule="auto"/>
        <w:jc w:val="center"/>
        <w:rPr>
          <w:rFonts w:ascii="inherit" w:eastAsia="宋体" w:hAnsi="inherit" w:cs="宋体" w:hint="eastAsia"/>
          <w:color w:val="333333"/>
          <w:kern w:val="0"/>
          <w:szCs w:val="21"/>
        </w:rPr>
      </w:pPr>
      <w:r w:rsidRPr="00234A28">
        <w:rPr>
          <w:rFonts w:ascii="inherit" w:eastAsia="宋体" w:hAnsi="inherit" w:cs="宋体"/>
          <w:color w:val="333333"/>
          <w:kern w:val="0"/>
          <w:szCs w:val="21"/>
        </w:rPr>
        <w:t> </w:t>
      </w:r>
    </w:p>
    <w:p w:rsidR="00234A28" w:rsidRPr="00234A28" w:rsidRDefault="00234A28" w:rsidP="0039522C">
      <w:pPr>
        <w:widowControl/>
        <w:shd w:val="clear" w:color="auto" w:fill="FFFFFF"/>
        <w:spacing w:line="360" w:lineRule="auto"/>
        <w:jc w:val="left"/>
        <w:rPr>
          <w:rFonts w:ascii="inherit" w:eastAsia="宋体" w:hAnsi="inherit" w:cs="宋体" w:hint="eastAsia"/>
          <w:color w:val="333333"/>
          <w:kern w:val="0"/>
          <w:szCs w:val="21"/>
        </w:rPr>
      </w:pPr>
      <w:r w:rsidRPr="00234A28">
        <w:rPr>
          <w:rFonts w:ascii="宋体" w:eastAsia="宋体" w:hAnsi="宋体" w:cs="宋体"/>
          <w:color w:val="333333"/>
          <w:kern w:val="0"/>
          <w:szCs w:val="21"/>
        </w:rPr>
        <w:t xml:space="preserve">各基金管理公司、基金托管银行： </w:t>
      </w:r>
    </w:p>
    <w:p w:rsidR="00234A28" w:rsidRPr="00234A28" w:rsidRDefault="00234A28" w:rsidP="0039522C">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234A28">
        <w:rPr>
          <w:rFonts w:ascii="宋体" w:eastAsia="宋体" w:hAnsi="宋体" w:cs="宋体"/>
          <w:color w:val="333333"/>
          <w:kern w:val="0"/>
          <w:szCs w:val="21"/>
        </w:rPr>
        <w:t>为规范证券投资基金投资于资产支持证券的行为，保护基金份额持有人的利益，根据《证券投资基金法》、《证券投资基金运作管理办法》及其他有关规定，现将证券投资基金投资资产支持证券的有关事项通知如下：</w:t>
      </w:r>
    </w:p>
    <w:p w:rsidR="00234A28" w:rsidRPr="00234A28" w:rsidRDefault="00234A28" w:rsidP="0039522C">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234A28">
        <w:rPr>
          <w:rFonts w:ascii="宋体" w:eastAsia="宋体" w:hAnsi="宋体" w:cs="宋体"/>
          <w:color w:val="333333"/>
          <w:kern w:val="0"/>
          <w:szCs w:val="21"/>
        </w:rPr>
        <w:t>一、</w:t>
      </w:r>
      <w:r w:rsidRPr="0039522C">
        <w:rPr>
          <w:rFonts w:ascii="宋体" w:eastAsia="宋体" w:hAnsi="宋体" w:cs="宋体"/>
          <w:color w:val="FF0000"/>
          <w:kern w:val="0"/>
          <w:szCs w:val="21"/>
        </w:rPr>
        <w:t>本通知所称资产支持证券，是指符合中国人民银行、中国银行业监督管理委员会发布的《信贷资产证券化试点管理办法》规定的信贷资产支持证券和中国证券监督管理委员会（以下简称“中国证监会”）批准的企业资产支持证券类品种。</w:t>
      </w:r>
    </w:p>
    <w:p w:rsidR="00234A28" w:rsidRPr="00234A28" w:rsidRDefault="00234A28" w:rsidP="0039522C">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234A28">
        <w:rPr>
          <w:rFonts w:ascii="宋体" w:eastAsia="宋体" w:hAnsi="宋体" w:cs="宋体"/>
          <w:color w:val="333333"/>
          <w:kern w:val="0"/>
          <w:szCs w:val="21"/>
        </w:rPr>
        <w:t>二、证券投资基金投资的资产支持证券必须在</w:t>
      </w:r>
      <w:r w:rsidRPr="00234A28">
        <w:rPr>
          <w:rFonts w:ascii="宋体" w:eastAsia="宋体" w:hAnsi="宋体" w:cs="宋体"/>
          <w:b/>
          <w:color w:val="FF0000"/>
          <w:kern w:val="0"/>
          <w:szCs w:val="21"/>
        </w:rPr>
        <w:t>全国银行间债券交易市场或证券交易所交易。</w:t>
      </w:r>
    </w:p>
    <w:p w:rsidR="00234A28" w:rsidRPr="00234A28" w:rsidRDefault="00234A28" w:rsidP="0039522C">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234A28">
        <w:rPr>
          <w:rFonts w:ascii="宋体" w:eastAsia="宋体" w:hAnsi="宋体" w:cs="宋体"/>
          <w:color w:val="333333"/>
          <w:kern w:val="0"/>
          <w:szCs w:val="21"/>
        </w:rPr>
        <w:t>三、基金管理人应当根据本公司的投资管理能力、风险管理水平以及资产支持证券的风险特征，确定所管理的证券投资基金是否投资资产支持证券以及投资的具体品种和规模。</w:t>
      </w:r>
    </w:p>
    <w:p w:rsidR="00234A28" w:rsidRPr="00234A28" w:rsidRDefault="00234A28" w:rsidP="0039522C">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234A28">
        <w:rPr>
          <w:rFonts w:ascii="宋体" w:eastAsia="宋体" w:hAnsi="宋体" w:cs="宋体"/>
          <w:color w:val="333333"/>
          <w:kern w:val="0"/>
          <w:szCs w:val="21"/>
        </w:rPr>
        <w:t>四、证券投资基金在投资资产支持证券之前，基金管理人应当充分识别和评估可能面临的信用风险、利率风险、流动性风险、提前偿付风险、操作风险和法律风险，建立相应的风险评估流程，并制订相应的投资审批程序和风险控制制度。</w:t>
      </w:r>
    </w:p>
    <w:p w:rsidR="00234A28" w:rsidRPr="00234A28" w:rsidRDefault="00234A28" w:rsidP="0039522C">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234A28">
        <w:rPr>
          <w:rFonts w:ascii="宋体" w:eastAsia="宋体" w:hAnsi="宋体" w:cs="宋体"/>
          <w:color w:val="333333"/>
          <w:kern w:val="0"/>
          <w:szCs w:val="21"/>
        </w:rPr>
        <w:t>五、基金管理人应当将公司对资产支持证券的风险管理纳入其总体的风险管理体系。</w:t>
      </w:r>
    </w:p>
    <w:p w:rsidR="00234A28" w:rsidRPr="00234A28" w:rsidRDefault="00234A28" w:rsidP="0039522C">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234A28">
        <w:rPr>
          <w:rFonts w:ascii="宋体" w:eastAsia="宋体" w:hAnsi="宋体" w:cs="宋体"/>
          <w:color w:val="333333"/>
          <w:kern w:val="0"/>
          <w:szCs w:val="21"/>
        </w:rPr>
        <w:t>六、基金管理人拟投资资产支持证券的，应当遵守有关法律法规，符合基金合同的有关约定，将资产支持证券的投资方案和风险控制措施报中国证监会备案并公告。</w:t>
      </w:r>
    </w:p>
    <w:p w:rsidR="00234A28" w:rsidRPr="00234A28" w:rsidRDefault="00234A28" w:rsidP="0039522C">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234A28">
        <w:rPr>
          <w:rFonts w:ascii="宋体" w:eastAsia="宋体" w:hAnsi="宋体" w:cs="宋体"/>
          <w:color w:val="333333"/>
          <w:kern w:val="0"/>
          <w:szCs w:val="21"/>
        </w:rPr>
        <w:t>七、</w:t>
      </w:r>
      <w:r w:rsidRPr="00234A28">
        <w:rPr>
          <w:rFonts w:ascii="宋体" w:eastAsia="宋体" w:hAnsi="宋体" w:cs="宋体"/>
          <w:b/>
          <w:color w:val="FF0000"/>
          <w:kern w:val="0"/>
          <w:szCs w:val="21"/>
        </w:rPr>
        <w:t>单只证券投资基金持有的同一（指同一信用级别）资产支持证券的比例，不得超过该资产支持证券规模的10%。</w:t>
      </w:r>
    </w:p>
    <w:p w:rsidR="00234A28" w:rsidRPr="00234A28" w:rsidRDefault="00234A28" w:rsidP="0039522C">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234A28">
        <w:rPr>
          <w:rFonts w:ascii="宋体" w:eastAsia="宋体" w:hAnsi="宋体" w:cs="宋体"/>
          <w:color w:val="333333"/>
          <w:kern w:val="0"/>
          <w:szCs w:val="21"/>
        </w:rPr>
        <w:t>八、</w:t>
      </w:r>
      <w:r w:rsidRPr="00234A28">
        <w:rPr>
          <w:rFonts w:ascii="宋体" w:eastAsia="宋体" w:hAnsi="宋体" w:cs="宋体"/>
          <w:b/>
          <w:color w:val="FF0000"/>
          <w:kern w:val="0"/>
          <w:szCs w:val="21"/>
        </w:rPr>
        <w:t>单只证券投资基金投资于同一原始权益人的各类资产支持证券的比例，不得超过该基金资产净值的10%。</w:t>
      </w:r>
    </w:p>
    <w:p w:rsidR="00234A28" w:rsidRPr="00234A28" w:rsidRDefault="00234A28" w:rsidP="0039522C">
      <w:pPr>
        <w:widowControl/>
        <w:shd w:val="clear" w:color="auto" w:fill="FFFFFF"/>
        <w:spacing w:line="360" w:lineRule="auto"/>
        <w:ind w:firstLineChars="200" w:firstLine="420"/>
        <w:jc w:val="left"/>
        <w:rPr>
          <w:rFonts w:ascii="inherit" w:eastAsia="宋体" w:hAnsi="inherit" w:cs="宋体" w:hint="eastAsia"/>
          <w:b/>
          <w:color w:val="FF0000"/>
          <w:kern w:val="0"/>
          <w:szCs w:val="21"/>
        </w:rPr>
      </w:pPr>
      <w:r w:rsidRPr="00234A28">
        <w:rPr>
          <w:rFonts w:ascii="宋体" w:eastAsia="宋体" w:hAnsi="宋体" w:cs="宋体"/>
          <w:color w:val="333333"/>
          <w:kern w:val="0"/>
          <w:szCs w:val="21"/>
        </w:rPr>
        <w:t>九、</w:t>
      </w:r>
      <w:r w:rsidRPr="00234A28">
        <w:rPr>
          <w:rFonts w:ascii="宋体" w:eastAsia="宋体" w:hAnsi="宋体" w:cs="宋体"/>
          <w:b/>
          <w:color w:val="FF0000"/>
          <w:kern w:val="0"/>
          <w:szCs w:val="21"/>
        </w:rPr>
        <w:t>同一基金管理人管理的全部证券投资基金投资于同一原始权益人的各类资产支持证券，不得超过其各类资产支持证券合计规模的10%。</w:t>
      </w:r>
    </w:p>
    <w:p w:rsidR="00234A28" w:rsidRPr="00234A28" w:rsidRDefault="00234A28" w:rsidP="0039522C">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234A28">
        <w:rPr>
          <w:rFonts w:ascii="宋体" w:eastAsia="宋体" w:hAnsi="宋体" w:cs="宋体"/>
          <w:color w:val="333333"/>
          <w:kern w:val="0"/>
          <w:szCs w:val="21"/>
        </w:rPr>
        <w:lastRenderedPageBreak/>
        <w:t>十、</w:t>
      </w:r>
      <w:r w:rsidRPr="003D5651">
        <w:rPr>
          <w:rFonts w:ascii="宋体" w:eastAsia="宋体" w:hAnsi="宋体" w:cs="宋体"/>
          <w:b/>
          <w:color w:val="FF0000"/>
          <w:kern w:val="0"/>
          <w:szCs w:val="21"/>
          <w:highlight w:val="yellow"/>
        </w:rPr>
        <w:t>单只证券投资基金持有的</w:t>
      </w:r>
      <w:r w:rsidRPr="0015507F">
        <w:rPr>
          <w:rFonts w:ascii="宋体" w:eastAsia="宋体" w:hAnsi="宋体" w:cs="宋体"/>
          <w:b/>
          <w:color w:val="FF0000"/>
          <w:kern w:val="0"/>
          <w:szCs w:val="21"/>
        </w:rPr>
        <w:t>全部资产</w:t>
      </w:r>
      <w:r w:rsidRPr="003D5651">
        <w:rPr>
          <w:rFonts w:ascii="宋体" w:eastAsia="宋体" w:hAnsi="宋体" w:cs="宋体"/>
          <w:b/>
          <w:color w:val="FF0000"/>
          <w:kern w:val="0"/>
          <w:szCs w:val="21"/>
          <w:highlight w:val="yellow"/>
        </w:rPr>
        <w:t>支持证券，其市值不得超过该基金资产净值的20%，</w:t>
      </w:r>
      <w:r w:rsidRPr="00234A28">
        <w:rPr>
          <w:rFonts w:ascii="宋体" w:eastAsia="宋体" w:hAnsi="宋体" w:cs="宋体"/>
          <w:color w:val="333333"/>
          <w:kern w:val="0"/>
          <w:szCs w:val="21"/>
        </w:rPr>
        <w:t>中国证监会规定的特殊品种除外。</w:t>
      </w:r>
    </w:p>
    <w:p w:rsidR="00234A28" w:rsidRPr="00234A28" w:rsidRDefault="00234A28" w:rsidP="0039522C">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234A28">
        <w:rPr>
          <w:rFonts w:ascii="宋体" w:eastAsia="宋体" w:hAnsi="宋体" w:cs="宋体"/>
          <w:color w:val="333333"/>
          <w:kern w:val="0"/>
          <w:szCs w:val="21"/>
        </w:rPr>
        <w:t>十一、因市场波动、基金规模变动等基金管理人之外的因素致使证券投资基金投资资产支持证券不符合第八条、第十条规定的比例，基金管理人应当在10交易日内调整完毕。</w:t>
      </w:r>
    </w:p>
    <w:p w:rsidR="00234A28" w:rsidRPr="00234A28" w:rsidRDefault="00234A28" w:rsidP="0039522C">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234A28">
        <w:rPr>
          <w:rFonts w:ascii="宋体" w:eastAsia="宋体" w:hAnsi="宋体" w:cs="宋体"/>
          <w:color w:val="333333"/>
          <w:kern w:val="0"/>
          <w:szCs w:val="21"/>
        </w:rPr>
        <w:t>十二、货币市场基金可投资于剩余期限在</w:t>
      </w:r>
      <w:r w:rsidRPr="00234A28">
        <w:rPr>
          <w:rFonts w:ascii="宋体" w:eastAsia="宋体" w:hAnsi="宋体" w:cs="宋体"/>
          <w:b/>
          <w:color w:val="FF0000"/>
          <w:kern w:val="0"/>
          <w:szCs w:val="21"/>
        </w:rPr>
        <w:t>397天以内（含397天）的资产支持证券。</w:t>
      </w:r>
      <w:r w:rsidRPr="00234A28">
        <w:rPr>
          <w:rFonts w:ascii="宋体" w:eastAsia="宋体" w:hAnsi="宋体" w:cs="宋体"/>
          <w:color w:val="333333"/>
          <w:kern w:val="0"/>
          <w:szCs w:val="21"/>
        </w:rPr>
        <w:t>债券基金、股票基金、混合基金等其他类别的基金投资于资产支持证券的期限，依照中国证监会的相关规定和基金合同中的约定执行。</w:t>
      </w:r>
    </w:p>
    <w:p w:rsidR="00234A28" w:rsidRPr="00234A28" w:rsidRDefault="00234A28" w:rsidP="0039522C">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234A28">
        <w:rPr>
          <w:rFonts w:ascii="宋体" w:eastAsia="宋体" w:hAnsi="宋体" w:cs="宋体"/>
          <w:color w:val="333333"/>
          <w:kern w:val="0"/>
          <w:szCs w:val="21"/>
        </w:rPr>
        <w:t>浮动利率资产支持证券的剩余期限以计算日至下一个利率调整日的实际剩余天数计算。</w:t>
      </w:r>
    </w:p>
    <w:p w:rsidR="00234A28" w:rsidRPr="00234A28" w:rsidRDefault="00234A28" w:rsidP="0039522C">
      <w:pPr>
        <w:widowControl/>
        <w:shd w:val="clear" w:color="auto" w:fill="FFFFFF"/>
        <w:spacing w:line="360" w:lineRule="auto"/>
        <w:jc w:val="left"/>
        <w:rPr>
          <w:rFonts w:ascii="inherit" w:eastAsia="宋体" w:hAnsi="inherit" w:cs="宋体" w:hint="eastAsia"/>
          <w:color w:val="333333"/>
          <w:kern w:val="0"/>
          <w:szCs w:val="21"/>
        </w:rPr>
      </w:pPr>
      <w:r w:rsidRPr="00234A28">
        <w:rPr>
          <w:rFonts w:ascii="宋体" w:eastAsia="宋体" w:hAnsi="宋体" w:cs="宋体"/>
          <w:color w:val="333333"/>
          <w:kern w:val="0"/>
          <w:szCs w:val="21"/>
        </w:rPr>
        <w:t>十三、证券投资基金投资的资产支持证券须具有评级资质的资信评级机构进行持续信用评级。</w:t>
      </w:r>
    </w:p>
    <w:p w:rsidR="00234A28" w:rsidRPr="00234A28" w:rsidRDefault="00234A28" w:rsidP="0039522C">
      <w:pPr>
        <w:widowControl/>
        <w:shd w:val="clear" w:color="auto" w:fill="FFFFFF"/>
        <w:spacing w:line="360" w:lineRule="auto"/>
        <w:jc w:val="left"/>
        <w:rPr>
          <w:rFonts w:ascii="inherit" w:eastAsia="宋体" w:hAnsi="inherit" w:cs="宋体" w:hint="eastAsia"/>
          <w:color w:val="333333"/>
          <w:kern w:val="0"/>
          <w:szCs w:val="21"/>
        </w:rPr>
      </w:pPr>
      <w:r w:rsidRPr="00234A28">
        <w:rPr>
          <w:rFonts w:ascii="宋体" w:eastAsia="宋体" w:hAnsi="宋体" w:cs="宋体"/>
          <w:color w:val="333333"/>
          <w:kern w:val="0"/>
          <w:szCs w:val="21"/>
        </w:rPr>
        <w:t>货币市场基金投资的资产支持证券的信用评级，应不低于国内信用评级机构评定</w:t>
      </w:r>
      <w:r w:rsidRPr="00234A28">
        <w:rPr>
          <w:rFonts w:ascii="宋体" w:eastAsia="宋体" w:hAnsi="宋体" w:cs="宋体"/>
          <w:b/>
          <w:color w:val="FF0000"/>
          <w:kern w:val="0"/>
          <w:szCs w:val="21"/>
        </w:rPr>
        <w:t>的AAA级或相当于AAA级的信用级别。</w:t>
      </w:r>
      <w:r w:rsidRPr="00234A28">
        <w:rPr>
          <w:rFonts w:ascii="宋体" w:eastAsia="宋体" w:hAnsi="宋体" w:cs="宋体"/>
          <w:color w:val="333333"/>
          <w:kern w:val="0"/>
          <w:szCs w:val="21"/>
        </w:rPr>
        <w:t>其他类别的证券投资基金投资于资产支持证券，根据基金合同制订相应的证券信用级别限制，</w:t>
      </w:r>
      <w:proofErr w:type="gramStart"/>
      <w:r w:rsidRPr="00234A28">
        <w:rPr>
          <w:rFonts w:ascii="宋体" w:eastAsia="宋体" w:hAnsi="宋体" w:cs="宋体"/>
          <w:color w:val="333333"/>
          <w:kern w:val="0"/>
          <w:szCs w:val="21"/>
        </w:rPr>
        <w:t>若基金</w:t>
      </w:r>
      <w:proofErr w:type="gramEnd"/>
      <w:r w:rsidRPr="00234A28">
        <w:rPr>
          <w:rFonts w:ascii="宋体" w:eastAsia="宋体" w:hAnsi="宋体" w:cs="宋体"/>
          <w:color w:val="333333"/>
          <w:kern w:val="0"/>
          <w:szCs w:val="21"/>
        </w:rPr>
        <w:t>合同未订</w:t>
      </w:r>
      <w:proofErr w:type="gramStart"/>
      <w:r w:rsidRPr="00234A28">
        <w:rPr>
          <w:rFonts w:ascii="宋体" w:eastAsia="宋体" w:hAnsi="宋体" w:cs="宋体"/>
          <w:color w:val="333333"/>
          <w:kern w:val="0"/>
          <w:szCs w:val="21"/>
        </w:rPr>
        <w:t>明相应</w:t>
      </w:r>
      <w:proofErr w:type="gramEnd"/>
      <w:r w:rsidRPr="00234A28">
        <w:rPr>
          <w:rFonts w:ascii="宋体" w:eastAsia="宋体" w:hAnsi="宋体" w:cs="宋体"/>
          <w:color w:val="333333"/>
          <w:kern w:val="0"/>
          <w:szCs w:val="21"/>
        </w:rPr>
        <w:t>的证券信用级别限制，应投资于信用级别评级</w:t>
      </w:r>
      <w:r w:rsidRPr="00234A28">
        <w:rPr>
          <w:rFonts w:ascii="宋体" w:eastAsia="宋体" w:hAnsi="宋体" w:cs="宋体"/>
          <w:b/>
          <w:color w:val="FF0000"/>
          <w:kern w:val="0"/>
          <w:szCs w:val="21"/>
        </w:rPr>
        <w:t>为BBB以上（含BBB）的资产支持证券。</w:t>
      </w:r>
    </w:p>
    <w:p w:rsidR="00234A28" w:rsidRPr="0039522C" w:rsidRDefault="00234A28" w:rsidP="0039522C">
      <w:pPr>
        <w:widowControl/>
        <w:shd w:val="clear" w:color="auto" w:fill="FFFFFF"/>
        <w:spacing w:line="360" w:lineRule="auto"/>
        <w:ind w:firstLineChars="200" w:firstLine="422"/>
        <w:jc w:val="left"/>
        <w:rPr>
          <w:rFonts w:ascii="inherit" w:eastAsia="宋体" w:hAnsi="inherit" w:cs="宋体" w:hint="eastAsia"/>
          <w:b/>
          <w:color w:val="FF0000"/>
          <w:kern w:val="0"/>
          <w:szCs w:val="21"/>
        </w:rPr>
      </w:pPr>
      <w:bookmarkStart w:id="0" w:name="_GoBack"/>
      <w:r w:rsidRPr="0039522C">
        <w:rPr>
          <w:rFonts w:ascii="宋体" w:eastAsia="宋体" w:hAnsi="宋体" w:cs="宋体"/>
          <w:b/>
          <w:color w:val="FF0000"/>
          <w:kern w:val="0"/>
          <w:szCs w:val="21"/>
          <w:highlight w:val="yellow"/>
        </w:rPr>
        <w:t>证券投资基金持有资产支持证券期间，如果其信用等级下降、不再符合投资标准，应在评级报告发布之日起3个月内予以全部卖出。</w:t>
      </w:r>
    </w:p>
    <w:bookmarkEnd w:id="0"/>
    <w:p w:rsidR="00234A28" w:rsidRPr="00234A28" w:rsidRDefault="00234A28" w:rsidP="0039522C">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234A28">
        <w:rPr>
          <w:rFonts w:ascii="宋体" w:eastAsia="宋体" w:hAnsi="宋体" w:cs="宋体"/>
          <w:color w:val="333333"/>
          <w:kern w:val="0"/>
          <w:szCs w:val="21"/>
        </w:rPr>
        <w:t>十四、证券投资基金投资资产支持证券应当按照公允原则进行估值，其中货币市场基金或中国证监会规定的其他类别基金可采用摊</w:t>
      </w:r>
      <w:proofErr w:type="gramStart"/>
      <w:r w:rsidRPr="00234A28">
        <w:rPr>
          <w:rFonts w:ascii="宋体" w:eastAsia="宋体" w:hAnsi="宋体" w:cs="宋体"/>
          <w:color w:val="333333"/>
          <w:kern w:val="0"/>
          <w:szCs w:val="21"/>
        </w:rPr>
        <w:t>余成本</w:t>
      </w:r>
      <w:proofErr w:type="gramEnd"/>
      <w:r w:rsidRPr="00234A28">
        <w:rPr>
          <w:rFonts w:ascii="宋体" w:eastAsia="宋体" w:hAnsi="宋体" w:cs="宋体"/>
          <w:color w:val="333333"/>
          <w:kern w:val="0"/>
          <w:szCs w:val="21"/>
        </w:rPr>
        <w:t>法估值。</w:t>
      </w:r>
    </w:p>
    <w:p w:rsidR="00234A28" w:rsidRPr="00234A28" w:rsidRDefault="00234A28" w:rsidP="0039522C">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234A28">
        <w:rPr>
          <w:rFonts w:ascii="宋体" w:eastAsia="宋体" w:hAnsi="宋体" w:cs="宋体"/>
          <w:color w:val="333333"/>
          <w:kern w:val="0"/>
          <w:szCs w:val="21"/>
        </w:rPr>
        <w:t>十五、中国证监会或经中国证监会认可的机构可召集基金管理公司成立资产支持证券估值小组，确定资产支持证券的估值方法、剩余期限</w:t>
      </w:r>
      <w:proofErr w:type="gramStart"/>
      <w:r w:rsidRPr="00234A28">
        <w:rPr>
          <w:rFonts w:ascii="宋体" w:eastAsia="宋体" w:hAnsi="宋体" w:cs="宋体"/>
          <w:color w:val="333333"/>
          <w:kern w:val="0"/>
          <w:szCs w:val="21"/>
        </w:rPr>
        <w:t>和久期计算方法</w:t>
      </w:r>
      <w:proofErr w:type="gramEnd"/>
      <w:r w:rsidRPr="00234A28">
        <w:rPr>
          <w:rFonts w:ascii="宋体" w:eastAsia="宋体" w:hAnsi="宋体" w:cs="宋体"/>
          <w:color w:val="333333"/>
          <w:kern w:val="0"/>
          <w:szCs w:val="21"/>
        </w:rPr>
        <w:t>等事项，或者委托独立的第三方机构对资产支持证券进行报价。在成立估值小组或委托</w:t>
      </w:r>
      <w:proofErr w:type="gramStart"/>
      <w:r w:rsidRPr="00234A28">
        <w:rPr>
          <w:rFonts w:ascii="宋体" w:eastAsia="宋体" w:hAnsi="宋体" w:cs="宋体"/>
          <w:color w:val="333333"/>
          <w:kern w:val="0"/>
          <w:szCs w:val="21"/>
        </w:rPr>
        <w:t>独立第三</w:t>
      </w:r>
      <w:proofErr w:type="gramEnd"/>
      <w:r w:rsidRPr="00234A28">
        <w:rPr>
          <w:rFonts w:ascii="宋体" w:eastAsia="宋体" w:hAnsi="宋体" w:cs="宋体"/>
          <w:color w:val="333333"/>
          <w:kern w:val="0"/>
          <w:szCs w:val="21"/>
        </w:rPr>
        <w:t>方机构对资产支持证券报价之前，基金管理人拟投资资产支持证券的，应当与基金托管人协商确定资产支持证券的估值方法。</w:t>
      </w:r>
    </w:p>
    <w:p w:rsidR="00234A28" w:rsidRPr="00234A28" w:rsidRDefault="00234A28" w:rsidP="0039522C">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234A28">
        <w:rPr>
          <w:rFonts w:ascii="宋体" w:eastAsia="宋体" w:hAnsi="宋体" w:cs="宋体"/>
          <w:color w:val="333333"/>
          <w:kern w:val="0"/>
          <w:szCs w:val="21"/>
        </w:rPr>
        <w:t>十六、基金管理人应当依法披露其所管理的证券投资基金投资资产支持证券的情况，并保证所披露信息的真实性、准确性和完整性，不得有虚假记载、误导性陈述和重大遗漏。</w:t>
      </w:r>
    </w:p>
    <w:p w:rsidR="00234A28" w:rsidRPr="00234A28" w:rsidRDefault="00234A28" w:rsidP="0039522C">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234A28">
        <w:rPr>
          <w:rFonts w:ascii="宋体" w:eastAsia="宋体" w:hAnsi="宋体" w:cs="宋体"/>
          <w:color w:val="333333"/>
          <w:kern w:val="0"/>
          <w:szCs w:val="21"/>
        </w:rPr>
        <w:t>十七、基金管理人应在基金</w:t>
      </w:r>
      <w:r w:rsidRPr="00234A28">
        <w:rPr>
          <w:rFonts w:ascii="宋体" w:eastAsia="宋体" w:hAnsi="宋体" w:cs="宋体"/>
          <w:b/>
          <w:color w:val="FF0000"/>
          <w:kern w:val="0"/>
          <w:szCs w:val="21"/>
        </w:rPr>
        <w:t>年报及半年报中</w:t>
      </w:r>
      <w:r w:rsidRPr="00234A28">
        <w:rPr>
          <w:rFonts w:ascii="宋体" w:eastAsia="宋体" w:hAnsi="宋体" w:cs="宋体"/>
          <w:color w:val="333333"/>
          <w:kern w:val="0"/>
          <w:szCs w:val="21"/>
        </w:rPr>
        <w:t>披露其持有的资产支持证券总额、资产支持证券市值占基金净资产的比例和报告期内所有的资产支持证券明细。</w:t>
      </w:r>
    </w:p>
    <w:p w:rsidR="00234A28" w:rsidRPr="00234A28" w:rsidRDefault="00234A28" w:rsidP="0039522C">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234A28">
        <w:rPr>
          <w:rFonts w:ascii="宋体" w:eastAsia="宋体" w:hAnsi="宋体" w:cs="宋体"/>
          <w:color w:val="333333"/>
          <w:kern w:val="0"/>
          <w:szCs w:val="21"/>
        </w:rPr>
        <w:t>十八、基金管理人应在基金季度报告中披露其持有的资产支持证券总额、资产支持证券市值占基金净资产的比例和报告期末按市值占基金净资产比例大小排序的前10名资产支持证券明细。</w:t>
      </w:r>
    </w:p>
    <w:p w:rsidR="00544585" w:rsidRDefault="00234A28" w:rsidP="0039522C">
      <w:pPr>
        <w:widowControl/>
        <w:shd w:val="clear" w:color="auto" w:fill="FFFFFF"/>
        <w:spacing w:line="360" w:lineRule="auto"/>
        <w:jc w:val="left"/>
      </w:pPr>
      <w:r w:rsidRPr="00234A28">
        <w:rPr>
          <w:rFonts w:ascii="宋体" w:eastAsia="宋体" w:hAnsi="宋体" w:cs="宋体"/>
          <w:color w:val="333333"/>
          <w:kern w:val="0"/>
          <w:szCs w:val="21"/>
        </w:rPr>
        <w:t>十九、本通知自发布之日起施行。</w:t>
      </w:r>
    </w:p>
    <w:sectPr w:rsidR="005445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7941" w:rsidRDefault="00547941" w:rsidP="0039522C">
      <w:r>
        <w:separator/>
      </w:r>
    </w:p>
  </w:endnote>
  <w:endnote w:type="continuationSeparator" w:id="0">
    <w:p w:rsidR="00547941" w:rsidRDefault="00547941" w:rsidP="00395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7941" w:rsidRDefault="00547941" w:rsidP="0039522C">
      <w:r>
        <w:separator/>
      </w:r>
    </w:p>
  </w:footnote>
  <w:footnote w:type="continuationSeparator" w:id="0">
    <w:p w:rsidR="00547941" w:rsidRDefault="00547941" w:rsidP="003952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A28"/>
    <w:rsid w:val="0015507F"/>
    <w:rsid w:val="00234A28"/>
    <w:rsid w:val="0039522C"/>
    <w:rsid w:val="003D5651"/>
    <w:rsid w:val="003E5272"/>
    <w:rsid w:val="0041007A"/>
    <w:rsid w:val="00544585"/>
    <w:rsid w:val="005479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952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522C"/>
    <w:rPr>
      <w:sz w:val="18"/>
      <w:szCs w:val="18"/>
    </w:rPr>
  </w:style>
  <w:style w:type="paragraph" w:styleId="a4">
    <w:name w:val="footer"/>
    <w:basedOn w:val="a"/>
    <w:link w:val="Char0"/>
    <w:uiPriority w:val="99"/>
    <w:unhideWhenUsed/>
    <w:rsid w:val="0039522C"/>
    <w:pPr>
      <w:tabs>
        <w:tab w:val="center" w:pos="4153"/>
        <w:tab w:val="right" w:pos="8306"/>
      </w:tabs>
      <w:snapToGrid w:val="0"/>
      <w:jc w:val="left"/>
    </w:pPr>
    <w:rPr>
      <w:sz w:val="18"/>
      <w:szCs w:val="18"/>
    </w:rPr>
  </w:style>
  <w:style w:type="character" w:customStyle="1" w:styleId="Char0">
    <w:name w:val="页脚 Char"/>
    <w:basedOn w:val="a0"/>
    <w:link w:val="a4"/>
    <w:uiPriority w:val="99"/>
    <w:rsid w:val="0039522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952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522C"/>
    <w:rPr>
      <w:sz w:val="18"/>
      <w:szCs w:val="18"/>
    </w:rPr>
  </w:style>
  <w:style w:type="paragraph" w:styleId="a4">
    <w:name w:val="footer"/>
    <w:basedOn w:val="a"/>
    <w:link w:val="Char0"/>
    <w:uiPriority w:val="99"/>
    <w:unhideWhenUsed/>
    <w:rsid w:val="0039522C"/>
    <w:pPr>
      <w:tabs>
        <w:tab w:val="center" w:pos="4153"/>
        <w:tab w:val="right" w:pos="8306"/>
      </w:tabs>
      <w:snapToGrid w:val="0"/>
      <w:jc w:val="left"/>
    </w:pPr>
    <w:rPr>
      <w:sz w:val="18"/>
      <w:szCs w:val="18"/>
    </w:rPr>
  </w:style>
  <w:style w:type="character" w:customStyle="1" w:styleId="Char0">
    <w:name w:val="页脚 Char"/>
    <w:basedOn w:val="a0"/>
    <w:link w:val="a4"/>
    <w:uiPriority w:val="99"/>
    <w:rsid w:val="003952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0268339">
      <w:bodyDiv w:val="1"/>
      <w:marLeft w:val="0"/>
      <w:marRight w:val="0"/>
      <w:marTop w:val="0"/>
      <w:marBottom w:val="0"/>
      <w:divBdr>
        <w:top w:val="none" w:sz="0" w:space="0" w:color="auto"/>
        <w:left w:val="none" w:sz="0" w:space="0" w:color="auto"/>
        <w:bottom w:val="none" w:sz="0" w:space="0" w:color="auto"/>
        <w:right w:val="none" w:sz="0" w:space="0" w:color="auto"/>
      </w:divBdr>
      <w:divsChild>
        <w:div w:id="1119422097">
          <w:marLeft w:val="0"/>
          <w:marRight w:val="0"/>
          <w:marTop w:val="0"/>
          <w:marBottom w:val="0"/>
          <w:divBdr>
            <w:top w:val="none" w:sz="0" w:space="0" w:color="auto"/>
            <w:left w:val="none" w:sz="0" w:space="0" w:color="auto"/>
            <w:bottom w:val="none" w:sz="0" w:space="0" w:color="auto"/>
            <w:right w:val="none" w:sz="0" w:space="0" w:color="auto"/>
          </w:divBdr>
          <w:divsChild>
            <w:div w:id="1263219567">
              <w:marLeft w:val="0"/>
              <w:marRight w:val="0"/>
              <w:marTop w:val="0"/>
              <w:marBottom w:val="0"/>
              <w:divBdr>
                <w:top w:val="none" w:sz="0" w:space="0" w:color="auto"/>
                <w:left w:val="none" w:sz="0" w:space="0" w:color="auto"/>
                <w:bottom w:val="none" w:sz="0" w:space="0" w:color="auto"/>
                <w:right w:val="none" w:sz="0" w:space="0" w:color="auto"/>
              </w:divBdr>
              <w:divsChild>
                <w:div w:id="1193954254">
                  <w:marLeft w:val="105"/>
                  <w:marRight w:val="105"/>
                  <w:marTop w:val="0"/>
                  <w:marBottom w:val="0"/>
                  <w:divBdr>
                    <w:top w:val="none" w:sz="0" w:space="0" w:color="auto"/>
                    <w:left w:val="none" w:sz="0" w:space="0" w:color="auto"/>
                    <w:bottom w:val="none" w:sz="0" w:space="0" w:color="auto"/>
                    <w:right w:val="none" w:sz="0" w:space="0" w:color="auto"/>
                  </w:divBdr>
                  <w:divsChild>
                    <w:div w:id="2129347233">
                      <w:marLeft w:val="0"/>
                      <w:marRight w:val="0"/>
                      <w:marTop w:val="0"/>
                      <w:marBottom w:val="0"/>
                      <w:divBdr>
                        <w:top w:val="none" w:sz="0" w:space="0" w:color="auto"/>
                        <w:left w:val="none" w:sz="0" w:space="0" w:color="auto"/>
                        <w:bottom w:val="none" w:sz="0" w:space="0" w:color="auto"/>
                        <w:right w:val="none" w:sz="0" w:space="0" w:color="auto"/>
                      </w:divBdr>
                      <w:divsChild>
                        <w:div w:id="834343227">
                          <w:marLeft w:val="0"/>
                          <w:marRight w:val="0"/>
                          <w:marTop w:val="0"/>
                          <w:marBottom w:val="0"/>
                          <w:divBdr>
                            <w:top w:val="none" w:sz="0" w:space="0" w:color="auto"/>
                            <w:left w:val="none" w:sz="0" w:space="0" w:color="auto"/>
                            <w:bottom w:val="single" w:sz="12" w:space="11" w:color="CCCCCC"/>
                            <w:right w:val="none" w:sz="0" w:space="0" w:color="auto"/>
                          </w:divBdr>
                        </w:div>
                        <w:div w:id="576747430">
                          <w:marLeft w:val="0"/>
                          <w:marRight w:val="0"/>
                          <w:marTop w:val="0"/>
                          <w:marBottom w:val="300"/>
                          <w:divBdr>
                            <w:top w:val="none" w:sz="0" w:space="0" w:color="auto"/>
                            <w:left w:val="none" w:sz="0" w:space="0" w:color="auto"/>
                            <w:bottom w:val="none" w:sz="0" w:space="0" w:color="auto"/>
                            <w:right w:val="none" w:sz="0" w:space="0" w:color="auto"/>
                          </w:divBdr>
                        </w:div>
                        <w:div w:id="128130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268</Words>
  <Characters>1532</Characters>
  <Application>Microsoft Office Word</Application>
  <DocSecurity>0</DocSecurity>
  <Lines>12</Lines>
  <Paragraphs>3</Paragraphs>
  <ScaleCrop>false</ScaleCrop>
  <Company/>
  <LinksUpToDate>false</LinksUpToDate>
  <CharactersWithSpaces>1797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李绍</cp:lastModifiedBy>
  <cp:revision>5</cp:revision>
  <dcterms:created xsi:type="dcterms:W3CDTF">2016-03-14T07:53:00Z</dcterms:created>
  <dcterms:modified xsi:type="dcterms:W3CDTF">2016-03-24T02:19:00Z</dcterms:modified>
</cp:coreProperties>
</file>