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54" w:rsidRPr="00764E54" w:rsidRDefault="00764E54" w:rsidP="00764E54">
      <w:pPr>
        <w:widowControl/>
        <w:shd w:val="clear" w:color="auto" w:fill="FFFFFF"/>
        <w:spacing w:line="525" w:lineRule="atLeast"/>
        <w:jc w:val="center"/>
        <w:rPr>
          <w:rFonts w:ascii="微软雅黑" w:eastAsia="微软雅黑" w:hAnsi="微软雅黑" w:cs="宋体"/>
          <w:b/>
          <w:bCs/>
          <w:color w:val="0C5CB1"/>
          <w:kern w:val="0"/>
          <w:sz w:val="30"/>
          <w:szCs w:val="30"/>
        </w:rPr>
      </w:pPr>
      <w:r w:rsidRPr="00764E54">
        <w:rPr>
          <w:rFonts w:ascii="微软雅黑" w:eastAsia="微软雅黑" w:hAnsi="微软雅黑" w:cs="宋体" w:hint="eastAsia"/>
          <w:b/>
          <w:bCs/>
          <w:color w:val="0C5CB1"/>
          <w:kern w:val="0"/>
          <w:sz w:val="30"/>
          <w:szCs w:val="30"/>
        </w:rPr>
        <w:t>关于股权分置改革中证券投资基金投资权证有关问题的通知</w:t>
      </w:r>
    </w:p>
    <w:p w:rsidR="00764E54" w:rsidRPr="00764E54" w:rsidRDefault="00764E54" w:rsidP="00764E54">
      <w:pPr>
        <w:widowControl/>
        <w:shd w:val="clear" w:color="auto" w:fill="FFFFFF"/>
        <w:spacing w:line="480" w:lineRule="auto"/>
        <w:jc w:val="center"/>
        <w:rPr>
          <w:rFonts w:ascii="inherit" w:eastAsia="宋体" w:hAnsi="inherit" w:cs="宋体" w:hint="eastAsia"/>
          <w:color w:val="888888"/>
          <w:kern w:val="0"/>
          <w:sz w:val="18"/>
          <w:szCs w:val="18"/>
        </w:rPr>
      </w:pPr>
      <w:r w:rsidRPr="00764E54">
        <w:rPr>
          <w:rFonts w:ascii="inherit" w:eastAsia="宋体" w:hAnsi="inherit" w:cs="宋体"/>
          <w:color w:val="888888"/>
          <w:kern w:val="0"/>
          <w:sz w:val="18"/>
          <w:szCs w:val="18"/>
        </w:rPr>
        <w:t>中国证监会</w:t>
      </w:r>
      <w:r w:rsidRPr="00764E54">
        <w:rPr>
          <w:rFonts w:ascii="inherit" w:eastAsia="宋体" w:hAnsi="inherit" w:cs="宋体"/>
          <w:color w:val="888888"/>
          <w:kern w:val="0"/>
          <w:sz w:val="18"/>
          <w:szCs w:val="18"/>
        </w:rPr>
        <w:t xml:space="preserve"> www.csrc.gov.cn </w:t>
      </w:r>
      <w:r w:rsidRPr="00764E54">
        <w:rPr>
          <w:rFonts w:ascii="inherit" w:eastAsia="宋体" w:hAnsi="inherit" w:cs="宋体"/>
          <w:color w:val="888888"/>
          <w:kern w:val="0"/>
          <w:sz w:val="18"/>
          <w:szCs w:val="18"/>
        </w:rPr>
        <w:t>时间：</w:t>
      </w:r>
      <w:r w:rsidRPr="00764E54">
        <w:rPr>
          <w:rFonts w:ascii="inherit" w:eastAsia="宋体" w:hAnsi="inherit" w:cs="宋体"/>
          <w:color w:val="888888"/>
          <w:kern w:val="0"/>
          <w:sz w:val="18"/>
          <w:szCs w:val="18"/>
        </w:rPr>
        <w:t xml:space="preserve">2005-08-15 </w:t>
      </w:r>
      <w:r w:rsidRPr="00764E54">
        <w:rPr>
          <w:rFonts w:ascii="inherit" w:eastAsia="宋体" w:hAnsi="inherit" w:cs="宋体"/>
          <w:color w:val="888888"/>
          <w:kern w:val="0"/>
          <w:sz w:val="18"/>
          <w:szCs w:val="18"/>
        </w:rPr>
        <w:t>来源：</w:t>
      </w:r>
      <w:r w:rsidRPr="00764E54">
        <w:rPr>
          <w:rFonts w:ascii="inherit" w:eastAsia="宋体" w:hAnsi="inherit" w:cs="宋体"/>
          <w:color w:val="888888"/>
          <w:kern w:val="0"/>
          <w:sz w:val="18"/>
          <w:szCs w:val="18"/>
        </w:rPr>
        <w:t xml:space="preserve"> </w:t>
      </w:r>
    </w:p>
    <w:p w:rsidR="00764E54" w:rsidRPr="00764E54" w:rsidRDefault="00764E54" w:rsidP="00764E54">
      <w:pPr>
        <w:widowControl/>
        <w:shd w:val="clear" w:color="auto" w:fill="FFFFFF"/>
        <w:snapToGrid w:val="0"/>
        <w:spacing w:after="90"/>
        <w:ind w:firstLine="420"/>
        <w:jc w:val="center"/>
        <w:rPr>
          <w:rFonts w:ascii="宋体" w:eastAsia="宋体" w:hAnsi="宋体" w:cs="宋体"/>
          <w:color w:val="333333"/>
          <w:kern w:val="0"/>
          <w:szCs w:val="21"/>
        </w:rPr>
      </w:pPr>
      <w:r w:rsidRPr="00764E54">
        <w:rPr>
          <w:rFonts w:ascii="黑体" w:eastAsia="黑体" w:hAnsi="黑体" w:cs="宋体" w:hint="eastAsia"/>
          <w:color w:val="333333"/>
          <w:kern w:val="0"/>
          <w:sz w:val="24"/>
          <w:szCs w:val="24"/>
        </w:rPr>
        <w:t>证</w:t>
      </w:r>
      <w:proofErr w:type="gramStart"/>
      <w:r w:rsidRPr="00764E54">
        <w:rPr>
          <w:rFonts w:ascii="黑体" w:eastAsia="黑体" w:hAnsi="黑体" w:cs="宋体" w:hint="eastAsia"/>
          <w:color w:val="333333"/>
          <w:kern w:val="0"/>
          <w:sz w:val="24"/>
          <w:szCs w:val="24"/>
        </w:rPr>
        <w:t>监基金字</w:t>
      </w:r>
      <w:proofErr w:type="gramEnd"/>
      <w:r w:rsidRPr="00764E54">
        <w:rPr>
          <w:rFonts w:ascii="黑体" w:eastAsia="黑体" w:hAnsi="黑体" w:cs="宋体" w:hint="eastAsia"/>
          <w:color w:val="333333"/>
          <w:kern w:val="0"/>
          <w:sz w:val="24"/>
          <w:szCs w:val="24"/>
        </w:rPr>
        <w:t>〔2005〕138 号</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各基金管理公司、基金托管银行：</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上市公司股权分置改革试点工作启动以来，部分上市公司推出了派送权证的方案。作为一种证券品种，权证有其自身的运行特点。对于证券投资基金（以下简称“基金”）投资权证的问题，应当在试点的基础上逐步开展，待积累一定经验以后，再根据市场情况作进一步规定。目前，为规范基金的投资运作，保护基金份额持有人的合法权益，根据《证券投资基金法》、《证券投资基金运作管理办法》及其他有关规定，现将股权分置改革中基金管理人运用基金财产投资权证试点的有关问题通知如下：</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一、基金可以持有在股权分置改革中</w:t>
      </w:r>
      <w:r w:rsidRPr="00B6299B">
        <w:rPr>
          <w:rFonts w:ascii="宋体" w:eastAsia="宋体" w:hAnsi="宋体" w:cs="宋体" w:hint="eastAsia"/>
          <w:b/>
          <w:color w:val="FF0000"/>
          <w:kern w:val="0"/>
          <w:szCs w:val="21"/>
        </w:rPr>
        <w:t>被动获得的权证</w:t>
      </w:r>
      <w:r w:rsidRPr="00B6299B">
        <w:rPr>
          <w:rFonts w:ascii="宋体" w:eastAsia="宋体" w:hAnsi="宋体" w:cs="宋体" w:hint="eastAsia"/>
          <w:color w:val="000000" w:themeColor="text1"/>
          <w:kern w:val="0"/>
          <w:szCs w:val="21"/>
        </w:rPr>
        <w:t>，并可以根据证券交易所的有关规定卖出该部分权证或行权。</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二、基金可以</w:t>
      </w:r>
      <w:r w:rsidRPr="00B6299B">
        <w:rPr>
          <w:rFonts w:ascii="宋体" w:eastAsia="宋体" w:hAnsi="宋体" w:cs="宋体" w:hint="eastAsia"/>
          <w:b/>
          <w:color w:val="FF0000"/>
          <w:kern w:val="0"/>
          <w:szCs w:val="21"/>
        </w:rPr>
        <w:t>主动投资于在股权分置改革中发行的权证。</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三、基金管理人拟根据本通知第二条的规定运用基金财产投资权证的，应当遵照有关法律法规，符合基金合同的有关约定，并将权证投资方案报告中国证监会并公告。权证投资方案应当列明基金投资权证的比例限制、投资策略、信息披露方式、风险控制措施等，并充分揭示相关投资风险。</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四、基金管理人运用基金财产进行权证投资，不得有下列情形：</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b/>
          <w:color w:val="000000" w:themeColor="text1"/>
          <w:kern w:val="0"/>
          <w:szCs w:val="21"/>
        </w:rPr>
      </w:pPr>
      <w:r w:rsidRPr="00B6299B">
        <w:rPr>
          <w:rFonts w:ascii="宋体" w:eastAsia="宋体" w:hAnsi="宋体" w:cs="宋体" w:hint="eastAsia"/>
          <w:b/>
          <w:color w:val="FF0000"/>
          <w:kern w:val="0"/>
          <w:szCs w:val="21"/>
          <w:highlight w:val="yellow"/>
        </w:rPr>
        <w:t>（一）一只基金在任何交易日买入权证的总金额，超过上一交易日基金资产净值的千分之五。</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b/>
          <w:color w:val="FF0000"/>
          <w:kern w:val="0"/>
          <w:szCs w:val="21"/>
        </w:rPr>
      </w:pPr>
      <w:r w:rsidRPr="00B6299B">
        <w:rPr>
          <w:rFonts w:ascii="宋体" w:eastAsia="宋体" w:hAnsi="宋体" w:cs="宋体" w:hint="eastAsia"/>
          <w:b/>
          <w:color w:val="FF0000"/>
          <w:kern w:val="0"/>
          <w:szCs w:val="21"/>
          <w:highlight w:val="yellow"/>
        </w:rPr>
        <w:t>（二）一只基金持有的全部权证，其市值超过基金资产净值的百分之三。</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b/>
          <w:color w:val="FF0000"/>
          <w:kern w:val="0"/>
          <w:szCs w:val="21"/>
        </w:rPr>
      </w:pPr>
      <w:r w:rsidRPr="00B6299B">
        <w:rPr>
          <w:rFonts w:ascii="宋体" w:eastAsia="宋体" w:hAnsi="宋体" w:cs="宋体" w:hint="eastAsia"/>
          <w:b/>
          <w:color w:val="FF0000"/>
          <w:kern w:val="0"/>
          <w:szCs w:val="21"/>
          <w:highlight w:val="yellow"/>
        </w:rPr>
        <w:t>（三）同一基金管理人管理的全部基金持有的同一权证，超过该权证的百分之十。</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中国证监会另有规定的，不受前款第（一）、（二）、（三）项规定的比例限制。</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五、基金管理人应当根据基金的投资策略和风险收益特征，制定切实可行的权证投资方案，并可以在本通知第四条允许的比例范围之</w:t>
      </w:r>
      <w:bookmarkStart w:id="0" w:name="_GoBack"/>
      <w:bookmarkEnd w:id="0"/>
      <w:r w:rsidRPr="00B6299B">
        <w:rPr>
          <w:rFonts w:ascii="宋体" w:eastAsia="宋体" w:hAnsi="宋体" w:cs="宋体" w:hint="eastAsia"/>
          <w:color w:val="000000" w:themeColor="text1"/>
          <w:kern w:val="0"/>
          <w:szCs w:val="21"/>
        </w:rPr>
        <w:t>内约定该基金投资权证的具体比例。</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六、因证券市场波动、基金规模变动、股权分置改革中支付对价等基金管理人之外的因素致使基金投资不符合本通知第四条第（二）、（三）项及基金合同或基金权证投资方案约定的投资比例的，基金管理人应当在</w:t>
      </w:r>
      <w:r w:rsidRPr="00B6299B">
        <w:rPr>
          <w:rFonts w:ascii="宋体" w:eastAsia="宋体" w:hAnsi="宋体" w:cs="宋体" w:hint="eastAsia"/>
          <w:b/>
          <w:color w:val="000000" w:themeColor="text1"/>
          <w:kern w:val="0"/>
          <w:szCs w:val="21"/>
        </w:rPr>
        <w:t>十</w:t>
      </w:r>
      <w:r w:rsidRPr="00B6299B">
        <w:rPr>
          <w:rFonts w:ascii="宋体" w:eastAsia="宋体" w:hAnsi="宋体" w:cs="宋体" w:hint="eastAsia"/>
          <w:color w:val="000000" w:themeColor="text1"/>
          <w:kern w:val="0"/>
          <w:szCs w:val="21"/>
        </w:rPr>
        <w:t>个交易日之内调整完毕。</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七、基金管理人运用基金财产进行权证投资时，不得通过内幕信息获得不当利益，不得操纵权证价格或标的证券价格，不得利用权证投资进行利益输送。</w:t>
      </w:r>
    </w:p>
    <w:p w:rsidR="00764E54" w:rsidRPr="00B6299B" w:rsidRDefault="00764E54" w:rsidP="00B6299B">
      <w:pPr>
        <w:widowControl/>
        <w:shd w:val="clear" w:color="auto" w:fill="FFFFFF"/>
        <w:snapToGrid w:val="0"/>
        <w:spacing w:before="90" w:after="90" w:line="360" w:lineRule="auto"/>
        <w:ind w:firstLine="420"/>
        <w:jc w:val="left"/>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lastRenderedPageBreak/>
        <w:t>八、基金管理人、基金托管人应当认真履行诚实信用、谨慎勤勉义务，建立健全权证投资管理制度，并专门针对权证投资制定有效的风险控制措施，切实保护基金份额持有人的合法权益。</w:t>
      </w:r>
    </w:p>
    <w:p w:rsidR="00764E54" w:rsidRPr="00B6299B" w:rsidRDefault="00764E54" w:rsidP="00B6299B">
      <w:pPr>
        <w:widowControl/>
        <w:shd w:val="clear" w:color="auto" w:fill="FFFFFF"/>
        <w:snapToGrid w:val="0"/>
        <w:spacing w:before="90" w:after="90" w:line="360" w:lineRule="auto"/>
        <w:ind w:right="840" w:firstLine="420"/>
        <w:jc w:val="right"/>
        <w:textAlignment w:val="baseline"/>
        <w:rPr>
          <w:rFonts w:ascii="宋体" w:eastAsia="宋体" w:hAnsi="宋体" w:cs="宋体"/>
          <w:color w:val="000000" w:themeColor="text1"/>
          <w:kern w:val="0"/>
          <w:szCs w:val="21"/>
        </w:rPr>
      </w:pPr>
      <w:r w:rsidRPr="00B6299B">
        <w:rPr>
          <w:rFonts w:ascii="宋体" w:eastAsia="宋体" w:hAnsi="宋体" w:cs="宋体" w:hint="eastAsia"/>
          <w:color w:val="000000" w:themeColor="text1"/>
          <w:kern w:val="0"/>
          <w:szCs w:val="21"/>
        </w:rPr>
        <w:t>中国证券监督管理委员会</w:t>
      </w:r>
    </w:p>
    <w:p w:rsidR="00764E54" w:rsidRPr="00B6299B" w:rsidRDefault="00764E54" w:rsidP="00B6299B">
      <w:pPr>
        <w:widowControl/>
        <w:shd w:val="clear" w:color="auto" w:fill="FFFFFF"/>
        <w:snapToGrid w:val="0"/>
        <w:spacing w:before="90" w:line="360" w:lineRule="auto"/>
        <w:ind w:right="945" w:firstLine="420"/>
        <w:jc w:val="right"/>
        <w:textAlignment w:val="baseline"/>
        <w:rPr>
          <w:rFonts w:ascii="inherit" w:eastAsia="宋体" w:hAnsi="inherit" w:cs="宋体" w:hint="eastAsia"/>
          <w:color w:val="000000" w:themeColor="text1"/>
          <w:kern w:val="0"/>
          <w:szCs w:val="21"/>
        </w:rPr>
      </w:pPr>
      <w:r w:rsidRPr="00B6299B">
        <w:rPr>
          <w:rFonts w:ascii="宋体" w:eastAsia="宋体" w:hAnsi="宋体" w:cs="宋体" w:hint="eastAsia"/>
          <w:color w:val="000000" w:themeColor="text1"/>
          <w:kern w:val="0"/>
          <w:szCs w:val="21"/>
        </w:rPr>
        <w:t>二○○五年八月十五日</w:t>
      </w:r>
    </w:p>
    <w:p w:rsidR="00544585" w:rsidRPr="00B6299B" w:rsidRDefault="00544585" w:rsidP="00B6299B">
      <w:pPr>
        <w:spacing w:line="360" w:lineRule="auto"/>
        <w:rPr>
          <w:color w:val="000000" w:themeColor="text1"/>
        </w:rPr>
      </w:pPr>
    </w:p>
    <w:sectPr w:rsidR="00544585" w:rsidRPr="00B629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42F" w:rsidRDefault="0061042F" w:rsidP="00B6299B">
      <w:r>
        <w:separator/>
      </w:r>
    </w:p>
  </w:endnote>
  <w:endnote w:type="continuationSeparator" w:id="0">
    <w:p w:rsidR="0061042F" w:rsidRDefault="0061042F" w:rsidP="00B6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42F" w:rsidRDefault="0061042F" w:rsidP="00B6299B">
      <w:r>
        <w:separator/>
      </w:r>
    </w:p>
  </w:footnote>
  <w:footnote w:type="continuationSeparator" w:id="0">
    <w:p w:rsidR="0061042F" w:rsidRDefault="0061042F" w:rsidP="00B629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54"/>
    <w:rsid w:val="00544585"/>
    <w:rsid w:val="0061042F"/>
    <w:rsid w:val="00764E54"/>
    <w:rsid w:val="00B6299B"/>
    <w:rsid w:val="00D71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1">
    <w:name w:val="161"/>
    <w:basedOn w:val="a"/>
    <w:rsid w:val="00764E54"/>
    <w:pPr>
      <w:widowControl/>
      <w:spacing w:before="90" w:after="90"/>
      <w:ind w:firstLine="420"/>
      <w:jc w:val="left"/>
    </w:pPr>
    <w:rPr>
      <w:rFonts w:ascii="宋体" w:eastAsia="宋体" w:hAnsi="宋体" w:cs="宋体"/>
      <w:kern w:val="0"/>
      <w:szCs w:val="21"/>
    </w:rPr>
  </w:style>
  <w:style w:type="paragraph" w:styleId="a3">
    <w:name w:val="header"/>
    <w:basedOn w:val="a"/>
    <w:link w:val="Char"/>
    <w:uiPriority w:val="99"/>
    <w:unhideWhenUsed/>
    <w:rsid w:val="00B62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99B"/>
    <w:rPr>
      <w:sz w:val="18"/>
      <w:szCs w:val="18"/>
    </w:rPr>
  </w:style>
  <w:style w:type="paragraph" w:styleId="a4">
    <w:name w:val="footer"/>
    <w:basedOn w:val="a"/>
    <w:link w:val="Char0"/>
    <w:uiPriority w:val="99"/>
    <w:unhideWhenUsed/>
    <w:rsid w:val="00B6299B"/>
    <w:pPr>
      <w:tabs>
        <w:tab w:val="center" w:pos="4153"/>
        <w:tab w:val="right" w:pos="8306"/>
      </w:tabs>
      <w:snapToGrid w:val="0"/>
      <w:jc w:val="left"/>
    </w:pPr>
    <w:rPr>
      <w:sz w:val="18"/>
      <w:szCs w:val="18"/>
    </w:rPr>
  </w:style>
  <w:style w:type="character" w:customStyle="1" w:styleId="Char0">
    <w:name w:val="页脚 Char"/>
    <w:basedOn w:val="a0"/>
    <w:link w:val="a4"/>
    <w:uiPriority w:val="99"/>
    <w:rsid w:val="00B629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61">
    <w:name w:val="161"/>
    <w:basedOn w:val="a"/>
    <w:rsid w:val="00764E54"/>
    <w:pPr>
      <w:widowControl/>
      <w:spacing w:before="90" w:after="90"/>
      <w:ind w:firstLine="420"/>
      <w:jc w:val="left"/>
    </w:pPr>
    <w:rPr>
      <w:rFonts w:ascii="宋体" w:eastAsia="宋体" w:hAnsi="宋体" w:cs="宋体"/>
      <w:kern w:val="0"/>
      <w:szCs w:val="21"/>
    </w:rPr>
  </w:style>
  <w:style w:type="paragraph" w:styleId="a3">
    <w:name w:val="header"/>
    <w:basedOn w:val="a"/>
    <w:link w:val="Char"/>
    <w:uiPriority w:val="99"/>
    <w:unhideWhenUsed/>
    <w:rsid w:val="00B62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99B"/>
    <w:rPr>
      <w:sz w:val="18"/>
      <w:szCs w:val="18"/>
    </w:rPr>
  </w:style>
  <w:style w:type="paragraph" w:styleId="a4">
    <w:name w:val="footer"/>
    <w:basedOn w:val="a"/>
    <w:link w:val="Char0"/>
    <w:uiPriority w:val="99"/>
    <w:unhideWhenUsed/>
    <w:rsid w:val="00B6299B"/>
    <w:pPr>
      <w:tabs>
        <w:tab w:val="center" w:pos="4153"/>
        <w:tab w:val="right" w:pos="8306"/>
      </w:tabs>
      <w:snapToGrid w:val="0"/>
      <w:jc w:val="left"/>
    </w:pPr>
    <w:rPr>
      <w:sz w:val="18"/>
      <w:szCs w:val="18"/>
    </w:rPr>
  </w:style>
  <w:style w:type="character" w:customStyle="1" w:styleId="Char0">
    <w:name w:val="页脚 Char"/>
    <w:basedOn w:val="a0"/>
    <w:link w:val="a4"/>
    <w:uiPriority w:val="99"/>
    <w:rsid w:val="00B629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468834">
      <w:bodyDiv w:val="1"/>
      <w:marLeft w:val="0"/>
      <w:marRight w:val="0"/>
      <w:marTop w:val="0"/>
      <w:marBottom w:val="0"/>
      <w:divBdr>
        <w:top w:val="none" w:sz="0" w:space="0" w:color="auto"/>
        <w:left w:val="none" w:sz="0" w:space="0" w:color="auto"/>
        <w:bottom w:val="none" w:sz="0" w:space="0" w:color="auto"/>
        <w:right w:val="none" w:sz="0" w:space="0" w:color="auto"/>
      </w:divBdr>
      <w:divsChild>
        <w:div w:id="416562347">
          <w:marLeft w:val="0"/>
          <w:marRight w:val="0"/>
          <w:marTop w:val="0"/>
          <w:marBottom w:val="0"/>
          <w:divBdr>
            <w:top w:val="none" w:sz="0" w:space="0" w:color="auto"/>
            <w:left w:val="none" w:sz="0" w:space="0" w:color="auto"/>
            <w:bottom w:val="none" w:sz="0" w:space="0" w:color="auto"/>
            <w:right w:val="none" w:sz="0" w:space="0" w:color="auto"/>
          </w:divBdr>
          <w:divsChild>
            <w:div w:id="773287350">
              <w:marLeft w:val="0"/>
              <w:marRight w:val="0"/>
              <w:marTop w:val="0"/>
              <w:marBottom w:val="0"/>
              <w:divBdr>
                <w:top w:val="none" w:sz="0" w:space="0" w:color="auto"/>
                <w:left w:val="none" w:sz="0" w:space="0" w:color="auto"/>
                <w:bottom w:val="none" w:sz="0" w:space="0" w:color="auto"/>
                <w:right w:val="none" w:sz="0" w:space="0" w:color="auto"/>
              </w:divBdr>
              <w:divsChild>
                <w:div w:id="731662502">
                  <w:marLeft w:val="105"/>
                  <w:marRight w:val="105"/>
                  <w:marTop w:val="0"/>
                  <w:marBottom w:val="0"/>
                  <w:divBdr>
                    <w:top w:val="none" w:sz="0" w:space="0" w:color="auto"/>
                    <w:left w:val="none" w:sz="0" w:space="0" w:color="auto"/>
                    <w:bottom w:val="none" w:sz="0" w:space="0" w:color="auto"/>
                    <w:right w:val="none" w:sz="0" w:space="0" w:color="auto"/>
                  </w:divBdr>
                  <w:divsChild>
                    <w:div w:id="420835827">
                      <w:marLeft w:val="0"/>
                      <w:marRight w:val="0"/>
                      <w:marTop w:val="0"/>
                      <w:marBottom w:val="0"/>
                      <w:divBdr>
                        <w:top w:val="none" w:sz="0" w:space="0" w:color="auto"/>
                        <w:left w:val="none" w:sz="0" w:space="0" w:color="auto"/>
                        <w:bottom w:val="none" w:sz="0" w:space="0" w:color="auto"/>
                        <w:right w:val="none" w:sz="0" w:space="0" w:color="auto"/>
                      </w:divBdr>
                      <w:divsChild>
                        <w:div w:id="1422798906">
                          <w:marLeft w:val="0"/>
                          <w:marRight w:val="0"/>
                          <w:marTop w:val="0"/>
                          <w:marBottom w:val="0"/>
                          <w:divBdr>
                            <w:top w:val="none" w:sz="0" w:space="0" w:color="auto"/>
                            <w:left w:val="none" w:sz="0" w:space="0" w:color="auto"/>
                            <w:bottom w:val="single" w:sz="12" w:space="11" w:color="CCCCCC"/>
                            <w:right w:val="none" w:sz="0" w:space="0" w:color="auto"/>
                          </w:divBdr>
                        </w:div>
                        <w:div w:id="1113136507">
                          <w:marLeft w:val="0"/>
                          <w:marRight w:val="0"/>
                          <w:marTop w:val="0"/>
                          <w:marBottom w:val="300"/>
                          <w:divBdr>
                            <w:top w:val="none" w:sz="0" w:space="0" w:color="auto"/>
                            <w:left w:val="none" w:sz="0" w:space="0" w:color="auto"/>
                            <w:bottom w:val="none" w:sz="0" w:space="0" w:color="auto"/>
                            <w:right w:val="none" w:sz="0" w:space="0" w:color="auto"/>
                          </w:divBdr>
                        </w:div>
                        <w:div w:id="639191453">
                          <w:marLeft w:val="0"/>
                          <w:marRight w:val="0"/>
                          <w:marTop w:val="0"/>
                          <w:marBottom w:val="0"/>
                          <w:divBdr>
                            <w:top w:val="none" w:sz="0" w:space="0" w:color="auto"/>
                            <w:left w:val="none" w:sz="0" w:space="0" w:color="auto"/>
                            <w:bottom w:val="none" w:sz="0" w:space="0" w:color="auto"/>
                            <w:right w:val="none" w:sz="0" w:space="0" w:color="auto"/>
                          </w:divBdr>
                          <w:divsChild>
                            <w:div w:id="39304992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3</cp:revision>
  <dcterms:created xsi:type="dcterms:W3CDTF">2016-03-14T07:59:00Z</dcterms:created>
  <dcterms:modified xsi:type="dcterms:W3CDTF">2016-03-19T09:04:00Z</dcterms:modified>
</cp:coreProperties>
</file>