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1F6" w:rsidRPr="009251F6" w:rsidRDefault="009251F6" w:rsidP="009251F6">
      <w:pPr>
        <w:widowControl/>
        <w:shd w:val="clear" w:color="auto" w:fill="FFFFFF"/>
        <w:spacing w:line="525" w:lineRule="atLeast"/>
        <w:jc w:val="center"/>
        <w:rPr>
          <w:rFonts w:ascii="微软雅黑" w:eastAsia="微软雅黑" w:hAnsi="微软雅黑" w:cs="宋体"/>
          <w:b/>
          <w:bCs/>
          <w:color w:val="0C5CB1"/>
          <w:kern w:val="0"/>
          <w:sz w:val="30"/>
          <w:szCs w:val="30"/>
        </w:rPr>
      </w:pPr>
      <w:r w:rsidRPr="009251F6">
        <w:rPr>
          <w:rFonts w:ascii="微软雅黑" w:eastAsia="微软雅黑" w:hAnsi="微软雅黑" w:cs="宋体" w:hint="eastAsia"/>
          <w:b/>
          <w:bCs/>
          <w:color w:val="0C5CB1"/>
          <w:kern w:val="0"/>
          <w:sz w:val="30"/>
          <w:szCs w:val="30"/>
        </w:rPr>
        <w:t>中国证监会关于进一步推进新股发行体制改革的意见</w:t>
      </w:r>
    </w:p>
    <w:p w:rsidR="009251F6" w:rsidRPr="009251F6" w:rsidRDefault="009251F6" w:rsidP="009251F6">
      <w:pPr>
        <w:widowControl/>
        <w:shd w:val="clear" w:color="auto" w:fill="FFFFFF"/>
        <w:spacing w:line="480" w:lineRule="auto"/>
        <w:jc w:val="center"/>
        <w:rPr>
          <w:rFonts w:ascii="inherit" w:eastAsia="宋体" w:hAnsi="inherit" w:cs="宋体" w:hint="eastAsia"/>
          <w:color w:val="888888"/>
          <w:kern w:val="0"/>
          <w:sz w:val="18"/>
          <w:szCs w:val="18"/>
        </w:rPr>
      </w:pPr>
      <w:r w:rsidRPr="009251F6">
        <w:rPr>
          <w:rFonts w:ascii="inherit" w:eastAsia="宋体" w:hAnsi="inherit" w:cs="宋体"/>
          <w:color w:val="888888"/>
          <w:kern w:val="0"/>
          <w:sz w:val="18"/>
          <w:szCs w:val="18"/>
        </w:rPr>
        <w:t>中国证监会</w:t>
      </w:r>
      <w:r w:rsidRPr="009251F6">
        <w:rPr>
          <w:rFonts w:ascii="inherit" w:eastAsia="宋体" w:hAnsi="inherit" w:cs="宋体"/>
          <w:color w:val="888888"/>
          <w:kern w:val="0"/>
          <w:sz w:val="18"/>
          <w:szCs w:val="18"/>
        </w:rPr>
        <w:t xml:space="preserve"> www.csrc.gov.cn </w:t>
      </w:r>
      <w:r w:rsidRPr="009251F6">
        <w:rPr>
          <w:rFonts w:ascii="inherit" w:eastAsia="宋体" w:hAnsi="inherit" w:cs="宋体"/>
          <w:color w:val="888888"/>
          <w:kern w:val="0"/>
          <w:sz w:val="18"/>
          <w:szCs w:val="18"/>
        </w:rPr>
        <w:t>时间：</w:t>
      </w:r>
      <w:r w:rsidRPr="009251F6">
        <w:rPr>
          <w:rFonts w:ascii="inherit" w:eastAsia="宋体" w:hAnsi="inherit" w:cs="宋体"/>
          <w:color w:val="888888"/>
          <w:kern w:val="0"/>
          <w:sz w:val="18"/>
          <w:szCs w:val="18"/>
        </w:rPr>
        <w:t xml:space="preserve">2014-02-13 </w:t>
      </w:r>
      <w:r w:rsidRPr="009251F6">
        <w:rPr>
          <w:rFonts w:ascii="inherit" w:eastAsia="宋体" w:hAnsi="inherit" w:cs="宋体"/>
          <w:color w:val="888888"/>
          <w:kern w:val="0"/>
          <w:sz w:val="18"/>
          <w:szCs w:val="18"/>
        </w:rPr>
        <w:t>来源：</w:t>
      </w:r>
      <w:r w:rsidRPr="009251F6">
        <w:rPr>
          <w:rFonts w:ascii="inherit" w:eastAsia="宋体" w:hAnsi="inherit" w:cs="宋体"/>
          <w:color w:val="888888"/>
          <w:kern w:val="0"/>
          <w:sz w:val="18"/>
          <w:szCs w:val="18"/>
        </w:rPr>
        <w:t xml:space="preserve"> </w:t>
      </w:r>
    </w:p>
    <w:p w:rsidR="009251F6" w:rsidRPr="009251F6" w:rsidRDefault="009251F6" w:rsidP="009251F6">
      <w:pPr>
        <w:widowControl/>
        <w:shd w:val="clear" w:color="auto" w:fill="FFFFFF"/>
        <w:snapToGrid w:val="0"/>
        <w:spacing w:line="560" w:lineRule="atLeast"/>
        <w:jc w:val="center"/>
        <w:rPr>
          <w:rFonts w:ascii="Times New Roman" w:eastAsia="宋体" w:hAnsi="Times New Roman" w:cs="Times New Roman"/>
          <w:color w:val="333333"/>
          <w:kern w:val="0"/>
          <w:sz w:val="30"/>
          <w:szCs w:val="30"/>
        </w:rPr>
      </w:pPr>
      <w:r w:rsidRPr="009251F6">
        <w:rPr>
          <w:rFonts w:ascii="宋体" w:eastAsia="宋体" w:hAnsi="宋体" w:cs="Times New Roman"/>
          <w:color w:val="333333"/>
          <w:kern w:val="0"/>
          <w:szCs w:val="21"/>
        </w:rPr>
        <w:t>(2013年11月30日 证监会公告[2013]42号）</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贯彻党的十八届三中全会决定中关于</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推进股票发行注册制改革</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的要求，必须进一步推进新股发行体制改革，厘清和理顺新股发行过程中政府与市场的关系，加快实现监管转型，提高信息披露质量，强化市场约束，促进市场参与各方归位尽责，为实行股票发行注册制奠定良好基础。改革的总体原则是：坚持市场化、法制化取向，综合施策、标本兼治，进一步理顺发行、定价、配售等环节的运行机制，发挥市场决定性作用，加强市场监管，维护市场公平，切实保护投资者特别是中小投资者的合法权益。</w:t>
      </w:r>
    </w:p>
    <w:p w:rsidR="009251F6" w:rsidRPr="009251F6" w:rsidRDefault="009251F6" w:rsidP="009251F6">
      <w:pPr>
        <w:widowControl/>
        <w:shd w:val="clear" w:color="auto" w:fill="FFFFFF"/>
        <w:snapToGrid w:val="0"/>
        <w:spacing w:line="360" w:lineRule="auto"/>
        <w:jc w:val="left"/>
        <w:rPr>
          <w:rFonts w:ascii="方正黑体简体" w:eastAsia="方正黑体简体" w:hAnsi="宋体" w:cs="宋体"/>
          <w:color w:val="333333"/>
          <w:kern w:val="0"/>
          <w:szCs w:val="21"/>
        </w:rPr>
      </w:pPr>
      <w:r w:rsidRPr="009251F6">
        <w:rPr>
          <w:rFonts w:ascii="Times New Roman" w:eastAsia="宋体" w:hAnsi="Times New Roman" w:cs="Times New Roman"/>
          <w:color w:val="333333"/>
          <w:kern w:val="0"/>
          <w:szCs w:val="21"/>
        </w:rPr>
        <w:t xml:space="preserve">  </w:t>
      </w:r>
      <w:r w:rsidRPr="009251F6">
        <w:rPr>
          <w:rFonts w:ascii="方正黑体简体" w:eastAsia="方正黑体简体" w:hAnsi="宋体" w:cs="宋体" w:hint="eastAsia"/>
          <w:color w:val="333333"/>
          <w:kern w:val="0"/>
          <w:szCs w:val="21"/>
        </w:rPr>
        <w:t>一、推进新股市场化发行机制</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（一）进一步提前招股说明书预先披露时点，加强社会监督。发行人招股说明书申报</w:t>
      </w:r>
      <w:proofErr w:type="gramStart"/>
      <w:r w:rsidRPr="009251F6">
        <w:rPr>
          <w:rFonts w:ascii="Times New Roman" w:eastAsia="宋体" w:hAnsi="Times New Roman" w:cs="Times New Roman"/>
          <w:color w:val="333333"/>
          <w:kern w:val="0"/>
          <w:szCs w:val="21"/>
        </w:rPr>
        <w:t>稿正式</w:t>
      </w:r>
      <w:proofErr w:type="gramEnd"/>
      <w:r w:rsidRPr="009251F6">
        <w:rPr>
          <w:rFonts w:ascii="Times New Roman" w:eastAsia="宋体" w:hAnsi="Times New Roman" w:cs="Times New Roman"/>
          <w:color w:val="333333"/>
          <w:kern w:val="0"/>
          <w:szCs w:val="21"/>
        </w:rPr>
        <w:t>受理后，即在中国证监会网站披露。</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（二）招股说明书预先披露后，发行人相关信息及财务数据不得随意更改。</w:t>
      </w:r>
      <w:r w:rsidRPr="009251F6">
        <w:rPr>
          <w:rFonts w:ascii="Times New Roman" w:eastAsia="宋体" w:hAnsi="Times New Roman" w:cs="Times New Roman"/>
          <w:b/>
          <w:color w:val="FF0000"/>
          <w:kern w:val="0"/>
          <w:szCs w:val="21"/>
          <w:highlight w:val="yellow"/>
        </w:rPr>
        <w:t>审核过程中，发现发行人申请材料中记载的信息自相矛盾、或就同一事实前后存在不同表述且有实质性差异的，中国证监会将中止审核，并在</w:t>
      </w:r>
      <w:r w:rsidRPr="009251F6">
        <w:rPr>
          <w:rFonts w:ascii="Times New Roman" w:eastAsia="宋体" w:hAnsi="Times New Roman" w:cs="Times New Roman"/>
          <w:b/>
          <w:color w:val="FF0000"/>
          <w:kern w:val="0"/>
          <w:szCs w:val="21"/>
          <w:highlight w:val="yellow"/>
        </w:rPr>
        <w:t>12</w:t>
      </w:r>
      <w:r w:rsidRPr="009251F6">
        <w:rPr>
          <w:rFonts w:ascii="Times New Roman" w:eastAsia="宋体" w:hAnsi="Times New Roman" w:cs="Times New Roman"/>
          <w:b/>
          <w:color w:val="FF0000"/>
          <w:kern w:val="0"/>
          <w:szCs w:val="21"/>
          <w:highlight w:val="yellow"/>
        </w:rPr>
        <w:t>个月内不再受理相关保荐代表人推荐的发行申请。发行人、中介机构报送的发行申请文件及相关法律文书涉嫌虚假记载、误导性陈述或重大遗漏的，移交稽查部门查处，被稽查立案的，暂停受理相关中介机构推荐的发行申请；查证属实的，自确认之日起</w:t>
      </w:r>
      <w:r w:rsidRPr="009251F6">
        <w:rPr>
          <w:rFonts w:ascii="Times New Roman" w:eastAsia="宋体" w:hAnsi="Times New Roman" w:cs="Times New Roman"/>
          <w:b/>
          <w:color w:val="FF0000"/>
          <w:kern w:val="0"/>
          <w:szCs w:val="21"/>
          <w:highlight w:val="yellow"/>
        </w:rPr>
        <w:t>36</w:t>
      </w:r>
      <w:r w:rsidRPr="009251F6">
        <w:rPr>
          <w:rFonts w:ascii="Times New Roman" w:eastAsia="宋体" w:hAnsi="Times New Roman" w:cs="Times New Roman"/>
          <w:b/>
          <w:color w:val="FF0000"/>
          <w:kern w:val="0"/>
          <w:szCs w:val="21"/>
          <w:highlight w:val="yellow"/>
        </w:rPr>
        <w:t>个月内不再受理该发行人的股票发行申请，并依法追究中介机构及相关当事人责任。</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（三）股票发行审核以信息披露为中心。</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发行人作为信息披露第一责任人，应当及时向中介机构提供真实、完整、准确的财务会计资料和其他资料，全面配合中介机构开展尽职调查。</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保荐机构应当严格履行法定职责，遵守业务规则和行业规范，对发行人的申请文件和信息披露资料进行审慎核查，督导发行人规范运行，对其他中介机构出具的专业意见进行核查，对发行人是否具备持续盈利能力、是否符合法定发行条件做出专业判断，并确保发行人的申请文件和招股说明书等信息披露资料真实、准确、完整、及时。</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会计师事务所、律师事务所、资产评估机构等证券服务机构及人员，必须严格履行法定职责，遵照本行业的业务标准和执业规范，对发行人的相关业务资料进行核查验证，确保所出具的相关专业文件真实、准确、完整</w:t>
      </w:r>
      <w:r w:rsidRPr="009251F6">
        <w:rPr>
          <w:rFonts w:ascii="方正仿宋简体" w:eastAsia="方正仿宋简体" w:hAnsi="宋体" w:cs="宋体" w:hint="eastAsia"/>
          <w:color w:val="333333"/>
          <w:kern w:val="0"/>
          <w:szCs w:val="21"/>
        </w:rPr>
        <w:t>、及时</w:t>
      </w:r>
      <w:r w:rsidRPr="009251F6">
        <w:rPr>
          <w:rFonts w:ascii="Times New Roman" w:eastAsia="宋体" w:hAnsi="Times New Roman" w:cs="Times New Roman"/>
          <w:color w:val="333333"/>
          <w:kern w:val="0"/>
          <w:szCs w:val="21"/>
        </w:rPr>
        <w:t>。</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方正仿宋简体" w:eastAsia="方正仿宋简体" w:hAnsi="宋体" w:cs="宋体" w:hint="eastAsia"/>
          <w:color w:val="333333"/>
          <w:kern w:val="0"/>
          <w:szCs w:val="21"/>
        </w:rPr>
        <w:t>中国</w:t>
      </w:r>
      <w:r w:rsidRPr="009251F6">
        <w:rPr>
          <w:rFonts w:ascii="Times New Roman" w:eastAsia="宋体" w:hAnsi="Times New Roman" w:cs="Times New Roman"/>
          <w:color w:val="333333"/>
          <w:kern w:val="0"/>
          <w:szCs w:val="21"/>
        </w:rPr>
        <w:t>证</w:t>
      </w:r>
      <w:r w:rsidRPr="009251F6">
        <w:rPr>
          <w:rFonts w:ascii="方正仿宋简体" w:eastAsia="方正仿宋简体" w:hAnsi="宋体" w:cs="宋体" w:hint="eastAsia"/>
          <w:color w:val="333333"/>
          <w:kern w:val="0"/>
          <w:szCs w:val="21"/>
        </w:rPr>
        <w:t>监会发行</w:t>
      </w:r>
      <w:r w:rsidRPr="009251F6">
        <w:rPr>
          <w:rFonts w:ascii="Times New Roman" w:eastAsia="宋体" w:hAnsi="Times New Roman" w:cs="Times New Roman"/>
          <w:color w:val="333333"/>
          <w:kern w:val="0"/>
          <w:szCs w:val="21"/>
        </w:rPr>
        <w:t>监管部门和股票发行审核委员会依法对发行申请文件和信息披露内容的合法合</w:t>
      </w:r>
      <w:proofErr w:type="gramStart"/>
      <w:r w:rsidRPr="009251F6">
        <w:rPr>
          <w:rFonts w:ascii="Times New Roman" w:eastAsia="宋体" w:hAnsi="Times New Roman" w:cs="Times New Roman"/>
          <w:color w:val="333333"/>
          <w:kern w:val="0"/>
          <w:szCs w:val="21"/>
        </w:rPr>
        <w:t>规</w:t>
      </w:r>
      <w:proofErr w:type="gramEnd"/>
      <w:r w:rsidRPr="009251F6">
        <w:rPr>
          <w:rFonts w:ascii="Times New Roman" w:eastAsia="宋体" w:hAnsi="Times New Roman" w:cs="Times New Roman"/>
          <w:color w:val="333333"/>
          <w:kern w:val="0"/>
          <w:szCs w:val="21"/>
        </w:rPr>
        <w:t>性进行审核，不对发行人的盈利能力和投资价值</w:t>
      </w:r>
      <w:proofErr w:type="gramStart"/>
      <w:r w:rsidRPr="009251F6">
        <w:rPr>
          <w:rFonts w:ascii="Times New Roman" w:eastAsia="宋体" w:hAnsi="Times New Roman" w:cs="Times New Roman"/>
          <w:color w:val="333333"/>
          <w:kern w:val="0"/>
          <w:szCs w:val="21"/>
        </w:rPr>
        <w:t>作出</w:t>
      </w:r>
      <w:proofErr w:type="gramEnd"/>
      <w:r w:rsidRPr="009251F6">
        <w:rPr>
          <w:rFonts w:ascii="Times New Roman" w:eastAsia="宋体" w:hAnsi="Times New Roman" w:cs="Times New Roman"/>
          <w:color w:val="333333"/>
          <w:kern w:val="0"/>
          <w:szCs w:val="21"/>
        </w:rPr>
        <w:t>判断。发现申请文件和信息披露内容存在违法违规情形的，严格追究相关当事人的责任。</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lastRenderedPageBreak/>
        <w:t>投资者应当认真阅读发行人公开披露的信息，自主判断企业的投资价值，自主做出投资决策，自行承担股票依法发行后因发行人经营与收益变化导致的风险。</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（四）</w:t>
      </w:r>
      <w:r w:rsidRPr="009251F6">
        <w:rPr>
          <w:rFonts w:ascii="方正仿宋简体" w:eastAsia="方正仿宋简体" w:hAnsi="宋体" w:cs="宋体" w:hint="eastAsia"/>
          <w:color w:val="333333"/>
          <w:kern w:val="0"/>
          <w:szCs w:val="21"/>
        </w:rPr>
        <w:t>中国证监会</w:t>
      </w:r>
      <w:r w:rsidRPr="009251F6">
        <w:rPr>
          <w:rFonts w:ascii="Times New Roman" w:eastAsia="宋体" w:hAnsi="Times New Roman" w:cs="Times New Roman"/>
          <w:color w:val="333333"/>
          <w:kern w:val="0"/>
          <w:szCs w:val="21"/>
        </w:rPr>
        <w:t>自受理证券发行申请文件之日起三个月内，依照法定条件和法定程序</w:t>
      </w:r>
      <w:proofErr w:type="gramStart"/>
      <w:r w:rsidRPr="009251F6">
        <w:rPr>
          <w:rFonts w:ascii="Times New Roman" w:eastAsia="宋体" w:hAnsi="Times New Roman" w:cs="Times New Roman"/>
          <w:color w:val="333333"/>
          <w:kern w:val="0"/>
          <w:szCs w:val="21"/>
        </w:rPr>
        <w:t>作出</w:t>
      </w:r>
      <w:proofErr w:type="gramEnd"/>
      <w:r w:rsidRPr="009251F6">
        <w:rPr>
          <w:rFonts w:ascii="Times New Roman" w:eastAsia="宋体" w:hAnsi="Times New Roman" w:cs="Times New Roman"/>
          <w:color w:val="333333"/>
          <w:kern w:val="0"/>
          <w:szCs w:val="21"/>
        </w:rPr>
        <w:t>核准、中止审核、终止审核、不予核准的决定。</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（五）发行人首次公开发行新股时，</w:t>
      </w:r>
      <w:r w:rsidRPr="00E85FF2">
        <w:rPr>
          <w:rFonts w:ascii="Times New Roman" w:eastAsia="宋体" w:hAnsi="Times New Roman" w:cs="Times New Roman"/>
          <w:b/>
          <w:color w:val="FF0000"/>
          <w:kern w:val="0"/>
          <w:szCs w:val="21"/>
        </w:rPr>
        <w:t>鼓励持股满三年的原有股东将部分老股向投资者转让</w:t>
      </w:r>
      <w:r w:rsidRPr="009251F6">
        <w:rPr>
          <w:rFonts w:ascii="Times New Roman" w:eastAsia="宋体" w:hAnsi="Times New Roman" w:cs="Times New Roman"/>
          <w:color w:val="333333"/>
          <w:kern w:val="0"/>
          <w:szCs w:val="21"/>
        </w:rPr>
        <w:t>，增加新上市公司可流通股票的比例。老股转让后，公司实际控制人不得发生变更。老股转让的具体方案应在公司招股说明书和发行公告中公开披露。</w:t>
      </w:r>
    </w:p>
    <w:p w:rsidR="009251F6" w:rsidRPr="00E85FF2"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FF0000"/>
          <w:kern w:val="0"/>
          <w:szCs w:val="21"/>
        </w:rPr>
      </w:pPr>
      <w:r w:rsidRPr="00E85FF2">
        <w:rPr>
          <w:rFonts w:ascii="Times New Roman" w:eastAsia="宋体" w:hAnsi="Times New Roman" w:cs="Times New Roman"/>
          <w:color w:val="FF0000"/>
          <w:kern w:val="0"/>
          <w:szCs w:val="21"/>
        </w:rPr>
        <w:t>发行人应根据</w:t>
      </w:r>
      <w:proofErr w:type="gramStart"/>
      <w:r w:rsidRPr="00E85FF2">
        <w:rPr>
          <w:rFonts w:ascii="Times New Roman" w:eastAsia="宋体" w:hAnsi="Times New Roman" w:cs="Times New Roman"/>
          <w:color w:val="FF0000"/>
          <w:kern w:val="0"/>
          <w:szCs w:val="21"/>
        </w:rPr>
        <w:t>募投项目</w:t>
      </w:r>
      <w:proofErr w:type="gramEnd"/>
      <w:r w:rsidRPr="00E85FF2">
        <w:rPr>
          <w:rFonts w:ascii="Times New Roman" w:eastAsia="宋体" w:hAnsi="Times New Roman" w:cs="Times New Roman"/>
          <w:color w:val="FF0000"/>
          <w:kern w:val="0"/>
          <w:szCs w:val="21"/>
        </w:rPr>
        <w:t>资金需要量合理确定新股发行数量，新股数量不足法定上市条件的，可以通过转让老股增加公开发行股票的数量。新股发行超募的资金，要相应减持老股。</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（六）</w:t>
      </w:r>
      <w:r w:rsidRPr="00E85FF2">
        <w:rPr>
          <w:rFonts w:ascii="Times New Roman" w:eastAsia="宋体" w:hAnsi="Times New Roman" w:cs="Times New Roman"/>
          <w:color w:val="FF0000"/>
          <w:kern w:val="0"/>
          <w:szCs w:val="21"/>
        </w:rPr>
        <w:t>申请首次公开发行股票的在审企业，可申请先行发行公司债。鼓励企业以股</w:t>
      </w:r>
      <w:proofErr w:type="gramStart"/>
      <w:r w:rsidRPr="00E85FF2">
        <w:rPr>
          <w:rFonts w:ascii="Times New Roman" w:eastAsia="宋体" w:hAnsi="Times New Roman" w:cs="Times New Roman"/>
          <w:color w:val="FF0000"/>
          <w:kern w:val="0"/>
          <w:szCs w:val="21"/>
        </w:rPr>
        <w:t>债结合</w:t>
      </w:r>
      <w:proofErr w:type="gramEnd"/>
      <w:r w:rsidRPr="00E85FF2">
        <w:rPr>
          <w:rFonts w:ascii="Times New Roman" w:eastAsia="宋体" w:hAnsi="Times New Roman" w:cs="Times New Roman"/>
          <w:color w:val="FF0000"/>
          <w:kern w:val="0"/>
          <w:szCs w:val="21"/>
        </w:rPr>
        <w:t>的方式融资。</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（七）发行人通过发审会并履行会后事项程序后，中国证监会即核准发行，新股发行时点由发行人自主选择。</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（八）放宽首次公开发行股票核准文件的有效期至</w:t>
      </w:r>
      <w:r w:rsidRPr="00E85FF2">
        <w:rPr>
          <w:rFonts w:ascii="Times New Roman" w:eastAsia="宋体" w:hAnsi="Times New Roman" w:cs="Times New Roman"/>
          <w:b/>
          <w:color w:val="FF0000"/>
          <w:kern w:val="0"/>
          <w:szCs w:val="21"/>
        </w:rPr>
        <w:t>12</w:t>
      </w:r>
      <w:r w:rsidRPr="00E85FF2">
        <w:rPr>
          <w:rFonts w:ascii="Times New Roman" w:eastAsia="宋体" w:hAnsi="Times New Roman" w:cs="Times New Roman"/>
          <w:b/>
          <w:color w:val="FF0000"/>
          <w:kern w:val="0"/>
          <w:szCs w:val="21"/>
        </w:rPr>
        <w:t>个月</w:t>
      </w:r>
      <w:r w:rsidRPr="009251F6">
        <w:rPr>
          <w:rFonts w:ascii="Times New Roman" w:eastAsia="宋体" w:hAnsi="Times New Roman" w:cs="Times New Roman"/>
          <w:color w:val="333333"/>
          <w:kern w:val="0"/>
          <w:szCs w:val="21"/>
        </w:rPr>
        <w:t>。</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发行人自取得核准文件之日起至公开发行前，应参照上市公司定期报告的信息披露要求，及时修改信息披露文件内容，补充财务会计报告相关数据，更新预先披露的招股说明书；期间发生重大会后事项的，发行人应及时向</w:t>
      </w:r>
      <w:r w:rsidRPr="009251F6">
        <w:rPr>
          <w:rFonts w:ascii="方正仿宋简体" w:eastAsia="方正仿宋简体" w:hAnsi="宋体" w:cs="宋体" w:hint="eastAsia"/>
          <w:color w:val="333333"/>
          <w:kern w:val="0"/>
          <w:szCs w:val="21"/>
        </w:rPr>
        <w:t>中国证监会</w:t>
      </w:r>
      <w:r w:rsidRPr="009251F6">
        <w:rPr>
          <w:rFonts w:ascii="Times New Roman" w:eastAsia="宋体" w:hAnsi="Times New Roman" w:cs="Times New Roman"/>
          <w:color w:val="333333"/>
          <w:kern w:val="0"/>
          <w:szCs w:val="21"/>
        </w:rPr>
        <w:t>报告并提供说明；保荐机构及相关中介机构应持续履行尽职调查义务。发行人发生重大会后事项的，由</w:t>
      </w:r>
      <w:r w:rsidRPr="009251F6">
        <w:rPr>
          <w:rFonts w:ascii="方正仿宋简体" w:eastAsia="方正仿宋简体" w:hAnsi="宋体" w:cs="宋体" w:hint="eastAsia"/>
          <w:color w:val="333333"/>
          <w:kern w:val="0"/>
          <w:szCs w:val="21"/>
        </w:rPr>
        <w:t>中国证监会</w:t>
      </w:r>
      <w:r w:rsidRPr="009251F6">
        <w:rPr>
          <w:rFonts w:ascii="Times New Roman" w:eastAsia="宋体" w:hAnsi="Times New Roman" w:cs="Times New Roman"/>
          <w:color w:val="333333"/>
          <w:kern w:val="0"/>
          <w:szCs w:val="21"/>
        </w:rPr>
        <w:t>按审核程序决定是否需要重新提交发审会审议。</w:t>
      </w:r>
    </w:p>
    <w:p w:rsidR="009251F6" w:rsidRPr="009251F6" w:rsidRDefault="009251F6" w:rsidP="009251F6">
      <w:pPr>
        <w:widowControl/>
        <w:shd w:val="clear" w:color="auto" w:fill="FFFFFF"/>
        <w:snapToGrid w:val="0"/>
        <w:spacing w:line="360" w:lineRule="auto"/>
        <w:ind w:firstLine="600"/>
        <w:jc w:val="left"/>
        <w:rPr>
          <w:rFonts w:ascii="方正黑体简体" w:eastAsia="方正黑体简体" w:hAnsi="宋体" w:cs="宋体"/>
          <w:color w:val="333333"/>
          <w:kern w:val="0"/>
          <w:szCs w:val="21"/>
        </w:rPr>
      </w:pPr>
      <w:r w:rsidRPr="009251F6">
        <w:rPr>
          <w:rFonts w:ascii="方正黑体简体" w:eastAsia="方正黑体简体" w:hAnsi="宋体" w:cs="宋体" w:hint="eastAsia"/>
          <w:color w:val="333333"/>
          <w:kern w:val="0"/>
          <w:szCs w:val="21"/>
        </w:rPr>
        <w:t>二、强化发行人及其控股股东等责任主体的诚信义务</w:t>
      </w:r>
    </w:p>
    <w:p w:rsidR="009251F6" w:rsidRPr="009251F6" w:rsidRDefault="009251F6" w:rsidP="009251F6">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9251F6">
        <w:rPr>
          <w:rFonts w:ascii="方正仿宋简体" w:eastAsia="方正仿宋简体" w:hAnsi="宋体" w:cs="宋体" w:hint="eastAsia"/>
          <w:color w:val="333333"/>
          <w:kern w:val="0"/>
          <w:szCs w:val="21"/>
        </w:rPr>
        <w:t>（一）加强对相关责任主体的市场约束</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b/>
          <w:color w:val="FF0000"/>
          <w:kern w:val="0"/>
          <w:szCs w:val="21"/>
        </w:rPr>
      </w:pPr>
      <w:r w:rsidRPr="009251F6">
        <w:rPr>
          <w:rFonts w:ascii="Times New Roman" w:eastAsia="宋体" w:hAnsi="Times New Roman" w:cs="Times New Roman"/>
          <w:color w:val="333333"/>
          <w:kern w:val="0"/>
          <w:szCs w:val="21"/>
        </w:rPr>
        <w:t>1</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发行人控股股东、持有发行人股份的董事和高级管理人员应在公开募集及上市文件中公开承诺</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b/>
          <w:color w:val="FF0000"/>
          <w:kern w:val="0"/>
          <w:szCs w:val="21"/>
        </w:rPr>
        <w:t>所持股票在锁定期满后两年内减持的，其减</w:t>
      </w:r>
      <w:proofErr w:type="gramStart"/>
      <w:r w:rsidRPr="009251F6">
        <w:rPr>
          <w:rFonts w:ascii="Times New Roman" w:eastAsia="宋体" w:hAnsi="Times New Roman" w:cs="Times New Roman"/>
          <w:b/>
          <w:color w:val="FF0000"/>
          <w:kern w:val="0"/>
          <w:szCs w:val="21"/>
        </w:rPr>
        <w:t>持价格</w:t>
      </w:r>
      <w:proofErr w:type="gramEnd"/>
      <w:r w:rsidRPr="009251F6">
        <w:rPr>
          <w:rFonts w:ascii="Times New Roman" w:eastAsia="宋体" w:hAnsi="Times New Roman" w:cs="Times New Roman"/>
          <w:b/>
          <w:color w:val="FF0000"/>
          <w:kern w:val="0"/>
          <w:szCs w:val="21"/>
        </w:rPr>
        <w:t>不低于发行价；公司上市后</w:t>
      </w:r>
      <w:r w:rsidRPr="009251F6">
        <w:rPr>
          <w:rFonts w:ascii="Times New Roman" w:eastAsia="宋体" w:hAnsi="Times New Roman" w:cs="Times New Roman"/>
          <w:b/>
          <w:color w:val="FF0000"/>
          <w:kern w:val="0"/>
          <w:szCs w:val="21"/>
        </w:rPr>
        <w:t>6</w:t>
      </w:r>
      <w:r w:rsidRPr="009251F6">
        <w:rPr>
          <w:rFonts w:ascii="Times New Roman" w:eastAsia="宋体" w:hAnsi="Times New Roman" w:cs="Times New Roman"/>
          <w:b/>
          <w:color w:val="FF0000"/>
          <w:kern w:val="0"/>
          <w:szCs w:val="21"/>
        </w:rPr>
        <w:t>个月内如公司股票连续</w:t>
      </w:r>
      <w:r w:rsidRPr="009251F6">
        <w:rPr>
          <w:rFonts w:ascii="Times New Roman" w:eastAsia="宋体" w:hAnsi="Times New Roman" w:cs="Times New Roman"/>
          <w:b/>
          <w:color w:val="FF0000"/>
          <w:kern w:val="0"/>
          <w:szCs w:val="21"/>
        </w:rPr>
        <w:t>20</w:t>
      </w:r>
      <w:r w:rsidRPr="009251F6">
        <w:rPr>
          <w:rFonts w:ascii="Times New Roman" w:eastAsia="宋体" w:hAnsi="Times New Roman" w:cs="Times New Roman"/>
          <w:b/>
          <w:color w:val="FF0000"/>
          <w:kern w:val="0"/>
          <w:szCs w:val="21"/>
        </w:rPr>
        <w:t>个交易日的收盘价均低于发行价，或者上市后</w:t>
      </w:r>
      <w:r w:rsidRPr="009251F6">
        <w:rPr>
          <w:rFonts w:ascii="Times New Roman" w:eastAsia="宋体" w:hAnsi="Times New Roman" w:cs="Times New Roman"/>
          <w:b/>
          <w:color w:val="FF0000"/>
          <w:kern w:val="0"/>
          <w:szCs w:val="21"/>
        </w:rPr>
        <w:t>6</w:t>
      </w:r>
      <w:r w:rsidRPr="009251F6">
        <w:rPr>
          <w:rFonts w:ascii="Times New Roman" w:eastAsia="宋体" w:hAnsi="Times New Roman" w:cs="Times New Roman"/>
          <w:b/>
          <w:color w:val="FF0000"/>
          <w:kern w:val="0"/>
          <w:szCs w:val="21"/>
        </w:rPr>
        <w:t>个月期末收盘价低于发行价，持有公司股票的锁定期限自动延长至少</w:t>
      </w:r>
      <w:r w:rsidRPr="009251F6">
        <w:rPr>
          <w:rFonts w:ascii="Times New Roman" w:eastAsia="宋体" w:hAnsi="Times New Roman" w:cs="Times New Roman"/>
          <w:b/>
          <w:color w:val="FF0000"/>
          <w:kern w:val="0"/>
          <w:szCs w:val="21"/>
        </w:rPr>
        <w:t>6</w:t>
      </w:r>
      <w:r w:rsidRPr="009251F6">
        <w:rPr>
          <w:rFonts w:ascii="Times New Roman" w:eastAsia="宋体" w:hAnsi="Times New Roman" w:cs="Times New Roman"/>
          <w:b/>
          <w:color w:val="FF0000"/>
          <w:kern w:val="0"/>
          <w:szCs w:val="21"/>
        </w:rPr>
        <w:t>个月。</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2</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发行人及其控股股东、公司董事及高级管理人员应在公开募集及上市文件中提出上市后三年内公司股价低于每股净资产时稳定公司股价的预案，预案应包括启动股价稳定措施的具体条件、可能采取的具体措施等。具体措施可以包括发行人回购公司股票，控股股东、公司董事、高级管理人员增持公司股票等。上述人员在启动股价稳定措施时应提前公告具体实施方案。</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3</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发行人及其控股股东应在公开募集及上市文件中公开承诺，发行人招股说明书有虚假记载、误导性陈述或者重大遗漏，对判断发行人是否符合法律规定的发行条件构成重大、实质影响的，将依法回购首次公开发行的全部新股，且发行人控股股东将购回已转让的原限售股份。发行人及其控股股东、实际控制人、董事、监事、高级管理人员等相关责任主体应</w:t>
      </w:r>
      <w:r w:rsidRPr="009251F6">
        <w:rPr>
          <w:rFonts w:ascii="Times New Roman" w:eastAsia="宋体" w:hAnsi="Times New Roman" w:cs="Times New Roman"/>
          <w:color w:val="333333"/>
          <w:kern w:val="0"/>
          <w:szCs w:val="21"/>
        </w:rPr>
        <w:lastRenderedPageBreak/>
        <w:t>在公开募集及上市文件中公开承诺：发行人招股说明书有虚假记载、误导性陈述或者重大遗漏，致使投资者在证券交易中遭受损失的，将依法赔偿投资者损失。</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保荐机构、会计师事务所等证券服务机构应当在公开募集及上市文件中公开承诺：因其为发行人首次公开发行制作、出具的文件有虚假记载、误导性陈述或者重大遗漏，给投资者造成损失的，将依法赔偿投资者损失。</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（二）提高公司大股东持股意向的透明度。发行人应当在公开募集及上市文件中披露公开发行前持股</w:t>
      </w:r>
      <w:r w:rsidRPr="009251F6">
        <w:rPr>
          <w:rFonts w:ascii="Times New Roman" w:eastAsia="宋体" w:hAnsi="Times New Roman" w:cs="Times New Roman"/>
          <w:color w:val="333333"/>
          <w:kern w:val="0"/>
          <w:szCs w:val="21"/>
        </w:rPr>
        <w:t>5%</w:t>
      </w:r>
      <w:r w:rsidRPr="009251F6">
        <w:rPr>
          <w:rFonts w:ascii="Times New Roman" w:eastAsia="宋体" w:hAnsi="Times New Roman" w:cs="Times New Roman"/>
          <w:color w:val="333333"/>
          <w:kern w:val="0"/>
          <w:szCs w:val="21"/>
        </w:rPr>
        <w:t>以上股东的持股意向及减持意向。持股</w:t>
      </w:r>
      <w:r w:rsidRPr="009251F6">
        <w:rPr>
          <w:rFonts w:ascii="Times New Roman" w:eastAsia="宋体" w:hAnsi="Times New Roman" w:cs="Times New Roman"/>
          <w:color w:val="333333"/>
          <w:kern w:val="0"/>
          <w:szCs w:val="21"/>
        </w:rPr>
        <w:t>5%</w:t>
      </w:r>
      <w:r w:rsidRPr="009251F6">
        <w:rPr>
          <w:rFonts w:ascii="Times New Roman" w:eastAsia="宋体" w:hAnsi="Times New Roman" w:cs="Times New Roman"/>
          <w:color w:val="333333"/>
          <w:kern w:val="0"/>
          <w:szCs w:val="21"/>
        </w:rPr>
        <w:t>以上股东减持时，须提前三个交易日予以公告。</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（三）强化对相关责任主体承诺事项的约束。发行人及其控股股东、公司董事及高级管理人员等责任主体</w:t>
      </w:r>
      <w:proofErr w:type="gramStart"/>
      <w:r w:rsidRPr="009251F6">
        <w:rPr>
          <w:rFonts w:ascii="Times New Roman" w:eastAsia="宋体" w:hAnsi="Times New Roman" w:cs="Times New Roman"/>
          <w:color w:val="333333"/>
          <w:kern w:val="0"/>
          <w:szCs w:val="21"/>
        </w:rPr>
        <w:t>作出</w:t>
      </w:r>
      <w:proofErr w:type="gramEnd"/>
      <w:r w:rsidRPr="009251F6">
        <w:rPr>
          <w:rFonts w:ascii="Times New Roman" w:eastAsia="宋体" w:hAnsi="Times New Roman" w:cs="Times New Roman"/>
          <w:color w:val="333333"/>
          <w:kern w:val="0"/>
          <w:szCs w:val="21"/>
        </w:rPr>
        <w:t>公开承诺事项的，应同时提出未能履行承诺</w:t>
      </w:r>
      <w:r w:rsidRPr="009251F6">
        <w:rPr>
          <w:rFonts w:ascii="方正仿宋简体" w:eastAsia="方正仿宋简体" w:hAnsi="宋体" w:cs="宋体" w:hint="eastAsia"/>
          <w:color w:val="333333"/>
          <w:kern w:val="0"/>
          <w:szCs w:val="21"/>
        </w:rPr>
        <w:t>时</w:t>
      </w:r>
      <w:r w:rsidRPr="009251F6">
        <w:rPr>
          <w:rFonts w:ascii="Times New Roman" w:eastAsia="宋体" w:hAnsi="Times New Roman" w:cs="Times New Roman"/>
          <w:color w:val="333333"/>
          <w:kern w:val="0"/>
          <w:szCs w:val="21"/>
        </w:rPr>
        <w:t>的约束措施，并在公开募集及上市文件中披露，接受社会监督。证券交易所应加强对相关当事人履行公开承诺行为的监督和约束，对不履行承诺的行为及时采取监管措施。</w:t>
      </w:r>
    </w:p>
    <w:p w:rsidR="009251F6" w:rsidRPr="009251F6" w:rsidRDefault="009251F6" w:rsidP="009251F6">
      <w:pPr>
        <w:widowControl/>
        <w:shd w:val="clear" w:color="auto" w:fill="FFFFFF"/>
        <w:snapToGrid w:val="0"/>
        <w:spacing w:line="360" w:lineRule="auto"/>
        <w:ind w:firstLine="600"/>
        <w:jc w:val="left"/>
        <w:rPr>
          <w:rFonts w:ascii="方正黑体简体" w:eastAsia="方正黑体简体" w:hAnsi="宋体" w:cs="宋体"/>
          <w:color w:val="333333"/>
          <w:kern w:val="0"/>
          <w:szCs w:val="21"/>
        </w:rPr>
      </w:pPr>
      <w:r w:rsidRPr="009251F6">
        <w:rPr>
          <w:rFonts w:ascii="方正黑体简体" w:eastAsia="方正黑体简体" w:hAnsi="宋体" w:cs="宋体" w:hint="eastAsia"/>
          <w:color w:val="333333"/>
          <w:kern w:val="0"/>
          <w:szCs w:val="21"/>
        </w:rPr>
        <w:t>三、进一步提高新股定价的市场化程度</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（一）改革新股发行定价方式。按照《证券法》第三十四条的规定，发行价格由发行人与承销的证券公司自行协商确定。发行人应与承销商协商确定定价方式，并在发行公告中披露。</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（二）网下投资者报价后，发行人和主承销商应预先剔除申购总量中报价最高的部分，剔除的申购量不得低于申购总量的</w:t>
      </w:r>
      <w:r w:rsidRPr="009251F6">
        <w:rPr>
          <w:rFonts w:ascii="Times New Roman" w:eastAsia="宋体" w:hAnsi="Times New Roman" w:cs="Times New Roman"/>
          <w:color w:val="333333"/>
          <w:kern w:val="0"/>
          <w:szCs w:val="21"/>
        </w:rPr>
        <w:t>10%</w:t>
      </w:r>
      <w:r w:rsidRPr="009251F6">
        <w:rPr>
          <w:rFonts w:ascii="Times New Roman" w:eastAsia="宋体" w:hAnsi="Times New Roman" w:cs="Times New Roman"/>
          <w:color w:val="333333"/>
          <w:kern w:val="0"/>
          <w:szCs w:val="21"/>
        </w:rPr>
        <w:t>，然后根据剩余报价及申购情况协商确定发行价格。被剔除的申购份额不得参与网下配售。</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公开发行股票数量在</w:t>
      </w:r>
      <w:r w:rsidRPr="009251F6">
        <w:rPr>
          <w:rFonts w:ascii="Times New Roman" w:eastAsia="宋体" w:hAnsi="Times New Roman" w:cs="Times New Roman"/>
          <w:color w:val="333333"/>
          <w:kern w:val="0"/>
          <w:szCs w:val="21"/>
        </w:rPr>
        <w:t>4</w:t>
      </w:r>
      <w:r w:rsidRPr="009251F6">
        <w:rPr>
          <w:rFonts w:ascii="Times New Roman" w:eastAsia="宋体" w:hAnsi="Times New Roman" w:cs="Times New Roman"/>
          <w:color w:val="333333"/>
          <w:kern w:val="0"/>
          <w:szCs w:val="21"/>
        </w:rPr>
        <w:t>亿股以下的，提供有效报价的投资者应不少于</w:t>
      </w:r>
      <w:r w:rsidRPr="009251F6">
        <w:rPr>
          <w:rFonts w:ascii="Times New Roman" w:eastAsia="宋体" w:hAnsi="Times New Roman" w:cs="Times New Roman"/>
          <w:color w:val="333333"/>
          <w:kern w:val="0"/>
          <w:szCs w:val="21"/>
        </w:rPr>
        <w:t>10</w:t>
      </w:r>
      <w:r w:rsidRPr="009251F6">
        <w:rPr>
          <w:rFonts w:ascii="Times New Roman" w:eastAsia="宋体" w:hAnsi="Times New Roman" w:cs="Times New Roman"/>
          <w:color w:val="333333"/>
          <w:kern w:val="0"/>
          <w:szCs w:val="21"/>
        </w:rPr>
        <w:t>家，但不得多于</w:t>
      </w:r>
      <w:r w:rsidRPr="009251F6">
        <w:rPr>
          <w:rFonts w:ascii="Times New Roman" w:eastAsia="宋体" w:hAnsi="Times New Roman" w:cs="Times New Roman"/>
          <w:color w:val="333333"/>
          <w:kern w:val="0"/>
          <w:szCs w:val="21"/>
        </w:rPr>
        <w:t>20</w:t>
      </w:r>
      <w:r w:rsidRPr="009251F6">
        <w:rPr>
          <w:rFonts w:ascii="Times New Roman" w:eastAsia="宋体" w:hAnsi="Times New Roman" w:cs="Times New Roman"/>
          <w:color w:val="333333"/>
          <w:kern w:val="0"/>
          <w:szCs w:val="21"/>
        </w:rPr>
        <w:t>家；公开发行股票数量在</w:t>
      </w:r>
      <w:r w:rsidRPr="009251F6">
        <w:rPr>
          <w:rFonts w:ascii="Times New Roman" w:eastAsia="宋体" w:hAnsi="Times New Roman" w:cs="Times New Roman"/>
          <w:color w:val="333333"/>
          <w:kern w:val="0"/>
          <w:szCs w:val="21"/>
        </w:rPr>
        <w:t>4</w:t>
      </w:r>
      <w:r w:rsidRPr="009251F6">
        <w:rPr>
          <w:rFonts w:ascii="Times New Roman" w:eastAsia="宋体" w:hAnsi="Times New Roman" w:cs="Times New Roman"/>
          <w:color w:val="333333"/>
          <w:kern w:val="0"/>
          <w:szCs w:val="21"/>
        </w:rPr>
        <w:t>亿股以上的，提供有效报价的投资者应不少于</w:t>
      </w:r>
      <w:r w:rsidRPr="009251F6">
        <w:rPr>
          <w:rFonts w:ascii="Times New Roman" w:eastAsia="宋体" w:hAnsi="Times New Roman" w:cs="Times New Roman"/>
          <w:color w:val="333333"/>
          <w:kern w:val="0"/>
          <w:szCs w:val="21"/>
        </w:rPr>
        <w:t>20</w:t>
      </w:r>
      <w:r w:rsidRPr="009251F6">
        <w:rPr>
          <w:rFonts w:ascii="Times New Roman" w:eastAsia="宋体" w:hAnsi="Times New Roman" w:cs="Times New Roman"/>
          <w:color w:val="333333"/>
          <w:kern w:val="0"/>
          <w:szCs w:val="21"/>
        </w:rPr>
        <w:t>家，但不得多于</w:t>
      </w:r>
      <w:r w:rsidRPr="009251F6">
        <w:rPr>
          <w:rFonts w:ascii="Times New Roman" w:eastAsia="宋体" w:hAnsi="Times New Roman" w:cs="Times New Roman"/>
          <w:color w:val="333333"/>
          <w:kern w:val="0"/>
          <w:szCs w:val="21"/>
        </w:rPr>
        <w:t>40</w:t>
      </w:r>
      <w:r w:rsidRPr="009251F6">
        <w:rPr>
          <w:rFonts w:ascii="Times New Roman" w:eastAsia="宋体" w:hAnsi="Times New Roman" w:cs="Times New Roman"/>
          <w:color w:val="333333"/>
          <w:kern w:val="0"/>
          <w:szCs w:val="21"/>
        </w:rPr>
        <w:t>家。网下发行股票筹资总额超过</w:t>
      </w:r>
      <w:r w:rsidRPr="009251F6">
        <w:rPr>
          <w:rFonts w:ascii="Times New Roman" w:eastAsia="宋体" w:hAnsi="Times New Roman" w:cs="Times New Roman"/>
          <w:color w:val="333333"/>
          <w:kern w:val="0"/>
          <w:szCs w:val="21"/>
        </w:rPr>
        <w:t>200</w:t>
      </w:r>
      <w:r w:rsidRPr="009251F6">
        <w:rPr>
          <w:rFonts w:ascii="Times New Roman" w:eastAsia="宋体" w:hAnsi="Times New Roman" w:cs="Times New Roman"/>
          <w:color w:val="333333"/>
          <w:kern w:val="0"/>
          <w:szCs w:val="21"/>
        </w:rPr>
        <w:t>亿的，提供有效报价的投资者可适当增加，但不得多于</w:t>
      </w:r>
      <w:r w:rsidRPr="009251F6">
        <w:rPr>
          <w:rFonts w:ascii="Times New Roman" w:eastAsia="宋体" w:hAnsi="Times New Roman" w:cs="Times New Roman"/>
          <w:color w:val="333333"/>
          <w:kern w:val="0"/>
          <w:szCs w:val="21"/>
        </w:rPr>
        <w:t>60</w:t>
      </w:r>
      <w:r w:rsidRPr="009251F6">
        <w:rPr>
          <w:rFonts w:ascii="Times New Roman" w:eastAsia="宋体" w:hAnsi="Times New Roman" w:cs="Times New Roman"/>
          <w:color w:val="333333"/>
          <w:kern w:val="0"/>
          <w:szCs w:val="21"/>
        </w:rPr>
        <w:t>家。有效报价人数不足的，应当中止发行。</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发挥个人投资者参与发行定价的作用。发行人和主承销商应当允许符合条件的个人投资者参与网下定价和网下配售。具备承销资格的证券公司应预先制定上述个人投资者需具备的条件，并向社会公告。</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三）强化定价过程的信息披露要求。发行人和主承销商应制作定价过程及结果的信息披露文件并公开披露。在网上申购前，发行人和主承销商应当披露每位网下投资者的详细报价情况，包括投资者名称、申购价格及对应的申购数量，所有网下投资者报价的中位数、加权平均数，以公开募集方式设立的证券投资基金报价的中位数和加权平均数，确定的发行价及对应的市盈率等。</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如拟定的发行价格（或发行价格区间上限）的市盈率高于同行业上市公司二级市场平均市盈率的，在网上申购前发行人和主承销商应发布投资风险特别公告，明示该定价可能存在估值过高给投资者带来损失的风险，提醒投资者关注。内容至少</w:t>
      </w:r>
      <w:r w:rsidRPr="009251F6">
        <w:rPr>
          <w:rFonts w:ascii="方正仿宋简体" w:eastAsia="方正仿宋简体" w:hAnsi="宋体" w:cs="宋体" w:hint="eastAsia"/>
          <w:color w:val="333333"/>
          <w:kern w:val="0"/>
          <w:szCs w:val="21"/>
        </w:rPr>
        <w:t>应</w:t>
      </w:r>
      <w:r w:rsidRPr="009251F6">
        <w:rPr>
          <w:rFonts w:ascii="Times New Roman" w:eastAsia="宋体" w:hAnsi="Times New Roman" w:cs="Times New Roman"/>
          <w:color w:val="333333"/>
          <w:kern w:val="0"/>
          <w:szCs w:val="21"/>
        </w:rPr>
        <w:t>包括：</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方正仿宋简体" w:eastAsia="方正仿宋简体" w:hAnsi="宋体" w:cs="宋体" w:hint="eastAsia"/>
          <w:color w:val="333333"/>
          <w:kern w:val="0"/>
          <w:szCs w:val="21"/>
        </w:rPr>
        <w:lastRenderedPageBreak/>
        <w:t>1．</w:t>
      </w:r>
      <w:r w:rsidRPr="009251F6">
        <w:rPr>
          <w:rFonts w:ascii="Times New Roman" w:eastAsia="宋体" w:hAnsi="Times New Roman" w:cs="Times New Roman"/>
          <w:color w:val="333333"/>
          <w:kern w:val="0"/>
          <w:szCs w:val="21"/>
        </w:rPr>
        <w:t>比较分析发行人与同行业上市公司的差异及对发行定价的影响；提请投资者关注所定价格与网下投资者报价之间存在的差异。</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2</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提请投资者关注投资风险，审慎</w:t>
      </w:r>
      <w:proofErr w:type="gramStart"/>
      <w:r w:rsidRPr="009251F6">
        <w:rPr>
          <w:rFonts w:ascii="Times New Roman" w:eastAsia="宋体" w:hAnsi="Times New Roman" w:cs="Times New Roman"/>
          <w:color w:val="333333"/>
          <w:kern w:val="0"/>
          <w:szCs w:val="21"/>
        </w:rPr>
        <w:t>研判发行</w:t>
      </w:r>
      <w:proofErr w:type="gramEnd"/>
      <w:r w:rsidRPr="009251F6">
        <w:rPr>
          <w:rFonts w:ascii="Times New Roman" w:eastAsia="宋体" w:hAnsi="Times New Roman" w:cs="Times New Roman"/>
          <w:color w:val="333333"/>
          <w:kern w:val="0"/>
          <w:szCs w:val="21"/>
        </w:rPr>
        <w:t>定价的合理性，理性做出投资决策。</w:t>
      </w:r>
    </w:p>
    <w:p w:rsidR="009251F6" w:rsidRPr="009251F6" w:rsidRDefault="009251F6" w:rsidP="009251F6">
      <w:pPr>
        <w:widowControl/>
        <w:shd w:val="clear" w:color="auto" w:fill="FFFFFF"/>
        <w:snapToGrid w:val="0"/>
        <w:spacing w:line="360" w:lineRule="auto"/>
        <w:ind w:firstLine="600"/>
        <w:jc w:val="left"/>
        <w:rPr>
          <w:rFonts w:ascii="方正黑体简体" w:eastAsia="方正黑体简体" w:hAnsi="宋体" w:cs="宋体"/>
          <w:color w:val="333333"/>
          <w:kern w:val="0"/>
          <w:szCs w:val="21"/>
        </w:rPr>
      </w:pPr>
      <w:r w:rsidRPr="009251F6">
        <w:rPr>
          <w:rFonts w:ascii="方正黑体简体" w:eastAsia="方正黑体简体" w:hAnsi="宋体" w:cs="宋体" w:hint="eastAsia"/>
          <w:color w:val="333333"/>
          <w:kern w:val="0"/>
          <w:szCs w:val="21"/>
        </w:rPr>
        <w:t>四、改革新股配售方式</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一）引入主承销商自主配售机制。网下发行的股票，由主承销商在提供有效报价的投资者中自主选择投资者进行配售。发行人应与主承销商协商确定网下配售原则和方式，并在发行公告中披露。承销商应当按照事先公告的配售原则进行配售。</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（二）网下配售的股票中至少</w:t>
      </w:r>
      <w:r w:rsidRPr="009251F6">
        <w:rPr>
          <w:rFonts w:ascii="Times New Roman" w:eastAsia="宋体" w:hAnsi="Times New Roman" w:cs="Times New Roman"/>
          <w:color w:val="333333"/>
          <w:kern w:val="0"/>
          <w:szCs w:val="21"/>
        </w:rPr>
        <w:t>40%</w:t>
      </w:r>
      <w:r w:rsidRPr="009251F6">
        <w:rPr>
          <w:rFonts w:ascii="Times New Roman" w:eastAsia="宋体" w:hAnsi="Times New Roman" w:cs="Times New Roman"/>
          <w:color w:val="333333"/>
          <w:kern w:val="0"/>
          <w:szCs w:val="21"/>
        </w:rPr>
        <w:t>应优先向以公开募集方式设立的证券投资基金和由社保基金投资管理人管理的社会保障基金配售。上述投资者有效申购数量不足的，发行人和主承销商可以向其他投资者进行配售。</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（三）调整网下配售比例，强化网下报价约束机制。公司股本</w:t>
      </w:r>
      <w:r w:rsidRPr="009251F6">
        <w:rPr>
          <w:rFonts w:ascii="Times New Roman" w:eastAsia="宋体" w:hAnsi="Times New Roman" w:cs="Times New Roman"/>
          <w:color w:val="333333"/>
          <w:kern w:val="0"/>
          <w:szCs w:val="21"/>
        </w:rPr>
        <w:t>4</w:t>
      </w:r>
      <w:r w:rsidRPr="009251F6">
        <w:rPr>
          <w:rFonts w:ascii="Times New Roman" w:eastAsia="宋体" w:hAnsi="Times New Roman" w:cs="Times New Roman"/>
          <w:color w:val="333333"/>
          <w:kern w:val="0"/>
          <w:szCs w:val="21"/>
        </w:rPr>
        <w:t>亿元以下的，网下配售比例不低于本次公开发行股票数量的</w:t>
      </w:r>
      <w:r w:rsidRPr="009251F6">
        <w:rPr>
          <w:rFonts w:ascii="Times New Roman" w:eastAsia="宋体" w:hAnsi="Times New Roman" w:cs="Times New Roman"/>
          <w:color w:val="333333"/>
          <w:kern w:val="0"/>
          <w:szCs w:val="21"/>
        </w:rPr>
        <w:t>60%</w:t>
      </w:r>
      <w:r w:rsidRPr="009251F6">
        <w:rPr>
          <w:rFonts w:ascii="Times New Roman" w:eastAsia="宋体" w:hAnsi="Times New Roman" w:cs="Times New Roman"/>
          <w:color w:val="333333"/>
          <w:kern w:val="0"/>
          <w:szCs w:val="21"/>
        </w:rPr>
        <w:t>；公司股本超过</w:t>
      </w:r>
      <w:r w:rsidRPr="009251F6">
        <w:rPr>
          <w:rFonts w:ascii="Times New Roman" w:eastAsia="宋体" w:hAnsi="Times New Roman" w:cs="Times New Roman"/>
          <w:color w:val="333333"/>
          <w:kern w:val="0"/>
          <w:szCs w:val="21"/>
        </w:rPr>
        <w:t>4</w:t>
      </w:r>
      <w:r w:rsidRPr="009251F6">
        <w:rPr>
          <w:rFonts w:ascii="Times New Roman" w:eastAsia="宋体" w:hAnsi="Times New Roman" w:cs="Times New Roman"/>
          <w:color w:val="333333"/>
          <w:kern w:val="0"/>
          <w:szCs w:val="21"/>
        </w:rPr>
        <w:t>亿元的，网下配售比例不低于本次公开发行股票数量的</w:t>
      </w:r>
      <w:r w:rsidRPr="009251F6">
        <w:rPr>
          <w:rFonts w:ascii="Times New Roman" w:eastAsia="宋体" w:hAnsi="Times New Roman" w:cs="Times New Roman"/>
          <w:color w:val="333333"/>
          <w:kern w:val="0"/>
          <w:szCs w:val="21"/>
        </w:rPr>
        <w:t>70%</w:t>
      </w:r>
      <w:r w:rsidRPr="009251F6">
        <w:rPr>
          <w:rFonts w:ascii="Times New Roman" w:eastAsia="宋体" w:hAnsi="Times New Roman" w:cs="Times New Roman"/>
          <w:color w:val="333333"/>
          <w:kern w:val="0"/>
          <w:szCs w:val="21"/>
        </w:rPr>
        <w:t>。余下部分向网上投资者发售。既定的网下配售部分认购不足的，应当中止发行，发行人和主承销商不得向网上回拨股票。</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（四）调整网下网上回拨机制。网上投资者有效认购倍数在</w:t>
      </w:r>
      <w:r w:rsidRPr="009251F6">
        <w:rPr>
          <w:rFonts w:ascii="Times New Roman" w:eastAsia="宋体" w:hAnsi="Times New Roman" w:cs="Times New Roman"/>
          <w:color w:val="333333"/>
          <w:kern w:val="0"/>
          <w:szCs w:val="21"/>
        </w:rPr>
        <w:t>50</w:t>
      </w:r>
      <w:r w:rsidRPr="009251F6">
        <w:rPr>
          <w:rFonts w:ascii="Times New Roman" w:eastAsia="宋体" w:hAnsi="Times New Roman" w:cs="Times New Roman"/>
          <w:color w:val="333333"/>
          <w:kern w:val="0"/>
          <w:szCs w:val="21"/>
        </w:rPr>
        <w:t>倍</w:t>
      </w:r>
      <w:proofErr w:type="gramStart"/>
      <w:r w:rsidRPr="009251F6">
        <w:rPr>
          <w:rFonts w:ascii="Times New Roman" w:eastAsia="宋体" w:hAnsi="Times New Roman" w:cs="Times New Roman"/>
          <w:color w:val="333333"/>
          <w:kern w:val="0"/>
          <w:szCs w:val="21"/>
        </w:rPr>
        <w:t>以上但</w:t>
      </w:r>
      <w:proofErr w:type="gramEnd"/>
      <w:r w:rsidRPr="009251F6">
        <w:rPr>
          <w:rFonts w:ascii="Times New Roman" w:eastAsia="宋体" w:hAnsi="Times New Roman" w:cs="Times New Roman"/>
          <w:color w:val="333333"/>
          <w:kern w:val="0"/>
          <w:szCs w:val="21"/>
        </w:rPr>
        <w:t>低于</w:t>
      </w:r>
      <w:r w:rsidRPr="009251F6">
        <w:rPr>
          <w:rFonts w:ascii="Times New Roman" w:eastAsia="宋体" w:hAnsi="Times New Roman" w:cs="Times New Roman"/>
          <w:color w:val="333333"/>
          <w:kern w:val="0"/>
          <w:szCs w:val="21"/>
        </w:rPr>
        <w:t>100</w:t>
      </w:r>
      <w:r w:rsidRPr="009251F6">
        <w:rPr>
          <w:rFonts w:ascii="Times New Roman" w:eastAsia="宋体" w:hAnsi="Times New Roman" w:cs="Times New Roman"/>
          <w:color w:val="333333"/>
          <w:kern w:val="0"/>
          <w:szCs w:val="21"/>
        </w:rPr>
        <w:t>倍的，应从网下向网上回拨，回拨比例为本次公开发行股票数量的</w:t>
      </w:r>
      <w:r w:rsidRPr="009251F6">
        <w:rPr>
          <w:rFonts w:ascii="Times New Roman" w:eastAsia="宋体" w:hAnsi="Times New Roman" w:cs="Times New Roman"/>
          <w:color w:val="333333"/>
          <w:kern w:val="0"/>
          <w:szCs w:val="21"/>
        </w:rPr>
        <w:t>20%</w:t>
      </w:r>
      <w:r w:rsidRPr="009251F6">
        <w:rPr>
          <w:rFonts w:ascii="Times New Roman" w:eastAsia="宋体" w:hAnsi="Times New Roman" w:cs="Times New Roman"/>
          <w:color w:val="333333"/>
          <w:kern w:val="0"/>
          <w:szCs w:val="21"/>
        </w:rPr>
        <w:t>；网上投资者有效认购倍数在</w:t>
      </w:r>
      <w:r w:rsidRPr="009251F6">
        <w:rPr>
          <w:rFonts w:ascii="Times New Roman" w:eastAsia="宋体" w:hAnsi="Times New Roman" w:cs="Times New Roman"/>
          <w:color w:val="333333"/>
          <w:kern w:val="0"/>
          <w:szCs w:val="21"/>
        </w:rPr>
        <w:t>100</w:t>
      </w:r>
      <w:r w:rsidRPr="009251F6">
        <w:rPr>
          <w:rFonts w:ascii="Times New Roman" w:eastAsia="宋体" w:hAnsi="Times New Roman" w:cs="Times New Roman"/>
          <w:color w:val="333333"/>
          <w:kern w:val="0"/>
          <w:szCs w:val="21"/>
        </w:rPr>
        <w:t>倍以上的，回拨比例为本次公开发行股票数量的</w:t>
      </w:r>
      <w:r w:rsidRPr="009251F6">
        <w:rPr>
          <w:rFonts w:ascii="Times New Roman" w:eastAsia="宋体" w:hAnsi="Times New Roman" w:cs="Times New Roman"/>
          <w:color w:val="333333"/>
          <w:kern w:val="0"/>
          <w:szCs w:val="21"/>
        </w:rPr>
        <w:t>40%</w:t>
      </w:r>
      <w:r w:rsidRPr="009251F6">
        <w:rPr>
          <w:rFonts w:ascii="Times New Roman" w:eastAsia="宋体" w:hAnsi="Times New Roman" w:cs="Times New Roman"/>
          <w:color w:val="333333"/>
          <w:kern w:val="0"/>
          <w:szCs w:val="21"/>
        </w:rPr>
        <w:t>。</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（五）改进网上配售方式。持有一定数量非限售股份的投资者才能参与网上申购。网上配售应综合考虑投资者持有非限售股份的市值及申购资金量，进行配号、抽签。</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证券交易所、证券登记结算公司应制订网上配售的实施细则，规范网上配售行为。发行人、主承销商应根据相关规则制订网上配售具体方案并公告。方案必须明确每位投资者网上申购数量的上限，该上限最高不得超过本次网上初始发行股数的千分之一。</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六）强化股票配售过程的信息披露要求。主承销商和发行人应制作配售程序及结果的信息披露文件并公开披露。发行人和主承销商应当在发行公告中披露投资者参与自主配售的条件、配售原则；自主配售结束后应披露配售结果，包括获</w:t>
      </w:r>
      <w:r w:rsidRPr="009251F6">
        <w:rPr>
          <w:rFonts w:ascii="方正仿宋简体" w:eastAsia="方正仿宋简体" w:hAnsi="宋体" w:cs="宋体" w:hint="eastAsia"/>
          <w:color w:val="333333"/>
          <w:kern w:val="0"/>
          <w:szCs w:val="21"/>
        </w:rPr>
        <w:t>得</w:t>
      </w:r>
      <w:r w:rsidRPr="009251F6">
        <w:rPr>
          <w:rFonts w:ascii="Times New Roman" w:eastAsia="宋体" w:hAnsi="Times New Roman" w:cs="Times New Roman"/>
          <w:color w:val="333333"/>
          <w:kern w:val="0"/>
          <w:szCs w:val="21"/>
        </w:rPr>
        <w:t>配</w:t>
      </w:r>
      <w:r w:rsidRPr="009251F6">
        <w:rPr>
          <w:rFonts w:ascii="方正仿宋简体" w:eastAsia="方正仿宋简体" w:hAnsi="宋体" w:cs="宋体" w:hint="eastAsia"/>
          <w:color w:val="333333"/>
          <w:kern w:val="0"/>
          <w:szCs w:val="21"/>
        </w:rPr>
        <w:t>售</w:t>
      </w:r>
      <w:r w:rsidRPr="009251F6">
        <w:rPr>
          <w:rFonts w:ascii="Times New Roman" w:eastAsia="宋体" w:hAnsi="Times New Roman" w:cs="Times New Roman"/>
          <w:color w:val="333333"/>
          <w:kern w:val="0"/>
          <w:szCs w:val="21"/>
        </w:rPr>
        <w:t>的投资者名称、报价、申购数量及配售数额等，主承销商应说明自主配售结果是否符合事先公布的配售原则；对于提供有效报价但未参与申购，或实际申购数量明显少于报价时拟申购</w:t>
      </w:r>
      <w:r w:rsidRPr="009251F6">
        <w:rPr>
          <w:rFonts w:ascii="方正仿宋简体" w:eastAsia="方正仿宋简体" w:hAnsi="宋体" w:cs="宋体" w:hint="eastAsia"/>
          <w:color w:val="333333"/>
          <w:kern w:val="0"/>
          <w:szCs w:val="21"/>
        </w:rPr>
        <w:t>数</w:t>
      </w:r>
      <w:r w:rsidRPr="009251F6">
        <w:rPr>
          <w:rFonts w:ascii="Times New Roman" w:eastAsia="宋体" w:hAnsi="Times New Roman" w:cs="Times New Roman"/>
          <w:color w:val="333333"/>
          <w:kern w:val="0"/>
          <w:szCs w:val="21"/>
        </w:rPr>
        <w:t>量的投资者，发行人和主承销商应在配售结果中列表公示。</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发行人、主承销商、参与网下配售的投资者及相关利益</w:t>
      </w:r>
      <w:proofErr w:type="gramStart"/>
      <w:r w:rsidRPr="009251F6">
        <w:rPr>
          <w:rFonts w:ascii="Times New Roman" w:eastAsia="宋体" w:hAnsi="Times New Roman" w:cs="Times New Roman"/>
          <w:color w:val="333333"/>
          <w:kern w:val="0"/>
          <w:szCs w:val="21"/>
        </w:rPr>
        <w:t>方存在</w:t>
      </w:r>
      <w:proofErr w:type="gramEnd"/>
      <w:r w:rsidRPr="009251F6">
        <w:rPr>
          <w:rFonts w:ascii="Times New Roman" w:eastAsia="宋体" w:hAnsi="Times New Roman" w:cs="Times New Roman"/>
          <w:color w:val="333333"/>
          <w:kern w:val="0"/>
          <w:szCs w:val="21"/>
        </w:rPr>
        <w:t>维护公司股票上市后价格稳定的协议或约定的，发行人应在上市公告中予以披露。</w:t>
      </w:r>
    </w:p>
    <w:p w:rsidR="009251F6" w:rsidRPr="009251F6" w:rsidRDefault="009251F6" w:rsidP="009251F6">
      <w:pPr>
        <w:widowControl/>
        <w:shd w:val="clear" w:color="auto" w:fill="FFFFFF"/>
        <w:snapToGrid w:val="0"/>
        <w:spacing w:line="360" w:lineRule="auto"/>
        <w:ind w:firstLine="600"/>
        <w:jc w:val="left"/>
        <w:rPr>
          <w:rFonts w:ascii="方正黑体简体" w:eastAsia="方正黑体简体" w:hAnsi="宋体" w:cs="宋体"/>
          <w:b/>
          <w:bCs/>
          <w:color w:val="333333"/>
          <w:kern w:val="0"/>
          <w:szCs w:val="21"/>
        </w:rPr>
      </w:pPr>
      <w:r w:rsidRPr="009251F6">
        <w:rPr>
          <w:rFonts w:ascii="方正黑体简体" w:eastAsia="方正黑体简体" w:hAnsi="宋体" w:cs="宋体" w:hint="eastAsia"/>
          <w:color w:val="333333"/>
          <w:kern w:val="0"/>
          <w:szCs w:val="21"/>
        </w:rPr>
        <w:t>五、加大监管执法力度，切实维护“三公”原则</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（一）保荐机构与发行人签订发行上市相关的辅导协议后，应及时在保荐机构网站及发行人</w:t>
      </w:r>
      <w:proofErr w:type="gramStart"/>
      <w:r w:rsidRPr="009251F6">
        <w:rPr>
          <w:rFonts w:ascii="Times New Roman" w:eastAsia="宋体" w:hAnsi="Times New Roman" w:cs="Times New Roman"/>
          <w:color w:val="333333"/>
          <w:kern w:val="0"/>
          <w:szCs w:val="21"/>
        </w:rPr>
        <w:t>注册地证监</w:t>
      </w:r>
      <w:proofErr w:type="gramEnd"/>
      <w:r w:rsidRPr="009251F6">
        <w:rPr>
          <w:rFonts w:ascii="方正仿宋简体" w:eastAsia="方正仿宋简体" w:hAnsi="宋体" w:cs="宋体" w:hint="eastAsia"/>
          <w:color w:val="333333"/>
          <w:kern w:val="0"/>
          <w:szCs w:val="21"/>
        </w:rPr>
        <w:t>局</w:t>
      </w:r>
      <w:r w:rsidRPr="009251F6">
        <w:rPr>
          <w:rFonts w:ascii="Times New Roman" w:eastAsia="宋体" w:hAnsi="Times New Roman" w:cs="Times New Roman"/>
          <w:color w:val="333333"/>
          <w:kern w:val="0"/>
          <w:szCs w:val="21"/>
        </w:rPr>
        <w:t>网站披露对发行人的辅导工作进展；辅导工作结束后，应对辅导过程、内容及效果进行总结并在上述网站披露。</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lastRenderedPageBreak/>
        <w:t>（二）进一步提高信息披露质量。以投资者的决策需要为导向，改进信息披露内容和格式，突出披露重点，强化对发行人主要业务及业务模式、外部市场环境、经营业绩、主要风险因素等对投资者投资决策有重大影响的信息披露要求。使用浅白语言，提高披露信息的可读性，方便广大中小投资者阅读和监督。</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（三）在发审会前，中国证监会将对保荐机构、会计师事务所、律师事务所等相关中介机构的工作底稿及尽职履</w:t>
      </w:r>
      <w:proofErr w:type="gramStart"/>
      <w:r w:rsidRPr="009251F6">
        <w:rPr>
          <w:rFonts w:ascii="Times New Roman" w:eastAsia="宋体" w:hAnsi="Times New Roman" w:cs="Times New Roman"/>
          <w:color w:val="333333"/>
          <w:kern w:val="0"/>
          <w:szCs w:val="21"/>
        </w:rPr>
        <w:t>责情况</w:t>
      </w:r>
      <w:proofErr w:type="gramEnd"/>
      <w:r w:rsidRPr="009251F6">
        <w:rPr>
          <w:rFonts w:ascii="Times New Roman" w:eastAsia="宋体" w:hAnsi="Times New Roman" w:cs="Times New Roman"/>
          <w:color w:val="333333"/>
          <w:kern w:val="0"/>
          <w:szCs w:val="21"/>
        </w:rPr>
        <w:t>进行抽查。</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（四）强化发行监管与稽查</w:t>
      </w:r>
      <w:r w:rsidRPr="009251F6">
        <w:rPr>
          <w:rFonts w:ascii="方正仿宋简体" w:eastAsia="方正仿宋简体" w:hAnsi="宋体" w:cs="宋体" w:hint="eastAsia"/>
          <w:color w:val="333333"/>
          <w:kern w:val="0"/>
          <w:szCs w:val="21"/>
        </w:rPr>
        <w:t>执法</w:t>
      </w:r>
      <w:r w:rsidRPr="009251F6">
        <w:rPr>
          <w:rFonts w:ascii="Times New Roman" w:eastAsia="宋体" w:hAnsi="Times New Roman" w:cs="Times New Roman"/>
          <w:color w:val="333333"/>
          <w:kern w:val="0"/>
          <w:szCs w:val="21"/>
        </w:rPr>
        <w:t>的联动机制。从申请文件被行政受理时点起，发行人及其董事、监事、高级管理人员及相关中介机构即需要对申请文件的真实性、准确性、完整性承担相应</w:t>
      </w:r>
      <w:r w:rsidRPr="009251F6">
        <w:rPr>
          <w:rFonts w:ascii="方正仿宋简体" w:eastAsia="方正仿宋简体" w:hAnsi="宋体" w:cs="宋体" w:hint="eastAsia"/>
          <w:color w:val="333333"/>
          <w:kern w:val="0"/>
          <w:szCs w:val="21"/>
        </w:rPr>
        <w:t>的</w:t>
      </w:r>
      <w:r w:rsidRPr="009251F6">
        <w:rPr>
          <w:rFonts w:ascii="Times New Roman" w:eastAsia="宋体" w:hAnsi="Times New Roman" w:cs="Times New Roman"/>
          <w:color w:val="333333"/>
          <w:kern w:val="0"/>
          <w:szCs w:val="21"/>
        </w:rPr>
        <w:t>法律责任。审核中发现涉嫌违法违规重大问题的，立即移交稽查部门介入调查。</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五）强化新股发行的过程监管、行为监管和事后问责。发行人和承销商不得向发行人、发行人董事及高级管理人员、承销商及上述人员的关联方配售股票。发行人和承销商不得采取操纵新股价格、暗箱操作或其他有违公开、公平、公正原则的行为；不得采取劝诱网下投资者抬高报价但不向其配售股票的行为；不得通过自主配售以代持、信托持股等方式向其他相关利益主体输送利益或谋取不正当利益。</w:t>
      </w:r>
      <w:r w:rsidRPr="009251F6">
        <w:rPr>
          <w:rFonts w:ascii="方正仿宋简体" w:eastAsia="方正仿宋简体" w:hAnsi="宋体" w:cs="宋体" w:hint="eastAsia"/>
          <w:color w:val="333333"/>
          <w:kern w:val="0"/>
          <w:szCs w:val="21"/>
        </w:rPr>
        <w:t>中国</w:t>
      </w:r>
      <w:r w:rsidRPr="009251F6">
        <w:rPr>
          <w:rFonts w:ascii="Times New Roman" w:eastAsia="宋体" w:hAnsi="Times New Roman" w:cs="Times New Roman"/>
          <w:color w:val="333333"/>
          <w:kern w:val="0"/>
          <w:szCs w:val="21"/>
        </w:rPr>
        <w:t>证券业协会应制定自律规则，规范路演推介、投资价值分析报告披露、承销商自主配售等行为，加强行业自律管理。</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（六）证券交易所应进一步完善新股上市首日开盘价格形成机制及新股上市初期交易机制，建立以新股发行价为比较基准的上市首日停牌机制，加强对</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炒新</w:t>
      </w:r>
      <w:r w:rsidRPr="009251F6">
        <w:rPr>
          <w:rFonts w:ascii="方正仿宋简体" w:eastAsia="方正仿宋简体" w:hAnsi="宋体" w:cs="宋体" w:hint="eastAsia"/>
          <w:color w:val="333333"/>
          <w:kern w:val="0"/>
          <w:szCs w:val="21"/>
        </w:rPr>
        <w:t>”</w:t>
      </w:r>
      <w:r w:rsidRPr="009251F6">
        <w:rPr>
          <w:rFonts w:ascii="Times New Roman" w:eastAsia="宋体" w:hAnsi="Times New Roman" w:cs="Times New Roman"/>
          <w:color w:val="333333"/>
          <w:kern w:val="0"/>
          <w:szCs w:val="21"/>
        </w:rPr>
        <w:t>行为的约束。</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七）发行人上市后，保荐机构应严格依法履行持续督导职责，督促发行人履行有关上市公司规范运行、信守承诺和信息披露等义务，审阅发行人信息披露文件及发行人向中国证监会、证券交易所提交的其他文件。持续督导期内，保荐机构应按规定公开披露定期跟踪报告；发行人出现重大变故或事件，保荐机构应按规定公开披露临时报告。持续督导期结束后</w:t>
      </w:r>
      <w:r w:rsidRPr="009251F6">
        <w:rPr>
          <w:rFonts w:ascii="Times New Roman" w:eastAsia="宋体" w:hAnsi="Times New Roman" w:cs="Times New Roman"/>
          <w:color w:val="333333"/>
          <w:kern w:val="0"/>
          <w:szCs w:val="21"/>
        </w:rPr>
        <w:t>20</w:t>
      </w:r>
      <w:r w:rsidRPr="009251F6">
        <w:rPr>
          <w:rFonts w:ascii="Times New Roman" w:eastAsia="宋体" w:hAnsi="Times New Roman" w:cs="Times New Roman"/>
          <w:color w:val="333333"/>
          <w:kern w:val="0"/>
          <w:szCs w:val="21"/>
        </w:rPr>
        <w:t>个工作日内，保荐机构应撰写督导工作报告，在中国证监会指定网站披露，并就督导工作未尽事宜</w:t>
      </w:r>
      <w:proofErr w:type="gramStart"/>
      <w:r w:rsidRPr="009251F6">
        <w:rPr>
          <w:rFonts w:ascii="Times New Roman" w:eastAsia="宋体" w:hAnsi="Times New Roman" w:cs="Times New Roman"/>
          <w:color w:val="333333"/>
          <w:kern w:val="0"/>
          <w:szCs w:val="21"/>
        </w:rPr>
        <w:t>作出</w:t>
      </w:r>
      <w:proofErr w:type="gramEnd"/>
      <w:r w:rsidRPr="009251F6">
        <w:rPr>
          <w:rFonts w:ascii="Times New Roman" w:eastAsia="宋体" w:hAnsi="Times New Roman" w:cs="Times New Roman"/>
          <w:color w:val="333333"/>
          <w:kern w:val="0"/>
          <w:szCs w:val="21"/>
        </w:rPr>
        <w:t>安排。持续督导责任落实不到位的，依法追究保荐机构责任。</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（八）发行人上市当年营业利润比上年下滑</w:t>
      </w:r>
      <w:r w:rsidRPr="009251F6">
        <w:rPr>
          <w:rFonts w:ascii="Times New Roman" w:eastAsia="宋体" w:hAnsi="Times New Roman" w:cs="Times New Roman"/>
          <w:color w:val="333333"/>
          <w:kern w:val="0"/>
          <w:szCs w:val="21"/>
        </w:rPr>
        <w:t>50%</w:t>
      </w:r>
      <w:r w:rsidRPr="009251F6">
        <w:rPr>
          <w:rFonts w:ascii="Times New Roman" w:eastAsia="宋体" w:hAnsi="Times New Roman" w:cs="Times New Roman"/>
          <w:color w:val="333333"/>
          <w:kern w:val="0"/>
          <w:szCs w:val="21"/>
        </w:rPr>
        <w:t>以上或上市当年即亏损的，中国证监会将自确认之日</w:t>
      </w:r>
      <w:proofErr w:type="gramStart"/>
      <w:r w:rsidRPr="009251F6">
        <w:rPr>
          <w:rFonts w:ascii="Times New Roman" w:eastAsia="宋体" w:hAnsi="Times New Roman" w:cs="Times New Roman"/>
          <w:color w:val="333333"/>
          <w:kern w:val="0"/>
          <w:szCs w:val="21"/>
        </w:rPr>
        <w:t>起即暂不受理</w:t>
      </w:r>
      <w:proofErr w:type="gramEnd"/>
      <w:r w:rsidRPr="009251F6">
        <w:rPr>
          <w:rFonts w:ascii="Times New Roman" w:eastAsia="宋体" w:hAnsi="Times New Roman" w:cs="Times New Roman"/>
          <w:color w:val="333333"/>
          <w:kern w:val="0"/>
          <w:szCs w:val="21"/>
        </w:rPr>
        <w:t>相关保荐机构推荐的发行申请，并移交稽查部门查处。发行人在招股说明书中已经明确具体地提示上述业绩下滑风险、或存在其他法定免责情形的，不在此列。</w:t>
      </w:r>
    </w:p>
    <w:p w:rsidR="009251F6" w:rsidRPr="009251F6" w:rsidRDefault="009251F6" w:rsidP="009251F6">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9251F6">
        <w:rPr>
          <w:rFonts w:ascii="Times New Roman" w:eastAsia="宋体" w:hAnsi="Times New Roman" w:cs="Times New Roman"/>
          <w:color w:val="333333"/>
          <w:kern w:val="0"/>
          <w:szCs w:val="21"/>
        </w:rPr>
        <w:t>上市公司涉嫌欺诈上市的，立案查处时即采取措施冻结发行人募集资金专用账户。</w:t>
      </w:r>
    </w:p>
    <w:p w:rsidR="009D1EC7" w:rsidRPr="009251F6" w:rsidRDefault="009251F6" w:rsidP="009251F6">
      <w:pPr>
        <w:widowControl/>
        <w:shd w:val="clear" w:color="auto" w:fill="FFFFFF"/>
        <w:snapToGrid w:val="0"/>
        <w:spacing w:line="360" w:lineRule="auto"/>
        <w:ind w:firstLine="600"/>
        <w:jc w:val="left"/>
      </w:pPr>
      <w:r w:rsidRPr="009251F6">
        <w:rPr>
          <w:rFonts w:ascii="Times New Roman" w:eastAsia="宋体" w:hAnsi="Times New Roman" w:cs="Times New Roman"/>
          <w:color w:val="333333"/>
          <w:kern w:val="0"/>
          <w:szCs w:val="21"/>
        </w:rPr>
        <w:t>（九）进一步加大对发行人信息披露责任和中介机构保荐、承销执业行为的监督执法和自律监管力度。建立和完善中国证监会保荐信用监管系统、</w:t>
      </w:r>
      <w:r w:rsidRPr="009251F6">
        <w:rPr>
          <w:rFonts w:ascii="方正仿宋简体" w:eastAsia="方正仿宋简体" w:hAnsi="宋体" w:cs="宋体" w:hint="eastAsia"/>
          <w:color w:val="333333"/>
          <w:kern w:val="0"/>
          <w:szCs w:val="21"/>
        </w:rPr>
        <w:t>中国</w:t>
      </w:r>
      <w:r w:rsidRPr="009251F6">
        <w:rPr>
          <w:rFonts w:ascii="Times New Roman" w:eastAsia="宋体" w:hAnsi="Times New Roman" w:cs="Times New Roman"/>
          <w:color w:val="333333"/>
          <w:kern w:val="0"/>
          <w:szCs w:val="21"/>
        </w:rPr>
        <w:t>证券业协会从业人员自律管理系统与</w:t>
      </w:r>
      <w:r w:rsidRPr="009251F6">
        <w:rPr>
          <w:rFonts w:ascii="方正仿宋简体" w:eastAsia="方正仿宋简体" w:hAnsi="宋体" w:cs="宋体" w:hint="eastAsia"/>
          <w:color w:val="333333"/>
          <w:kern w:val="0"/>
          <w:szCs w:val="21"/>
        </w:rPr>
        <w:t>证券</w:t>
      </w:r>
      <w:r w:rsidRPr="009251F6">
        <w:rPr>
          <w:rFonts w:ascii="Times New Roman" w:eastAsia="宋体" w:hAnsi="Times New Roman" w:cs="Times New Roman"/>
          <w:color w:val="333333"/>
          <w:kern w:val="0"/>
          <w:szCs w:val="21"/>
        </w:rPr>
        <w:t>交易所信息披露系统之间的信息共享和互通互联，方便社会公众参与监督，强化外部声誉和诚信机制的约束功能。发行人及其董事、监事、高级管理人员未能诚实履行信息披露义务、信息披露严重违规、财务造假，或</w:t>
      </w:r>
      <w:bookmarkStart w:id="0" w:name="_GoBack"/>
      <w:bookmarkEnd w:id="0"/>
      <w:r w:rsidRPr="009251F6">
        <w:rPr>
          <w:rFonts w:ascii="Times New Roman" w:eastAsia="宋体" w:hAnsi="Times New Roman" w:cs="Times New Roman"/>
          <w:color w:val="333333"/>
          <w:kern w:val="0"/>
          <w:szCs w:val="21"/>
        </w:rPr>
        <w:t>者保荐机构、会计师事务所、律师事务所等相关中介机构未能勤勉尽责的，依法严惩。</w:t>
      </w:r>
    </w:p>
    <w:sectPr w:rsidR="009D1EC7" w:rsidRPr="00925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9ED" w:rsidRDefault="002A59ED" w:rsidP="00E85FF2">
      <w:r>
        <w:separator/>
      </w:r>
    </w:p>
  </w:endnote>
  <w:endnote w:type="continuationSeparator" w:id="0">
    <w:p w:rsidR="002A59ED" w:rsidRDefault="002A59ED" w:rsidP="00E8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方正仿宋简体">
    <w:altName w:val="宋体"/>
    <w:panose1 w:val="00000000000000000000"/>
    <w:charset w:val="86"/>
    <w:family w:val="roman"/>
    <w:notTrueType/>
    <w:pitch w:val="default"/>
    <w:sig w:usb0="00000001" w:usb1="080E0000" w:usb2="00000010" w:usb3="00000000" w:csb0="00040000" w:csb1="00000000"/>
  </w:font>
  <w:font w:name="方正黑体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9ED" w:rsidRDefault="002A59ED" w:rsidP="00E85FF2">
      <w:r>
        <w:separator/>
      </w:r>
    </w:p>
  </w:footnote>
  <w:footnote w:type="continuationSeparator" w:id="0">
    <w:p w:rsidR="002A59ED" w:rsidRDefault="002A59ED" w:rsidP="00E85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DE8"/>
    <w:rsid w:val="002A59ED"/>
    <w:rsid w:val="00335629"/>
    <w:rsid w:val="003A53F9"/>
    <w:rsid w:val="0048212A"/>
    <w:rsid w:val="007A7FDB"/>
    <w:rsid w:val="009251F6"/>
    <w:rsid w:val="009D1EC7"/>
    <w:rsid w:val="00C026CE"/>
    <w:rsid w:val="00E85FF2"/>
    <w:rsid w:val="00F62DE8"/>
    <w:rsid w:val="00FF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1">
    <w:name w:val="p01"/>
    <w:basedOn w:val="a"/>
    <w:rsid w:val="009251F6"/>
    <w:pPr>
      <w:widowControl/>
      <w:spacing w:before="90" w:after="90"/>
      <w:jc w:val="left"/>
    </w:pPr>
    <w:rPr>
      <w:rFonts w:ascii="宋体" w:eastAsia="宋体" w:hAnsi="宋体" w:cs="宋体"/>
      <w:kern w:val="0"/>
      <w:szCs w:val="21"/>
    </w:rPr>
  </w:style>
  <w:style w:type="paragraph" w:styleId="a3">
    <w:name w:val="header"/>
    <w:basedOn w:val="a"/>
    <w:link w:val="Char"/>
    <w:uiPriority w:val="99"/>
    <w:unhideWhenUsed/>
    <w:rsid w:val="00E8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FF2"/>
    <w:rPr>
      <w:sz w:val="18"/>
      <w:szCs w:val="18"/>
    </w:rPr>
  </w:style>
  <w:style w:type="paragraph" w:styleId="a4">
    <w:name w:val="footer"/>
    <w:basedOn w:val="a"/>
    <w:link w:val="Char0"/>
    <w:uiPriority w:val="99"/>
    <w:unhideWhenUsed/>
    <w:rsid w:val="00E85FF2"/>
    <w:pPr>
      <w:tabs>
        <w:tab w:val="center" w:pos="4153"/>
        <w:tab w:val="right" w:pos="8306"/>
      </w:tabs>
      <w:snapToGrid w:val="0"/>
      <w:jc w:val="left"/>
    </w:pPr>
    <w:rPr>
      <w:sz w:val="18"/>
      <w:szCs w:val="18"/>
    </w:rPr>
  </w:style>
  <w:style w:type="character" w:customStyle="1" w:styleId="Char0">
    <w:name w:val="页脚 Char"/>
    <w:basedOn w:val="a0"/>
    <w:link w:val="a4"/>
    <w:uiPriority w:val="99"/>
    <w:rsid w:val="00E85FF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1">
    <w:name w:val="p01"/>
    <w:basedOn w:val="a"/>
    <w:rsid w:val="009251F6"/>
    <w:pPr>
      <w:widowControl/>
      <w:spacing w:before="90" w:after="90"/>
      <w:jc w:val="left"/>
    </w:pPr>
    <w:rPr>
      <w:rFonts w:ascii="宋体" w:eastAsia="宋体" w:hAnsi="宋体" w:cs="宋体"/>
      <w:kern w:val="0"/>
      <w:szCs w:val="21"/>
    </w:rPr>
  </w:style>
  <w:style w:type="paragraph" w:styleId="a3">
    <w:name w:val="header"/>
    <w:basedOn w:val="a"/>
    <w:link w:val="Char"/>
    <w:uiPriority w:val="99"/>
    <w:unhideWhenUsed/>
    <w:rsid w:val="00E8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FF2"/>
    <w:rPr>
      <w:sz w:val="18"/>
      <w:szCs w:val="18"/>
    </w:rPr>
  </w:style>
  <w:style w:type="paragraph" w:styleId="a4">
    <w:name w:val="footer"/>
    <w:basedOn w:val="a"/>
    <w:link w:val="Char0"/>
    <w:uiPriority w:val="99"/>
    <w:unhideWhenUsed/>
    <w:rsid w:val="00E85FF2"/>
    <w:pPr>
      <w:tabs>
        <w:tab w:val="center" w:pos="4153"/>
        <w:tab w:val="right" w:pos="8306"/>
      </w:tabs>
      <w:snapToGrid w:val="0"/>
      <w:jc w:val="left"/>
    </w:pPr>
    <w:rPr>
      <w:sz w:val="18"/>
      <w:szCs w:val="18"/>
    </w:rPr>
  </w:style>
  <w:style w:type="character" w:customStyle="1" w:styleId="Char0">
    <w:name w:val="页脚 Char"/>
    <w:basedOn w:val="a0"/>
    <w:link w:val="a4"/>
    <w:uiPriority w:val="99"/>
    <w:rsid w:val="00E85F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659409">
      <w:bodyDiv w:val="1"/>
      <w:marLeft w:val="0"/>
      <w:marRight w:val="0"/>
      <w:marTop w:val="0"/>
      <w:marBottom w:val="0"/>
      <w:divBdr>
        <w:top w:val="none" w:sz="0" w:space="0" w:color="auto"/>
        <w:left w:val="none" w:sz="0" w:space="0" w:color="auto"/>
        <w:bottom w:val="none" w:sz="0" w:space="0" w:color="auto"/>
        <w:right w:val="none" w:sz="0" w:space="0" w:color="auto"/>
      </w:divBdr>
      <w:divsChild>
        <w:div w:id="1899128864">
          <w:marLeft w:val="0"/>
          <w:marRight w:val="0"/>
          <w:marTop w:val="0"/>
          <w:marBottom w:val="0"/>
          <w:divBdr>
            <w:top w:val="none" w:sz="0" w:space="0" w:color="auto"/>
            <w:left w:val="none" w:sz="0" w:space="0" w:color="auto"/>
            <w:bottom w:val="none" w:sz="0" w:space="0" w:color="auto"/>
            <w:right w:val="none" w:sz="0" w:space="0" w:color="auto"/>
          </w:divBdr>
          <w:divsChild>
            <w:div w:id="932517979">
              <w:marLeft w:val="0"/>
              <w:marRight w:val="0"/>
              <w:marTop w:val="0"/>
              <w:marBottom w:val="0"/>
              <w:divBdr>
                <w:top w:val="none" w:sz="0" w:space="0" w:color="auto"/>
                <w:left w:val="none" w:sz="0" w:space="0" w:color="auto"/>
                <w:bottom w:val="none" w:sz="0" w:space="0" w:color="auto"/>
                <w:right w:val="none" w:sz="0" w:space="0" w:color="auto"/>
              </w:divBdr>
              <w:divsChild>
                <w:div w:id="1059792640">
                  <w:marLeft w:val="105"/>
                  <w:marRight w:val="105"/>
                  <w:marTop w:val="0"/>
                  <w:marBottom w:val="0"/>
                  <w:divBdr>
                    <w:top w:val="none" w:sz="0" w:space="0" w:color="auto"/>
                    <w:left w:val="none" w:sz="0" w:space="0" w:color="auto"/>
                    <w:bottom w:val="none" w:sz="0" w:space="0" w:color="auto"/>
                    <w:right w:val="none" w:sz="0" w:space="0" w:color="auto"/>
                  </w:divBdr>
                  <w:divsChild>
                    <w:div w:id="159321627">
                      <w:marLeft w:val="0"/>
                      <w:marRight w:val="0"/>
                      <w:marTop w:val="0"/>
                      <w:marBottom w:val="0"/>
                      <w:divBdr>
                        <w:top w:val="none" w:sz="0" w:space="0" w:color="auto"/>
                        <w:left w:val="none" w:sz="0" w:space="0" w:color="auto"/>
                        <w:bottom w:val="none" w:sz="0" w:space="0" w:color="auto"/>
                        <w:right w:val="none" w:sz="0" w:space="0" w:color="auto"/>
                      </w:divBdr>
                      <w:divsChild>
                        <w:div w:id="1338538126">
                          <w:marLeft w:val="0"/>
                          <w:marRight w:val="0"/>
                          <w:marTop w:val="0"/>
                          <w:marBottom w:val="0"/>
                          <w:divBdr>
                            <w:top w:val="none" w:sz="0" w:space="0" w:color="auto"/>
                            <w:left w:val="none" w:sz="0" w:space="0" w:color="auto"/>
                            <w:bottom w:val="single" w:sz="12" w:space="11" w:color="CCCCCC"/>
                            <w:right w:val="none" w:sz="0" w:space="0" w:color="auto"/>
                          </w:divBdr>
                        </w:div>
                        <w:div w:id="2036617017">
                          <w:marLeft w:val="0"/>
                          <w:marRight w:val="0"/>
                          <w:marTop w:val="0"/>
                          <w:marBottom w:val="300"/>
                          <w:divBdr>
                            <w:top w:val="none" w:sz="0" w:space="0" w:color="auto"/>
                            <w:left w:val="none" w:sz="0" w:space="0" w:color="auto"/>
                            <w:bottom w:val="none" w:sz="0" w:space="0" w:color="auto"/>
                            <w:right w:val="none" w:sz="0" w:space="0" w:color="auto"/>
                          </w:divBdr>
                        </w:div>
                        <w:div w:id="16969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58843">
      <w:bodyDiv w:val="1"/>
      <w:marLeft w:val="0"/>
      <w:marRight w:val="0"/>
      <w:marTop w:val="0"/>
      <w:marBottom w:val="0"/>
      <w:divBdr>
        <w:top w:val="none" w:sz="0" w:space="0" w:color="auto"/>
        <w:left w:val="none" w:sz="0" w:space="0" w:color="auto"/>
        <w:bottom w:val="none" w:sz="0" w:space="0" w:color="auto"/>
        <w:right w:val="none" w:sz="0" w:space="0" w:color="auto"/>
      </w:divBdr>
      <w:divsChild>
        <w:div w:id="1413040138">
          <w:marLeft w:val="0"/>
          <w:marRight w:val="0"/>
          <w:marTop w:val="0"/>
          <w:marBottom w:val="0"/>
          <w:divBdr>
            <w:top w:val="none" w:sz="0" w:space="0" w:color="auto"/>
            <w:left w:val="none" w:sz="0" w:space="0" w:color="auto"/>
            <w:bottom w:val="none" w:sz="0" w:space="0" w:color="auto"/>
            <w:right w:val="none" w:sz="0" w:space="0" w:color="auto"/>
          </w:divBdr>
          <w:divsChild>
            <w:div w:id="408310922">
              <w:marLeft w:val="0"/>
              <w:marRight w:val="0"/>
              <w:marTop w:val="0"/>
              <w:marBottom w:val="0"/>
              <w:divBdr>
                <w:top w:val="none" w:sz="0" w:space="0" w:color="auto"/>
                <w:left w:val="none" w:sz="0" w:space="0" w:color="auto"/>
                <w:bottom w:val="none" w:sz="0" w:space="0" w:color="auto"/>
                <w:right w:val="none" w:sz="0" w:space="0" w:color="auto"/>
              </w:divBdr>
              <w:divsChild>
                <w:div w:id="183712869">
                  <w:marLeft w:val="105"/>
                  <w:marRight w:val="105"/>
                  <w:marTop w:val="0"/>
                  <w:marBottom w:val="0"/>
                  <w:divBdr>
                    <w:top w:val="none" w:sz="0" w:space="0" w:color="auto"/>
                    <w:left w:val="none" w:sz="0" w:space="0" w:color="auto"/>
                    <w:bottom w:val="none" w:sz="0" w:space="0" w:color="auto"/>
                    <w:right w:val="none" w:sz="0" w:space="0" w:color="auto"/>
                  </w:divBdr>
                  <w:divsChild>
                    <w:div w:id="1289435170">
                      <w:marLeft w:val="0"/>
                      <w:marRight w:val="0"/>
                      <w:marTop w:val="0"/>
                      <w:marBottom w:val="0"/>
                      <w:divBdr>
                        <w:top w:val="none" w:sz="0" w:space="0" w:color="auto"/>
                        <w:left w:val="none" w:sz="0" w:space="0" w:color="auto"/>
                        <w:bottom w:val="none" w:sz="0" w:space="0" w:color="auto"/>
                        <w:right w:val="none" w:sz="0" w:space="0" w:color="auto"/>
                      </w:divBdr>
                      <w:divsChild>
                        <w:div w:id="2115317249">
                          <w:marLeft w:val="0"/>
                          <w:marRight w:val="0"/>
                          <w:marTop w:val="0"/>
                          <w:marBottom w:val="0"/>
                          <w:divBdr>
                            <w:top w:val="none" w:sz="0" w:space="0" w:color="auto"/>
                            <w:left w:val="none" w:sz="0" w:space="0" w:color="auto"/>
                            <w:bottom w:val="single" w:sz="12" w:space="11" w:color="CCCCCC"/>
                            <w:right w:val="none" w:sz="0" w:space="0" w:color="auto"/>
                          </w:divBdr>
                        </w:div>
                        <w:div w:id="1983193209">
                          <w:marLeft w:val="0"/>
                          <w:marRight w:val="0"/>
                          <w:marTop w:val="0"/>
                          <w:marBottom w:val="300"/>
                          <w:divBdr>
                            <w:top w:val="none" w:sz="0" w:space="0" w:color="auto"/>
                            <w:left w:val="none" w:sz="0" w:space="0" w:color="auto"/>
                            <w:bottom w:val="none" w:sz="0" w:space="0" w:color="auto"/>
                            <w:right w:val="none" w:sz="0" w:space="0" w:color="auto"/>
                          </w:divBdr>
                        </w:div>
                        <w:div w:id="1835100146">
                          <w:marLeft w:val="0"/>
                          <w:marRight w:val="0"/>
                          <w:marTop w:val="0"/>
                          <w:marBottom w:val="0"/>
                          <w:divBdr>
                            <w:top w:val="none" w:sz="0" w:space="0" w:color="auto"/>
                            <w:left w:val="none" w:sz="0" w:space="0" w:color="auto"/>
                            <w:bottom w:val="none" w:sz="0" w:space="0" w:color="auto"/>
                            <w:right w:val="none" w:sz="0" w:space="0" w:color="auto"/>
                          </w:divBdr>
                          <w:divsChild>
                            <w:div w:id="156572258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FC01A-DCC1-4E81-A8F0-A400CDFE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4</cp:revision>
  <dcterms:created xsi:type="dcterms:W3CDTF">2016-03-21T08:14:00Z</dcterms:created>
  <dcterms:modified xsi:type="dcterms:W3CDTF">2017-09-10T07:35:00Z</dcterms:modified>
</cp:coreProperties>
</file>