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DD0" w:rsidRPr="00923DD0" w:rsidRDefault="00923DD0" w:rsidP="00923DD0">
      <w:pPr>
        <w:widowControl/>
        <w:shd w:val="clear" w:color="auto" w:fill="FFFFFF"/>
        <w:spacing w:line="525" w:lineRule="atLeast"/>
        <w:jc w:val="center"/>
        <w:rPr>
          <w:rFonts w:ascii="微软雅黑" w:eastAsia="微软雅黑" w:hAnsi="微软雅黑" w:cs="宋体"/>
          <w:b/>
          <w:bCs/>
          <w:color w:val="0C5CB1"/>
          <w:kern w:val="0"/>
          <w:sz w:val="30"/>
          <w:szCs w:val="30"/>
        </w:rPr>
      </w:pPr>
      <w:r w:rsidRPr="00923DD0">
        <w:rPr>
          <w:rFonts w:ascii="微软雅黑" w:eastAsia="微软雅黑" w:hAnsi="微软雅黑" w:cs="宋体" w:hint="eastAsia"/>
          <w:b/>
          <w:bCs/>
          <w:color w:val="0C5CB1"/>
          <w:kern w:val="0"/>
          <w:sz w:val="30"/>
          <w:szCs w:val="30"/>
        </w:rPr>
        <w:t>关于实施《基金管理公司特定客户资产管理业务试点办法》有关问题的规定</w:t>
      </w:r>
    </w:p>
    <w:p w:rsidR="00923DD0" w:rsidRPr="00923DD0" w:rsidRDefault="00923DD0" w:rsidP="00923DD0">
      <w:pPr>
        <w:widowControl/>
        <w:shd w:val="clear" w:color="auto" w:fill="FFFFFF"/>
        <w:spacing w:line="480" w:lineRule="auto"/>
        <w:jc w:val="center"/>
        <w:rPr>
          <w:rFonts w:ascii="inherit" w:eastAsia="宋体" w:hAnsi="inherit" w:cs="宋体" w:hint="eastAsia"/>
          <w:color w:val="888888"/>
          <w:kern w:val="0"/>
          <w:sz w:val="18"/>
          <w:szCs w:val="18"/>
        </w:rPr>
      </w:pPr>
      <w:r w:rsidRPr="00923DD0">
        <w:rPr>
          <w:rFonts w:ascii="inherit" w:eastAsia="宋体" w:hAnsi="inherit" w:cs="宋体"/>
          <w:color w:val="888888"/>
          <w:kern w:val="0"/>
          <w:sz w:val="18"/>
          <w:szCs w:val="18"/>
        </w:rPr>
        <w:t>中国证监会</w:t>
      </w:r>
      <w:r w:rsidRPr="00923DD0">
        <w:rPr>
          <w:rFonts w:ascii="inherit" w:eastAsia="宋体" w:hAnsi="inherit" w:cs="宋体"/>
          <w:color w:val="888888"/>
          <w:kern w:val="0"/>
          <w:sz w:val="18"/>
          <w:szCs w:val="18"/>
        </w:rPr>
        <w:t xml:space="preserve"> www.csrc.gov.cn </w:t>
      </w:r>
      <w:r w:rsidRPr="00923DD0">
        <w:rPr>
          <w:rFonts w:ascii="inherit" w:eastAsia="宋体" w:hAnsi="inherit" w:cs="宋体"/>
          <w:color w:val="888888"/>
          <w:kern w:val="0"/>
          <w:sz w:val="18"/>
          <w:szCs w:val="18"/>
        </w:rPr>
        <w:t>时间：</w:t>
      </w:r>
      <w:r w:rsidRPr="00923DD0">
        <w:rPr>
          <w:rFonts w:ascii="inherit" w:eastAsia="宋体" w:hAnsi="inherit" w:cs="宋体"/>
          <w:color w:val="888888"/>
          <w:kern w:val="0"/>
          <w:sz w:val="18"/>
          <w:szCs w:val="18"/>
        </w:rPr>
        <w:t xml:space="preserve">2014-02-27 </w:t>
      </w:r>
      <w:r w:rsidRPr="00923DD0">
        <w:rPr>
          <w:rFonts w:ascii="inherit" w:eastAsia="宋体" w:hAnsi="inherit" w:cs="宋体"/>
          <w:color w:val="888888"/>
          <w:kern w:val="0"/>
          <w:sz w:val="18"/>
          <w:szCs w:val="18"/>
        </w:rPr>
        <w:t>来源：</w:t>
      </w:r>
      <w:r w:rsidRPr="00923DD0">
        <w:rPr>
          <w:rFonts w:ascii="inherit" w:eastAsia="宋体" w:hAnsi="inherit" w:cs="宋体"/>
          <w:color w:val="888888"/>
          <w:kern w:val="0"/>
          <w:sz w:val="18"/>
          <w:szCs w:val="18"/>
        </w:rPr>
        <w:t xml:space="preserve"> </w:t>
      </w:r>
    </w:p>
    <w:p w:rsidR="00923DD0" w:rsidRPr="00923DD0" w:rsidRDefault="00923DD0" w:rsidP="00923DD0">
      <w:pPr>
        <w:widowControl/>
        <w:shd w:val="clear" w:color="auto" w:fill="FFFFFF"/>
        <w:spacing w:line="480" w:lineRule="auto"/>
        <w:jc w:val="center"/>
        <w:rPr>
          <w:rFonts w:ascii="inherit" w:eastAsia="宋体" w:hAnsi="inherit" w:cs="宋体" w:hint="eastAsia"/>
          <w:color w:val="333333"/>
          <w:kern w:val="0"/>
          <w:szCs w:val="21"/>
        </w:rPr>
      </w:pPr>
      <w:r w:rsidRPr="00923DD0">
        <w:rPr>
          <w:rFonts w:ascii="inherit" w:eastAsia="宋体" w:hAnsi="inherit" w:cs="宋体"/>
          <w:color w:val="333333"/>
          <w:kern w:val="0"/>
          <w:szCs w:val="21"/>
        </w:rPr>
        <w:t>（</w:t>
      </w:r>
      <w:r w:rsidRPr="00923DD0">
        <w:rPr>
          <w:rFonts w:ascii="inherit" w:eastAsia="宋体" w:hAnsi="inherit" w:cs="宋体"/>
          <w:color w:val="333333"/>
          <w:kern w:val="0"/>
          <w:szCs w:val="21"/>
        </w:rPr>
        <w:t>2012</w:t>
      </w:r>
      <w:r w:rsidRPr="00923DD0">
        <w:rPr>
          <w:rFonts w:ascii="inherit" w:eastAsia="宋体" w:hAnsi="inherit" w:cs="宋体"/>
          <w:color w:val="333333"/>
          <w:kern w:val="0"/>
          <w:szCs w:val="21"/>
        </w:rPr>
        <w:t>年</w:t>
      </w:r>
      <w:r w:rsidRPr="00923DD0">
        <w:rPr>
          <w:rFonts w:ascii="inherit" w:eastAsia="宋体" w:hAnsi="inherit" w:cs="宋体"/>
          <w:color w:val="333333"/>
          <w:kern w:val="0"/>
          <w:szCs w:val="21"/>
        </w:rPr>
        <w:t>9</w:t>
      </w:r>
      <w:r w:rsidRPr="00923DD0">
        <w:rPr>
          <w:rFonts w:ascii="inherit" w:eastAsia="宋体" w:hAnsi="inherit" w:cs="宋体"/>
          <w:color w:val="333333"/>
          <w:kern w:val="0"/>
          <w:szCs w:val="21"/>
        </w:rPr>
        <w:t>月</w:t>
      </w:r>
      <w:r w:rsidRPr="00923DD0">
        <w:rPr>
          <w:rFonts w:ascii="inherit" w:eastAsia="宋体" w:hAnsi="inherit" w:cs="宋体"/>
          <w:color w:val="333333"/>
          <w:kern w:val="0"/>
          <w:szCs w:val="21"/>
        </w:rPr>
        <w:t>26</w:t>
      </w:r>
      <w:r w:rsidRPr="00923DD0">
        <w:rPr>
          <w:rFonts w:ascii="inherit" w:eastAsia="宋体" w:hAnsi="inherit" w:cs="宋体"/>
          <w:color w:val="333333"/>
          <w:kern w:val="0"/>
          <w:szCs w:val="21"/>
        </w:rPr>
        <w:t>日</w:t>
      </w:r>
      <w:r w:rsidRPr="00923DD0">
        <w:rPr>
          <w:rFonts w:ascii="inherit" w:eastAsia="宋体" w:hAnsi="inherit" w:cs="宋体"/>
          <w:color w:val="333333"/>
          <w:kern w:val="0"/>
          <w:szCs w:val="21"/>
        </w:rPr>
        <w:t xml:space="preserve">  </w:t>
      </w:r>
      <w:r w:rsidRPr="00923DD0">
        <w:rPr>
          <w:rFonts w:ascii="inherit" w:eastAsia="宋体" w:hAnsi="inherit" w:cs="宋体"/>
          <w:color w:val="333333"/>
          <w:kern w:val="0"/>
          <w:szCs w:val="21"/>
        </w:rPr>
        <w:t>证监会公告〔</w:t>
      </w:r>
      <w:r w:rsidRPr="00923DD0">
        <w:rPr>
          <w:rFonts w:ascii="inherit" w:eastAsia="宋体" w:hAnsi="inherit" w:cs="宋体"/>
          <w:color w:val="333333"/>
          <w:kern w:val="0"/>
          <w:szCs w:val="21"/>
        </w:rPr>
        <w:t>2012</w:t>
      </w:r>
      <w:r w:rsidRPr="00923DD0">
        <w:rPr>
          <w:rFonts w:ascii="inherit" w:eastAsia="宋体" w:hAnsi="inherit" w:cs="宋体"/>
          <w:color w:val="333333"/>
          <w:kern w:val="0"/>
          <w:szCs w:val="21"/>
        </w:rPr>
        <w:t>〕</w:t>
      </w:r>
      <w:r w:rsidRPr="00923DD0">
        <w:rPr>
          <w:rFonts w:ascii="inherit" w:eastAsia="宋体" w:hAnsi="inherit" w:cs="宋体"/>
          <w:color w:val="333333"/>
          <w:kern w:val="0"/>
          <w:szCs w:val="21"/>
        </w:rPr>
        <w:t>23</w:t>
      </w:r>
      <w:r w:rsidRPr="00923DD0">
        <w:rPr>
          <w:rFonts w:ascii="inherit" w:eastAsia="宋体" w:hAnsi="inherit" w:cs="宋体"/>
          <w:color w:val="333333"/>
          <w:kern w:val="0"/>
          <w:szCs w:val="21"/>
        </w:rPr>
        <w:t>号）</w:t>
      </w:r>
      <w:r w:rsidRPr="00923DD0">
        <w:rPr>
          <w:rFonts w:ascii="inherit" w:eastAsia="宋体" w:hAnsi="inherit" w:cs="宋体"/>
          <w:color w:val="333333"/>
          <w:kern w:val="0"/>
          <w:szCs w:val="21"/>
        </w:rPr>
        <w:t> </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一、符合《基金管理公司特定客户资产管理业务试点办法》（证监会令第</w:t>
      </w:r>
      <w:r w:rsidRPr="00923DD0">
        <w:rPr>
          <w:rFonts w:ascii="inherit" w:eastAsia="宋体" w:hAnsi="inherit" w:cs="宋体"/>
          <w:color w:val="333333"/>
          <w:kern w:val="0"/>
          <w:szCs w:val="21"/>
        </w:rPr>
        <w:t>83</w:t>
      </w:r>
      <w:r w:rsidRPr="00923DD0">
        <w:rPr>
          <w:rFonts w:ascii="inherit" w:eastAsia="宋体" w:hAnsi="inherit" w:cs="宋体"/>
          <w:color w:val="333333"/>
          <w:kern w:val="0"/>
          <w:szCs w:val="21"/>
        </w:rPr>
        <w:t>号）规定的条件，拟申请参与特定客户资产管理业务试点的基金管理公司，应当向中国证监会提出变</w:t>
      </w:r>
      <w:r w:rsidRPr="00CA15CB">
        <w:rPr>
          <w:rFonts w:ascii="inherit" w:eastAsia="宋体" w:hAnsi="inherit" w:cs="宋体"/>
          <w:color w:val="FF0000"/>
          <w:kern w:val="0"/>
          <w:szCs w:val="21"/>
          <w:highlight w:val="yellow"/>
        </w:rPr>
        <w:t>更经营范围、开展特定客户资产管理业务的申请。</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二、基金管理公司申请开展特定客户资产管理业务，应当提交以下申请材料：</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（一）向中国证监会报送的所有申请材料真实、准确、完整、合</w:t>
      </w:r>
      <w:proofErr w:type="gramStart"/>
      <w:r w:rsidRPr="00923DD0">
        <w:rPr>
          <w:rFonts w:ascii="inherit" w:eastAsia="宋体" w:hAnsi="inherit" w:cs="宋体"/>
          <w:color w:val="333333"/>
          <w:kern w:val="0"/>
          <w:szCs w:val="21"/>
        </w:rPr>
        <w:t>规</w:t>
      </w:r>
      <w:proofErr w:type="gramEnd"/>
      <w:r w:rsidRPr="00923DD0">
        <w:rPr>
          <w:rFonts w:ascii="inherit" w:eastAsia="宋体" w:hAnsi="inherit" w:cs="宋体"/>
          <w:color w:val="333333"/>
          <w:kern w:val="0"/>
          <w:szCs w:val="21"/>
        </w:rPr>
        <w:t>的承诺函；</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（二）申请报告，主要包括申请人的基本情况，申请人符合有关规定条件的说明，申请特定客户资产管理业务资格的必要性、可行性，特定客户资产管理业务发展战略、业务发展计划等；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（三）基金管理公司董事会决议；</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（四）律师事务所出具的法律意见书；</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（五）基金管理公司合</w:t>
      </w:r>
      <w:proofErr w:type="gramStart"/>
      <w:r w:rsidRPr="00923DD0">
        <w:rPr>
          <w:rFonts w:ascii="inherit" w:eastAsia="宋体" w:hAnsi="inherit" w:cs="宋体"/>
          <w:color w:val="333333"/>
          <w:kern w:val="0"/>
          <w:szCs w:val="21"/>
        </w:rPr>
        <w:t>规</w:t>
      </w:r>
      <w:proofErr w:type="gramEnd"/>
      <w:r w:rsidRPr="00923DD0">
        <w:rPr>
          <w:rFonts w:ascii="inherit" w:eastAsia="宋体" w:hAnsi="inherit" w:cs="宋体"/>
          <w:color w:val="333333"/>
          <w:kern w:val="0"/>
          <w:szCs w:val="21"/>
        </w:rPr>
        <w:t>经营情况；</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（六）基金管理公司就防范利益输送、违规承诺收益或者承担损失、不正当竞争等行为制定的业务规则和措施；</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（七）人员和部门准备情况，主要包括设立专门的业务部门情况，拟任负责特定客户资产管理业务的高级管理人员、部门负责人、投资经理、研究人员及其他从业人员的基本情况；</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（八）特定客户资产管理业务涉及的投资、交易、清算等技术准备情况；</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（九）特定客户资产管理业务基本管理制度，至少应当包括本规定第四条规定的管理制度。</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三、中国证监会根据审慎监管的原则，对基金管理公司的合</w:t>
      </w:r>
      <w:proofErr w:type="gramStart"/>
      <w:r w:rsidRPr="00923DD0">
        <w:rPr>
          <w:rFonts w:ascii="inherit" w:eastAsia="宋体" w:hAnsi="inherit" w:cs="宋体"/>
          <w:color w:val="333333"/>
          <w:kern w:val="0"/>
          <w:szCs w:val="21"/>
        </w:rPr>
        <w:t>规</w:t>
      </w:r>
      <w:proofErr w:type="gramEnd"/>
      <w:r w:rsidRPr="00923DD0">
        <w:rPr>
          <w:rFonts w:ascii="inherit" w:eastAsia="宋体" w:hAnsi="inherit" w:cs="宋体"/>
          <w:color w:val="333333"/>
          <w:kern w:val="0"/>
          <w:szCs w:val="21"/>
        </w:rPr>
        <w:t>运作、公司治理、投资决策与研究分析体系的建立与执行、公平交易与防范利益输送相关制度的建立与执行、公司监察稽核与内部风险控制体系的建立与执行、人员队伍及人力资源管理状况等相关内容进行审查和评议，必要时可以对特定客户资产管理业务的准备情况进行现场检查，</w:t>
      </w:r>
      <w:proofErr w:type="gramStart"/>
      <w:r w:rsidRPr="00923DD0">
        <w:rPr>
          <w:rFonts w:ascii="inherit" w:eastAsia="宋体" w:hAnsi="inherit" w:cs="宋体"/>
          <w:color w:val="333333"/>
          <w:kern w:val="0"/>
          <w:szCs w:val="21"/>
        </w:rPr>
        <w:t>作出</w:t>
      </w:r>
      <w:proofErr w:type="gramEnd"/>
      <w:r w:rsidRPr="00923DD0">
        <w:rPr>
          <w:rFonts w:ascii="inherit" w:eastAsia="宋体" w:hAnsi="inherit" w:cs="宋体"/>
          <w:color w:val="333333"/>
          <w:kern w:val="0"/>
          <w:szCs w:val="21"/>
        </w:rPr>
        <w:t>批准或者不予批准的决定，并通知申请人。</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lastRenderedPageBreak/>
        <w:t>四、拟开展特定客户资产管理业务试点的基金管理公司，应当严格按照《证券投资基金法》、《基金管理公司特定客户资产管理业务试点办法》的有关规定及公司的业务规则规范运作，公平地对待所管理的不同资产，并针对特定客户资产管理业务建立以下专门的管理制度：</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一）特定客户资产管理业务基本管理制度与业务流程，主要内容包括：业务推广与营销体系，由授权、研究分析、投资决策、交易执行、业绩评估等业务环节构成的投资管理系统，会计核算与估值系统，内部风险控制体系，客户关系管理系统以及相应的技术系统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（二）公平交易制度，主要内容包括：公平交易的原则与内容、实现公平交易的具体措施与交易执行的程序、公平交易制度实施效果评估以及相应的报告制度等；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（三）异常交易监控与报告制度，对同一投资组合的同向与反向交易、不同投资组合的同向与反向交易进行监控，主要内容包括：异常交易的类型、界定标准、监控方法与识别程序、异常交易分析报告制度等；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（四）特定客户资产管理业务专职人员行为规范，主要内容包括：相关业务人员应遵循的基本行为准则、对相关业务人员行为的监督与检查制度以及对违反行为规范业务人员的处罚制度等；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（五）特定客户资产管理业务岗位设置及职责，主要内容包括：相关业务组织机构与工作岗位的设置、相关业务部门职责与岗位职责等；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六）特定客户资产管理业务投资管理制度，主要内容包括：投资决策流程与授权制度、资产配置方法、投资对象与交易对手备选库的建立与维护、具体投资对象的选择标准、投资指令与交易执行、管理制度的执行与评价、投资绩效与风险评估以及与各相关业务的执行、运作相适应的技术系统安排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七）特定客户资产管理业务内部风险控制制度，主要内容包括：内部风险控制的目标与原则、业务承接与营销、投资管理、交易执行、客户服务等业务环节面临的各类风险、内部风险控制的架构与规则、内部风险控制措施以及对内部风险控制制度的监督与评价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八）特定客户资产管理业务监察稽核制度，对特定客户资产管理各业务环节的执行情况以及相关内部风险控制制度的实施情况进行监督与评价，主要内容包括：监察稽核组织结构与岗位职责、监察稽核的权限、监察稽核的程序以及监察稽核报告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（九）特定客户资产管理业务客户关系管理制度，主要内容包括：客户情况的了解、客户风险承受能力及委托资产来源的判断与识别、资产管理合同的订立、资产管理信息的传递以及客户服务等；</w:t>
      </w:r>
    </w:p>
    <w:p w:rsidR="00CA15CB"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lastRenderedPageBreak/>
        <w:t>（十）特定客户资产管理业务记录及档案管理制度，主要内容包括：业务记录的内容、档案的保管与使用等；</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（十一）特定客户资产管理业务危机处理制度，主要内容包括：危机处理的原则、危机处理的组织结构与职责以及各种危机处理方案等。</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五、基金管理公司</w:t>
      </w:r>
      <w:r w:rsidRPr="00010C2B">
        <w:rPr>
          <w:rFonts w:ascii="inherit" w:eastAsia="宋体" w:hAnsi="inherit" w:cs="宋体"/>
          <w:b/>
          <w:color w:val="FF0000"/>
          <w:kern w:val="0"/>
          <w:szCs w:val="21"/>
        </w:rPr>
        <w:t>特定客户资产管理业务与公司的其他资产管理业务</w:t>
      </w:r>
      <w:r w:rsidRPr="00923DD0">
        <w:rPr>
          <w:rFonts w:ascii="inherit" w:eastAsia="宋体" w:hAnsi="inherit" w:cs="宋体"/>
          <w:color w:val="333333"/>
          <w:kern w:val="0"/>
          <w:szCs w:val="21"/>
        </w:rPr>
        <w:t>之间应当建立严格的</w:t>
      </w:r>
      <w:r w:rsidRPr="00923DD0">
        <w:rPr>
          <w:rFonts w:ascii="inherit" w:eastAsia="宋体" w:hAnsi="inherit" w:cs="宋体"/>
          <w:color w:val="333333"/>
          <w:kern w:val="0"/>
          <w:szCs w:val="21"/>
        </w:rPr>
        <w:t>“</w:t>
      </w:r>
      <w:r w:rsidRPr="00010C2B">
        <w:rPr>
          <w:rFonts w:ascii="inherit" w:eastAsia="宋体" w:hAnsi="inherit" w:cs="宋体"/>
          <w:b/>
          <w:color w:val="FF0000"/>
          <w:kern w:val="0"/>
          <w:szCs w:val="21"/>
        </w:rPr>
        <w:t>防火墙</w:t>
      </w:r>
      <w:r w:rsidRPr="00923DD0">
        <w:rPr>
          <w:rFonts w:ascii="inherit" w:eastAsia="宋体" w:hAnsi="inherit" w:cs="宋体"/>
          <w:color w:val="333333"/>
          <w:kern w:val="0"/>
          <w:szCs w:val="21"/>
        </w:rPr>
        <w:t>”</w:t>
      </w:r>
      <w:r w:rsidRPr="00923DD0">
        <w:rPr>
          <w:rFonts w:ascii="inherit" w:eastAsia="宋体" w:hAnsi="inherit" w:cs="宋体"/>
          <w:color w:val="333333"/>
          <w:kern w:val="0"/>
          <w:szCs w:val="21"/>
        </w:rPr>
        <w:t>制度，严格禁止各种形式的利益输送行为。通过建立健全内部控制制度，加强风险管理，防范和化解特定客户资产管理业务试点过程中可能出现的各类风险，保护有关各方的合法权益。</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六、基金管理公司开展</w:t>
      </w:r>
      <w:r w:rsidRPr="00010C2B">
        <w:rPr>
          <w:rFonts w:ascii="inherit" w:eastAsia="宋体" w:hAnsi="inherit" w:cs="宋体"/>
          <w:b/>
          <w:color w:val="FF0000"/>
          <w:kern w:val="0"/>
          <w:szCs w:val="21"/>
        </w:rPr>
        <w:t>专项资产管理业务</w:t>
      </w:r>
      <w:r w:rsidRPr="00923DD0">
        <w:rPr>
          <w:rFonts w:ascii="inherit" w:eastAsia="宋体" w:hAnsi="inherit" w:cs="宋体"/>
          <w:color w:val="333333"/>
          <w:kern w:val="0"/>
          <w:szCs w:val="21"/>
        </w:rPr>
        <w:t>，应当设立</w:t>
      </w:r>
      <w:r w:rsidRPr="00010C2B">
        <w:rPr>
          <w:rFonts w:ascii="inherit" w:eastAsia="宋体" w:hAnsi="inherit" w:cs="宋体"/>
          <w:b/>
          <w:color w:val="FF0000"/>
          <w:kern w:val="0"/>
          <w:szCs w:val="21"/>
        </w:rPr>
        <w:t>专门的子公司</w:t>
      </w:r>
      <w:r w:rsidRPr="00923DD0">
        <w:rPr>
          <w:rFonts w:ascii="inherit" w:eastAsia="宋体" w:hAnsi="inherit" w:cs="宋体"/>
          <w:color w:val="333333"/>
          <w:kern w:val="0"/>
          <w:szCs w:val="21"/>
        </w:rPr>
        <w:t>。子公司开展专项资产管理业务，应当遵循以下业务规范：</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（一）应当从实体经济需要出发，以合法合</w:t>
      </w:r>
      <w:proofErr w:type="gramStart"/>
      <w:r w:rsidRPr="00923DD0">
        <w:rPr>
          <w:rFonts w:ascii="inherit" w:eastAsia="宋体" w:hAnsi="inherit" w:cs="宋体"/>
          <w:color w:val="333333"/>
          <w:kern w:val="0"/>
          <w:szCs w:val="21"/>
        </w:rPr>
        <w:t>规</w:t>
      </w:r>
      <w:proofErr w:type="gramEnd"/>
      <w:r w:rsidRPr="00923DD0">
        <w:rPr>
          <w:rFonts w:ascii="inherit" w:eastAsia="宋体" w:hAnsi="inherit" w:cs="宋体"/>
          <w:color w:val="333333"/>
          <w:kern w:val="0"/>
          <w:szCs w:val="21"/>
        </w:rPr>
        <w:t>为前提，以市场为导向，以客户为中心，开发设计专项资产管理计划；</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（二）应当签订专项资产管理合同，针对客户的特殊要求和资产的具体情况，设定特定投资目标，通过专门账户为客户提供资产管理服务；</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（三）专项资产管理计划所投资的资产的权属应当清晰、明确。法律法规禁止流通的资产不得纳入专项资产管理计划的投资范围；</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（四）投资过程中所涉及的资产转让行为应当真实、合法、有效。法律法规规定资产转让应当办理批准、登记等手续的，资产管理人应当依法办理；</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（五）应当建立科学有效的投资决策、风险评估、项目管理等内部管理制度，尽职勤勉，严格控制投资风险，维护专项资产管理计划资产的安全；</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（六）应当对相关交易主体和资产进行全面的尽职调查，形成书面工作底稿，并制作尽职调查报告；</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（七）应当在专项资产管理合同中充分披露拟投资资产的具体情况，说明投资依据，并揭示投资风险。</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七、</w:t>
      </w:r>
      <w:r w:rsidRPr="00010C2B">
        <w:rPr>
          <w:rFonts w:ascii="inherit" w:eastAsia="宋体" w:hAnsi="inherit" w:cs="宋体"/>
          <w:b/>
          <w:color w:val="FF0000"/>
          <w:kern w:val="0"/>
          <w:szCs w:val="21"/>
        </w:rPr>
        <w:t>基金管理公司的子公司可以委托其母公司对专项资产管理计划进行投资管理</w:t>
      </w:r>
      <w:r w:rsidRPr="00923DD0">
        <w:rPr>
          <w:rFonts w:ascii="inherit" w:eastAsia="宋体" w:hAnsi="inherit" w:cs="宋体"/>
          <w:color w:val="333333"/>
          <w:kern w:val="0"/>
          <w:szCs w:val="21"/>
        </w:rPr>
        <w:t>。</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八、基金管理公司的子公司开展专项资产管理业务，</w:t>
      </w:r>
      <w:r w:rsidRPr="00010C2B">
        <w:rPr>
          <w:rFonts w:ascii="inherit" w:eastAsia="宋体" w:hAnsi="inherit" w:cs="宋体"/>
          <w:b/>
          <w:color w:val="FF0000"/>
          <w:kern w:val="0"/>
          <w:szCs w:val="21"/>
        </w:rPr>
        <w:t>可以委托其他机构对投资涉及的资产进行尽职调查、资产评估等</w:t>
      </w:r>
      <w:r w:rsidRPr="00923DD0">
        <w:rPr>
          <w:rFonts w:ascii="inherit" w:eastAsia="宋体" w:hAnsi="inherit" w:cs="宋体"/>
          <w:color w:val="333333"/>
          <w:kern w:val="0"/>
          <w:szCs w:val="21"/>
        </w:rPr>
        <w:t>。</w:t>
      </w:r>
    </w:p>
    <w:p w:rsidR="007137AA"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t>九、专项资产管理计划的管理人可以以</w:t>
      </w:r>
      <w:r w:rsidRPr="00010C2B">
        <w:rPr>
          <w:rFonts w:ascii="inherit" w:eastAsia="宋体" w:hAnsi="inherit" w:cs="宋体"/>
          <w:b/>
          <w:color w:val="FF0000"/>
          <w:kern w:val="0"/>
          <w:szCs w:val="21"/>
        </w:rPr>
        <w:t>受托人</w:t>
      </w:r>
      <w:r w:rsidRPr="00923DD0">
        <w:rPr>
          <w:rFonts w:ascii="inherit" w:eastAsia="宋体" w:hAnsi="inherit" w:cs="宋体"/>
          <w:color w:val="333333"/>
          <w:kern w:val="0"/>
          <w:szCs w:val="21"/>
        </w:rPr>
        <w:t>的名义，代表专项资产管理计划行使投资过程中产生的权属登记等权利，并在专项资产管理合同中列明</w:t>
      </w:r>
      <w:bookmarkStart w:id="0" w:name="_GoBack"/>
      <w:bookmarkEnd w:id="0"/>
      <w:r w:rsidRPr="00923DD0">
        <w:rPr>
          <w:rFonts w:ascii="inherit" w:eastAsia="宋体" w:hAnsi="inherit" w:cs="宋体"/>
          <w:color w:val="333333"/>
          <w:kern w:val="0"/>
          <w:szCs w:val="21"/>
        </w:rPr>
        <w:t>。</w:t>
      </w:r>
    </w:p>
    <w:p w:rsidR="00923DD0" w:rsidRPr="00923DD0" w:rsidRDefault="00923DD0" w:rsidP="00CA15CB">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923DD0">
        <w:rPr>
          <w:rFonts w:ascii="inherit" w:eastAsia="宋体" w:hAnsi="inherit" w:cs="宋体"/>
          <w:color w:val="333333"/>
          <w:kern w:val="0"/>
          <w:szCs w:val="21"/>
        </w:rPr>
        <w:lastRenderedPageBreak/>
        <w:t>十、本规定自</w:t>
      </w:r>
      <w:r w:rsidRPr="00923DD0">
        <w:rPr>
          <w:rFonts w:ascii="inherit" w:eastAsia="宋体" w:hAnsi="inherit" w:cs="宋体"/>
          <w:color w:val="333333"/>
          <w:kern w:val="0"/>
          <w:szCs w:val="21"/>
        </w:rPr>
        <w:t>2012</w:t>
      </w:r>
      <w:r w:rsidRPr="00923DD0">
        <w:rPr>
          <w:rFonts w:ascii="inherit" w:eastAsia="宋体" w:hAnsi="inherit" w:cs="宋体"/>
          <w:color w:val="333333"/>
          <w:kern w:val="0"/>
          <w:szCs w:val="21"/>
        </w:rPr>
        <w:t>年</w:t>
      </w:r>
      <w:r w:rsidRPr="00923DD0">
        <w:rPr>
          <w:rFonts w:ascii="inherit" w:eastAsia="宋体" w:hAnsi="inherit" w:cs="宋体"/>
          <w:color w:val="333333"/>
          <w:kern w:val="0"/>
          <w:szCs w:val="21"/>
        </w:rPr>
        <w:t>11</w:t>
      </w:r>
      <w:r w:rsidRPr="00923DD0">
        <w:rPr>
          <w:rFonts w:ascii="inherit" w:eastAsia="宋体" w:hAnsi="inherit" w:cs="宋体"/>
          <w:color w:val="333333"/>
          <w:kern w:val="0"/>
          <w:szCs w:val="21"/>
        </w:rPr>
        <w:t>月</w:t>
      </w:r>
      <w:r w:rsidRPr="00923DD0">
        <w:rPr>
          <w:rFonts w:ascii="inherit" w:eastAsia="宋体" w:hAnsi="inherit" w:cs="宋体"/>
          <w:color w:val="333333"/>
          <w:kern w:val="0"/>
          <w:szCs w:val="21"/>
        </w:rPr>
        <w:t>1</w:t>
      </w:r>
      <w:r w:rsidRPr="00923DD0">
        <w:rPr>
          <w:rFonts w:ascii="inherit" w:eastAsia="宋体" w:hAnsi="inherit" w:cs="宋体"/>
          <w:color w:val="333333"/>
          <w:kern w:val="0"/>
          <w:szCs w:val="21"/>
        </w:rPr>
        <w:t>日起施行。中国证监会《关于实施〈基金管理公司特定客户资产管理业务试点办法〉有关问题的规定》（证监会公告〔</w:t>
      </w:r>
      <w:r w:rsidRPr="00923DD0">
        <w:rPr>
          <w:rFonts w:ascii="inherit" w:eastAsia="宋体" w:hAnsi="inherit" w:cs="宋体"/>
          <w:color w:val="333333"/>
          <w:kern w:val="0"/>
          <w:szCs w:val="21"/>
        </w:rPr>
        <w:t>2011</w:t>
      </w:r>
      <w:r w:rsidRPr="00923DD0">
        <w:rPr>
          <w:rFonts w:ascii="inherit" w:eastAsia="宋体" w:hAnsi="inherit" w:cs="宋体"/>
          <w:color w:val="333333"/>
          <w:kern w:val="0"/>
          <w:szCs w:val="21"/>
        </w:rPr>
        <w:t>〕</w:t>
      </w:r>
      <w:r w:rsidRPr="00923DD0">
        <w:rPr>
          <w:rFonts w:ascii="inherit" w:eastAsia="宋体" w:hAnsi="inherit" w:cs="宋体"/>
          <w:color w:val="333333"/>
          <w:kern w:val="0"/>
          <w:szCs w:val="21"/>
        </w:rPr>
        <w:t>27</w:t>
      </w:r>
      <w:r w:rsidRPr="00923DD0">
        <w:rPr>
          <w:rFonts w:ascii="inherit" w:eastAsia="宋体" w:hAnsi="inherit" w:cs="宋体"/>
          <w:color w:val="333333"/>
          <w:kern w:val="0"/>
          <w:szCs w:val="21"/>
        </w:rPr>
        <w:t>号）同时废止。</w:t>
      </w:r>
    </w:p>
    <w:p w:rsidR="00544585" w:rsidRDefault="00544585" w:rsidP="00CA15CB">
      <w:pPr>
        <w:spacing w:line="360" w:lineRule="auto"/>
      </w:pPr>
    </w:p>
    <w:sectPr w:rsidR="00544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77B" w:rsidRDefault="00AD477B" w:rsidP="00CA15CB">
      <w:r>
        <w:separator/>
      </w:r>
    </w:p>
  </w:endnote>
  <w:endnote w:type="continuationSeparator" w:id="0">
    <w:p w:rsidR="00AD477B" w:rsidRDefault="00AD477B" w:rsidP="00CA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77B" w:rsidRDefault="00AD477B" w:rsidP="00CA15CB">
      <w:r>
        <w:separator/>
      </w:r>
    </w:p>
  </w:footnote>
  <w:footnote w:type="continuationSeparator" w:id="0">
    <w:p w:rsidR="00AD477B" w:rsidRDefault="00AD477B" w:rsidP="00CA1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D0"/>
    <w:rsid w:val="00010C2B"/>
    <w:rsid w:val="00052B5B"/>
    <w:rsid w:val="00544585"/>
    <w:rsid w:val="007137AA"/>
    <w:rsid w:val="00923DD0"/>
    <w:rsid w:val="00AD477B"/>
    <w:rsid w:val="00B263ED"/>
    <w:rsid w:val="00CA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5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15CB"/>
    <w:rPr>
      <w:sz w:val="18"/>
      <w:szCs w:val="18"/>
    </w:rPr>
  </w:style>
  <w:style w:type="paragraph" w:styleId="a4">
    <w:name w:val="footer"/>
    <w:basedOn w:val="a"/>
    <w:link w:val="Char0"/>
    <w:uiPriority w:val="99"/>
    <w:unhideWhenUsed/>
    <w:rsid w:val="00CA15CB"/>
    <w:pPr>
      <w:tabs>
        <w:tab w:val="center" w:pos="4153"/>
        <w:tab w:val="right" w:pos="8306"/>
      </w:tabs>
      <w:snapToGrid w:val="0"/>
      <w:jc w:val="left"/>
    </w:pPr>
    <w:rPr>
      <w:sz w:val="18"/>
      <w:szCs w:val="18"/>
    </w:rPr>
  </w:style>
  <w:style w:type="character" w:customStyle="1" w:styleId="Char0">
    <w:name w:val="页脚 Char"/>
    <w:basedOn w:val="a0"/>
    <w:link w:val="a4"/>
    <w:uiPriority w:val="99"/>
    <w:rsid w:val="00CA15C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15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15CB"/>
    <w:rPr>
      <w:sz w:val="18"/>
      <w:szCs w:val="18"/>
    </w:rPr>
  </w:style>
  <w:style w:type="paragraph" w:styleId="a4">
    <w:name w:val="footer"/>
    <w:basedOn w:val="a"/>
    <w:link w:val="Char0"/>
    <w:uiPriority w:val="99"/>
    <w:unhideWhenUsed/>
    <w:rsid w:val="00CA15CB"/>
    <w:pPr>
      <w:tabs>
        <w:tab w:val="center" w:pos="4153"/>
        <w:tab w:val="right" w:pos="8306"/>
      </w:tabs>
      <w:snapToGrid w:val="0"/>
      <w:jc w:val="left"/>
    </w:pPr>
    <w:rPr>
      <w:sz w:val="18"/>
      <w:szCs w:val="18"/>
    </w:rPr>
  </w:style>
  <w:style w:type="character" w:customStyle="1" w:styleId="Char0">
    <w:name w:val="页脚 Char"/>
    <w:basedOn w:val="a0"/>
    <w:link w:val="a4"/>
    <w:uiPriority w:val="99"/>
    <w:rsid w:val="00CA15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68348">
      <w:bodyDiv w:val="1"/>
      <w:marLeft w:val="0"/>
      <w:marRight w:val="0"/>
      <w:marTop w:val="0"/>
      <w:marBottom w:val="0"/>
      <w:divBdr>
        <w:top w:val="none" w:sz="0" w:space="0" w:color="auto"/>
        <w:left w:val="none" w:sz="0" w:space="0" w:color="auto"/>
        <w:bottom w:val="none" w:sz="0" w:space="0" w:color="auto"/>
        <w:right w:val="none" w:sz="0" w:space="0" w:color="auto"/>
      </w:divBdr>
      <w:divsChild>
        <w:div w:id="630211390">
          <w:marLeft w:val="0"/>
          <w:marRight w:val="0"/>
          <w:marTop w:val="0"/>
          <w:marBottom w:val="0"/>
          <w:divBdr>
            <w:top w:val="none" w:sz="0" w:space="0" w:color="auto"/>
            <w:left w:val="none" w:sz="0" w:space="0" w:color="auto"/>
            <w:bottom w:val="none" w:sz="0" w:space="0" w:color="auto"/>
            <w:right w:val="none" w:sz="0" w:space="0" w:color="auto"/>
          </w:divBdr>
          <w:divsChild>
            <w:div w:id="1175731295">
              <w:marLeft w:val="0"/>
              <w:marRight w:val="0"/>
              <w:marTop w:val="0"/>
              <w:marBottom w:val="0"/>
              <w:divBdr>
                <w:top w:val="none" w:sz="0" w:space="0" w:color="auto"/>
                <w:left w:val="none" w:sz="0" w:space="0" w:color="auto"/>
                <w:bottom w:val="none" w:sz="0" w:space="0" w:color="auto"/>
                <w:right w:val="none" w:sz="0" w:space="0" w:color="auto"/>
              </w:divBdr>
              <w:divsChild>
                <w:div w:id="1186561004">
                  <w:marLeft w:val="105"/>
                  <w:marRight w:val="105"/>
                  <w:marTop w:val="0"/>
                  <w:marBottom w:val="0"/>
                  <w:divBdr>
                    <w:top w:val="none" w:sz="0" w:space="0" w:color="auto"/>
                    <w:left w:val="none" w:sz="0" w:space="0" w:color="auto"/>
                    <w:bottom w:val="none" w:sz="0" w:space="0" w:color="auto"/>
                    <w:right w:val="none" w:sz="0" w:space="0" w:color="auto"/>
                  </w:divBdr>
                  <w:divsChild>
                    <w:div w:id="1765032816">
                      <w:marLeft w:val="0"/>
                      <w:marRight w:val="0"/>
                      <w:marTop w:val="0"/>
                      <w:marBottom w:val="0"/>
                      <w:divBdr>
                        <w:top w:val="none" w:sz="0" w:space="0" w:color="auto"/>
                        <w:left w:val="none" w:sz="0" w:space="0" w:color="auto"/>
                        <w:bottom w:val="none" w:sz="0" w:space="0" w:color="auto"/>
                        <w:right w:val="none" w:sz="0" w:space="0" w:color="auto"/>
                      </w:divBdr>
                      <w:divsChild>
                        <w:div w:id="396973575">
                          <w:marLeft w:val="0"/>
                          <w:marRight w:val="0"/>
                          <w:marTop w:val="0"/>
                          <w:marBottom w:val="0"/>
                          <w:divBdr>
                            <w:top w:val="none" w:sz="0" w:space="0" w:color="auto"/>
                            <w:left w:val="none" w:sz="0" w:space="0" w:color="auto"/>
                            <w:bottom w:val="single" w:sz="12" w:space="11" w:color="CCCCCC"/>
                            <w:right w:val="none" w:sz="0" w:space="0" w:color="auto"/>
                          </w:divBdr>
                        </w:div>
                        <w:div w:id="16179086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3AA88-2115-41EE-8EDE-899403A21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4</cp:revision>
  <dcterms:created xsi:type="dcterms:W3CDTF">2016-03-14T09:10:00Z</dcterms:created>
  <dcterms:modified xsi:type="dcterms:W3CDTF">2017-09-10T15:30:00Z</dcterms:modified>
</cp:coreProperties>
</file>