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00A" w:rsidRPr="0074200A" w:rsidRDefault="0074200A" w:rsidP="00E20FDC">
      <w:pPr>
        <w:widowControl/>
        <w:spacing w:before="100" w:beforeAutospacing="1"/>
        <w:jc w:val="center"/>
        <w:rPr>
          <w:rFonts w:ascii="宋体" w:eastAsia="宋体" w:hAnsi="宋体" w:cs="宋体"/>
          <w:kern w:val="0"/>
          <w:sz w:val="24"/>
          <w:szCs w:val="24"/>
        </w:rPr>
      </w:pPr>
      <w:r w:rsidRPr="0074200A">
        <w:rPr>
          <w:rFonts w:ascii="黑体" w:eastAsia="黑体" w:hAnsi="黑体" w:cs="宋体" w:hint="eastAsia"/>
          <w:b/>
          <w:bCs/>
          <w:color w:val="FF0000"/>
          <w:kern w:val="0"/>
          <w:sz w:val="36"/>
          <w:szCs w:val="36"/>
        </w:rPr>
        <w:t xml:space="preserve">【第19号令】证券投资基金信息披露管理办法 </w:t>
      </w:r>
    </w:p>
    <w:p w:rsidR="0074200A" w:rsidRPr="0074200A" w:rsidRDefault="0074200A" w:rsidP="0074200A">
      <w:pPr>
        <w:widowControl/>
        <w:wordWrap w:val="0"/>
        <w:spacing w:after="90"/>
        <w:jc w:val="center"/>
        <w:rPr>
          <w:rFonts w:ascii="宋体" w:eastAsia="宋体" w:hAnsi="宋体" w:cs="宋体"/>
          <w:kern w:val="0"/>
          <w:szCs w:val="21"/>
        </w:rPr>
      </w:pPr>
      <w:r w:rsidRPr="0074200A">
        <w:rPr>
          <w:rFonts w:ascii="黑体" w:eastAsia="黑体" w:hAnsi="黑体" w:cs="宋体" w:hint="eastAsia"/>
          <w:kern w:val="0"/>
          <w:sz w:val="24"/>
          <w:szCs w:val="24"/>
        </w:rPr>
        <w:t xml:space="preserve">中国证券监督管理委员会令 </w:t>
      </w:r>
    </w:p>
    <w:p w:rsidR="0074200A" w:rsidRPr="0074200A" w:rsidRDefault="0074200A" w:rsidP="00E20FDC">
      <w:pPr>
        <w:widowControl/>
        <w:wordWrap w:val="0"/>
        <w:spacing w:before="90" w:after="90"/>
        <w:jc w:val="center"/>
        <w:rPr>
          <w:rFonts w:ascii="宋体" w:eastAsia="宋体" w:hAnsi="宋体" w:cs="宋体"/>
          <w:kern w:val="0"/>
          <w:szCs w:val="21"/>
        </w:rPr>
      </w:pPr>
      <w:r w:rsidRPr="0074200A">
        <w:rPr>
          <w:rFonts w:ascii="宋体" w:eastAsia="宋体" w:hAnsi="宋体" w:cs="宋体" w:hint="eastAsia"/>
          <w:kern w:val="0"/>
          <w:sz w:val="24"/>
          <w:szCs w:val="24"/>
        </w:rPr>
        <w:t> </w:t>
      </w:r>
      <w:r w:rsidRPr="0074200A">
        <w:rPr>
          <w:rFonts w:ascii="黑体" w:eastAsia="黑体" w:hAnsi="黑体" w:cs="宋体" w:hint="eastAsia"/>
          <w:kern w:val="0"/>
          <w:sz w:val="24"/>
          <w:szCs w:val="24"/>
        </w:rPr>
        <w:t>第19号</w:t>
      </w:r>
      <w:r w:rsidRPr="0074200A">
        <w:rPr>
          <w:rFonts w:ascii="楷体" w:eastAsia="楷体" w:hAnsi="楷体" w:cs="宋体" w:hint="eastAsia"/>
          <w:kern w:val="0"/>
          <w:szCs w:val="21"/>
        </w:rPr>
        <w:t xml:space="preserve"> </w:t>
      </w:r>
      <w:r w:rsidRPr="0074200A">
        <w:rPr>
          <w:rFonts w:ascii="宋体" w:eastAsia="宋体" w:hAnsi="宋体" w:cs="宋体" w:hint="eastAsia"/>
          <w:kern w:val="0"/>
          <w:szCs w:val="21"/>
        </w:rPr>
        <w:t xml:space="preserve">  </w:t>
      </w:r>
    </w:p>
    <w:p w:rsidR="0074200A" w:rsidRPr="0074200A" w:rsidRDefault="0074200A" w:rsidP="0074200A">
      <w:pPr>
        <w:widowControl/>
        <w:wordWrap w:val="0"/>
        <w:spacing w:before="90" w:after="90"/>
        <w:jc w:val="left"/>
        <w:rPr>
          <w:rFonts w:ascii="宋体" w:eastAsia="宋体" w:hAnsi="宋体" w:cs="宋体"/>
          <w:kern w:val="0"/>
          <w:szCs w:val="21"/>
        </w:rPr>
      </w:pPr>
      <w:r w:rsidRPr="0074200A">
        <w:rPr>
          <w:rFonts w:ascii="楷体" w:eastAsia="楷体" w:hAnsi="楷体" w:cs="宋体" w:hint="eastAsia"/>
          <w:kern w:val="0"/>
          <w:szCs w:val="21"/>
        </w:rPr>
        <w:t xml:space="preserve">　　《证券投资基金信息披露管理办法》已经2004年3月30日中国证券监督管理委员会第80次主席办公会议审议通过，现予公布，自2004年7月1日起施行。 </w:t>
      </w:r>
    </w:p>
    <w:p w:rsidR="0074200A" w:rsidRPr="0074200A" w:rsidRDefault="0074200A" w:rsidP="0074200A">
      <w:pPr>
        <w:widowControl/>
        <w:wordWrap w:val="0"/>
        <w:spacing w:before="90" w:after="90"/>
        <w:jc w:val="left"/>
        <w:rPr>
          <w:rFonts w:ascii="宋体" w:eastAsia="宋体" w:hAnsi="宋体" w:cs="宋体"/>
          <w:kern w:val="0"/>
          <w:szCs w:val="21"/>
        </w:rPr>
      </w:pPr>
      <w:r w:rsidRPr="0074200A">
        <w:rPr>
          <w:rFonts w:ascii="宋体" w:eastAsia="宋体" w:hAnsi="宋体" w:cs="宋体" w:hint="eastAsia"/>
          <w:kern w:val="0"/>
          <w:szCs w:val="21"/>
        </w:rPr>
        <w:t xml:space="preserve">  </w:t>
      </w:r>
    </w:p>
    <w:p w:rsidR="0074200A" w:rsidRPr="0074200A" w:rsidRDefault="0074200A" w:rsidP="0074200A">
      <w:pPr>
        <w:widowControl/>
        <w:wordWrap w:val="0"/>
        <w:spacing w:before="90" w:after="90"/>
        <w:jc w:val="right"/>
        <w:rPr>
          <w:rFonts w:ascii="宋体" w:eastAsia="宋体" w:hAnsi="宋体" w:cs="宋体"/>
          <w:kern w:val="0"/>
          <w:szCs w:val="21"/>
        </w:rPr>
      </w:pPr>
      <w:r w:rsidRPr="0074200A">
        <w:rPr>
          <w:rFonts w:ascii="楷体" w:eastAsia="楷体" w:hAnsi="楷体" w:cs="宋体" w:hint="eastAsia"/>
          <w:kern w:val="0"/>
          <w:szCs w:val="21"/>
        </w:rPr>
        <w:t xml:space="preserve">中国证券监督管理委员会主席：尚福林 </w:t>
      </w:r>
    </w:p>
    <w:p w:rsidR="0074200A" w:rsidRPr="0074200A" w:rsidRDefault="0074200A" w:rsidP="0074200A">
      <w:pPr>
        <w:widowControl/>
        <w:wordWrap w:val="0"/>
        <w:spacing w:before="90" w:after="90"/>
        <w:jc w:val="right"/>
        <w:rPr>
          <w:rFonts w:ascii="宋体" w:eastAsia="宋体" w:hAnsi="宋体" w:cs="宋体"/>
          <w:kern w:val="0"/>
          <w:szCs w:val="21"/>
        </w:rPr>
      </w:pPr>
      <w:r w:rsidRPr="0074200A">
        <w:rPr>
          <w:rFonts w:ascii="宋体" w:eastAsia="宋体" w:hAnsi="宋体" w:cs="宋体" w:hint="eastAsia"/>
          <w:kern w:val="0"/>
          <w:szCs w:val="21"/>
        </w:rPr>
        <w:t> </w:t>
      </w:r>
      <w:r w:rsidRPr="0074200A">
        <w:rPr>
          <w:rFonts w:ascii="楷体" w:eastAsia="楷体" w:hAnsi="楷体" w:cs="宋体" w:hint="eastAsia"/>
          <w:kern w:val="0"/>
          <w:szCs w:val="21"/>
        </w:rPr>
        <w:t xml:space="preserve">二○○四年六月八日　　</w:t>
      </w:r>
      <w:proofErr w:type="gramStart"/>
      <w:r w:rsidRPr="0074200A">
        <w:rPr>
          <w:rFonts w:ascii="楷体" w:eastAsia="楷体" w:hAnsi="楷体" w:cs="宋体" w:hint="eastAsia"/>
          <w:kern w:val="0"/>
          <w:szCs w:val="21"/>
        </w:rPr>
        <w:t xml:space="preserve">　</w:t>
      </w:r>
      <w:proofErr w:type="gramEnd"/>
      <w:r w:rsidRPr="0074200A">
        <w:rPr>
          <w:rFonts w:ascii="楷体" w:eastAsia="楷体" w:hAnsi="楷体" w:cs="宋体" w:hint="eastAsia"/>
          <w:kern w:val="0"/>
          <w:szCs w:val="21"/>
        </w:rPr>
        <w:t xml:space="preserve"> </w:t>
      </w:r>
    </w:p>
    <w:p w:rsidR="0074200A" w:rsidRPr="00836F6C" w:rsidRDefault="0074200A" w:rsidP="0074200A">
      <w:pPr>
        <w:widowControl/>
        <w:wordWrap w:val="0"/>
        <w:spacing w:before="90" w:after="90"/>
        <w:jc w:val="center"/>
        <w:rPr>
          <w:rFonts w:asciiTheme="minorEastAsia" w:hAnsiTheme="minorEastAsia" w:cs="宋体"/>
          <w:kern w:val="0"/>
          <w:szCs w:val="21"/>
        </w:rPr>
      </w:pPr>
      <w:r w:rsidRPr="00836F6C">
        <w:rPr>
          <w:rFonts w:asciiTheme="minorEastAsia" w:hAnsiTheme="minorEastAsia" w:cs="宋体" w:hint="eastAsia"/>
          <w:kern w:val="0"/>
          <w:sz w:val="30"/>
          <w:szCs w:val="30"/>
        </w:rPr>
        <w:t>证券投资基金信息披露管理办法</w:t>
      </w:r>
      <w:r w:rsidRPr="00836F6C">
        <w:rPr>
          <w:rFonts w:asciiTheme="minorEastAsia" w:hAnsiTheme="minorEastAsia" w:cs="宋体" w:hint="eastAsia"/>
          <w:kern w:val="0"/>
          <w:szCs w:val="21"/>
        </w:rPr>
        <w:t xml:space="preserve"> </w:t>
      </w:r>
    </w:p>
    <w:p w:rsidR="0074200A" w:rsidRPr="00836F6C" w:rsidRDefault="0074200A" w:rsidP="0074200A">
      <w:pPr>
        <w:widowControl/>
        <w:wordWrap w:val="0"/>
        <w:spacing w:before="90" w:after="90"/>
        <w:jc w:val="center"/>
        <w:rPr>
          <w:rFonts w:asciiTheme="minorEastAsia" w:hAnsiTheme="minorEastAsia" w:cs="宋体"/>
          <w:kern w:val="0"/>
          <w:szCs w:val="21"/>
        </w:rPr>
      </w:pPr>
      <w:r w:rsidRPr="00836F6C">
        <w:rPr>
          <w:rFonts w:asciiTheme="minorEastAsia" w:hAnsiTheme="minorEastAsia" w:cs="宋体" w:hint="eastAsia"/>
          <w:kern w:val="0"/>
          <w:szCs w:val="21"/>
        </w:rPr>
        <w:t xml:space="preserve">　</w:t>
      </w:r>
      <w:r w:rsidRPr="00836F6C">
        <w:rPr>
          <w:rFonts w:asciiTheme="minorEastAsia" w:hAnsiTheme="minorEastAsia" w:cs="宋体" w:hint="eastAsia"/>
          <w:kern w:val="0"/>
          <w:sz w:val="24"/>
          <w:szCs w:val="24"/>
        </w:rPr>
        <w:t xml:space="preserve">　第一章 总则</w:t>
      </w:r>
      <w:r w:rsidRPr="00836F6C">
        <w:rPr>
          <w:rFonts w:asciiTheme="minorEastAsia" w:hAnsiTheme="minorEastAsia" w:cs="宋体" w:hint="eastAsia"/>
          <w:kern w:val="0"/>
          <w:szCs w:val="21"/>
        </w:rPr>
        <w:t xml:space="preserve">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第一条</w:t>
      </w:r>
      <w:r w:rsidR="00836F6C" w:rsidRPr="00E20FDC">
        <w:rPr>
          <w:rFonts w:asciiTheme="minorEastAsia" w:hAnsiTheme="minorEastAsia" w:cs="宋体" w:hint="eastAsia"/>
          <w:kern w:val="0"/>
          <w:szCs w:val="21"/>
        </w:rPr>
        <w:t xml:space="preserve">  </w:t>
      </w:r>
      <w:r w:rsidRPr="00E20FDC">
        <w:rPr>
          <w:rFonts w:asciiTheme="minorEastAsia" w:hAnsiTheme="minorEastAsia" w:cs="宋体" w:hint="eastAsia"/>
          <w:kern w:val="0"/>
          <w:szCs w:val="21"/>
        </w:rPr>
        <w:t xml:space="preserve">为规范证券投资基金(以下简称基金)信息披露活动，保护投资人及相关当事人的合法权益，根据《证券投资基金法》(以下简称《基金法》)，制定本办法。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第二条</w:t>
      </w:r>
      <w:r w:rsidR="00836F6C" w:rsidRPr="00E20FDC">
        <w:rPr>
          <w:rFonts w:asciiTheme="minorEastAsia" w:hAnsiTheme="minorEastAsia" w:cs="宋体" w:hint="eastAsia"/>
          <w:kern w:val="0"/>
          <w:szCs w:val="21"/>
        </w:rPr>
        <w:t xml:space="preserve">  </w:t>
      </w:r>
      <w:r w:rsidRPr="00E20FDC">
        <w:rPr>
          <w:rFonts w:asciiTheme="minorEastAsia" w:hAnsiTheme="minorEastAsia" w:cs="宋体" w:hint="eastAsia"/>
          <w:kern w:val="0"/>
          <w:szCs w:val="21"/>
        </w:rPr>
        <w:t xml:space="preserve">基金信息披露义务人应当按照法律、行政法规和中国证券监督管理委员会(以下简称中国证监会)的规定披露基金信息，并保证所披露信息的真实性、准确性和完整性。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基金信息披露义务人包括</w:t>
      </w:r>
      <w:r w:rsidRPr="00E20FDC">
        <w:rPr>
          <w:rFonts w:asciiTheme="minorEastAsia" w:hAnsiTheme="minorEastAsia" w:cs="宋体" w:hint="eastAsia"/>
          <w:b/>
          <w:color w:val="FF0000"/>
          <w:kern w:val="0"/>
          <w:szCs w:val="21"/>
        </w:rPr>
        <w:t>基金管理人、基金托管人、召集基金份额持有人大会的基金份额持有人等法律、行政法规和中国证监会规定的自然人、法人和其他组织。</w:t>
      </w:r>
      <w:r w:rsidRPr="00E20FDC">
        <w:rPr>
          <w:rFonts w:asciiTheme="minorEastAsia" w:hAnsiTheme="minorEastAsia" w:cs="宋体" w:hint="eastAsia"/>
          <w:kern w:val="0"/>
          <w:szCs w:val="21"/>
        </w:rPr>
        <w:t xml:space="preserve">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第三条</w:t>
      </w:r>
      <w:r w:rsidR="00836F6C" w:rsidRPr="00E20FDC">
        <w:rPr>
          <w:rFonts w:asciiTheme="minorEastAsia" w:hAnsiTheme="minorEastAsia" w:cs="宋体" w:hint="eastAsia"/>
          <w:kern w:val="0"/>
          <w:szCs w:val="21"/>
        </w:rPr>
        <w:t xml:space="preserve">  </w:t>
      </w:r>
      <w:r w:rsidRPr="00E20FDC">
        <w:rPr>
          <w:rFonts w:asciiTheme="minorEastAsia" w:hAnsiTheme="minorEastAsia" w:cs="宋体" w:hint="eastAsia"/>
          <w:kern w:val="0"/>
          <w:szCs w:val="21"/>
        </w:rPr>
        <w:t xml:space="preserve">基金信息披露义务人应当在中国证监会规定时间内，将应予披露的基金信息通过中国证监会指定的全国性报刊(以下简称指定报刊)和基金管理人、基金托管人的互联网网站(以下简称网站)等媒介披露，并保证投资人能够按照基金合同约定的时间和方式查阅或者复制公开披露的信息资料。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第四条 中国证监会及其派出机构依法对基金信息披露活动进行监督管理。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中国证监会根据基金信息披露活动情况，及时制定相关的内容与格式准则、编报规则；根据基金信息披露活动中存在的技术问题，及时做出规范解答。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证券交易所依法对基金信息披露活动进行自律管理。  </w:t>
      </w:r>
    </w:p>
    <w:p w:rsidR="0074200A" w:rsidRPr="00E20FDC" w:rsidRDefault="0074200A" w:rsidP="00E20FDC">
      <w:pPr>
        <w:widowControl/>
        <w:spacing w:beforeLines="50" w:before="156" w:afterLines="50" w:after="156" w:line="360" w:lineRule="auto"/>
        <w:jc w:val="center"/>
        <w:rPr>
          <w:rFonts w:asciiTheme="minorEastAsia" w:hAnsiTheme="minorEastAsia" w:cs="宋体"/>
          <w:kern w:val="0"/>
          <w:szCs w:val="21"/>
        </w:rPr>
      </w:pPr>
      <w:r w:rsidRPr="00E20FDC">
        <w:rPr>
          <w:rFonts w:asciiTheme="minorEastAsia" w:hAnsiTheme="minorEastAsia" w:cs="宋体" w:hint="eastAsia"/>
          <w:kern w:val="0"/>
          <w:szCs w:val="21"/>
        </w:rPr>
        <w:t xml:space="preserve">　　第二章 基金信息披露一般规定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第五条 公开披露的基金信息包括：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w:t>
      </w:r>
      <w:proofErr w:type="gramStart"/>
      <w:r w:rsidRPr="00E20FDC">
        <w:rPr>
          <w:rFonts w:asciiTheme="minorEastAsia" w:hAnsiTheme="minorEastAsia" w:cs="宋体" w:hint="eastAsia"/>
          <w:kern w:val="0"/>
          <w:szCs w:val="21"/>
        </w:rPr>
        <w:t>一</w:t>
      </w:r>
      <w:proofErr w:type="gramEnd"/>
      <w:r w:rsidRPr="00E20FDC">
        <w:rPr>
          <w:rFonts w:asciiTheme="minorEastAsia" w:hAnsiTheme="minorEastAsia" w:cs="宋体" w:hint="eastAsia"/>
          <w:kern w:val="0"/>
          <w:szCs w:val="21"/>
        </w:rPr>
        <w:t xml:space="preserve">)基金招募说明书；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 基金合同；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(三) 基金托管协议；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lastRenderedPageBreak/>
        <w:t xml:space="preserve">　　(四)基金份额发售公告；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(五)基金募集情况；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(六)基金合同生效公告；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(七)基金份额上市交易公告书；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(八)基金资产净值、基金份额净值；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(九)基金份额申购、赎回价格；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(十)基金定期报告，包括基金年度报告、基金半年度报告和基金季度报告；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(十一)临时报告；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(十二)基金份额持有人大会决议；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(十三)基金管理人、基金托管人的基金托管部门的重大人事变动；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(十四)涉及基金管理人、基金财产、基金托管业务的诉讼；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(十五)澄清公告；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(十六)中国证监会规定的其他信息。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第六条 公开披露基金信息，不得有下列行为：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w:t>
      </w:r>
      <w:proofErr w:type="gramStart"/>
      <w:r w:rsidRPr="00E20FDC">
        <w:rPr>
          <w:rFonts w:asciiTheme="minorEastAsia" w:hAnsiTheme="minorEastAsia" w:cs="宋体" w:hint="eastAsia"/>
          <w:kern w:val="0"/>
          <w:szCs w:val="21"/>
        </w:rPr>
        <w:t>一</w:t>
      </w:r>
      <w:proofErr w:type="gramEnd"/>
      <w:r w:rsidRPr="00E20FDC">
        <w:rPr>
          <w:rFonts w:asciiTheme="minorEastAsia" w:hAnsiTheme="minorEastAsia" w:cs="宋体" w:hint="eastAsia"/>
          <w:kern w:val="0"/>
          <w:szCs w:val="21"/>
        </w:rPr>
        <w:t xml:space="preserve">)虚假记载、误导性陈述或者重大遗漏；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(二)对证券投资业绩进行预测；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(三)违规承诺收益或者承担损失；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(四)诋毁其他基金管理人、基金托管人或者基金份额发售机构；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(五)登载任何自然人、法人或者其他组织的祝贺性、恭维性或推荐性的文字；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(六)中国证监会禁止的其他行为。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第七条公开披露的基金信息应当采用中文文本。同时采用外文文本的，基金信息披露义务人应当保证两种文本的内容一致。两种文本发生歧义的，以中文文本为准。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第八条 公开披露的基金信息应当采用阿拉伯数字；除特别说明外，货币单位应当为人民币元。  </w:t>
      </w:r>
    </w:p>
    <w:p w:rsidR="0074200A" w:rsidRPr="00E20FDC" w:rsidRDefault="0074200A" w:rsidP="00E20FDC">
      <w:pPr>
        <w:widowControl/>
        <w:spacing w:beforeLines="50" w:before="156" w:afterLines="50" w:after="156" w:line="360" w:lineRule="auto"/>
        <w:jc w:val="center"/>
        <w:rPr>
          <w:rFonts w:asciiTheme="minorEastAsia" w:hAnsiTheme="minorEastAsia" w:cs="宋体"/>
          <w:kern w:val="0"/>
          <w:szCs w:val="21"/>
        </w:rPr>
      </w:pPr>
      <w:r w:rsidRPr="00E20FDC">
        <w:rPr>
          <w:rFonts w:asciiTheme="minorEastAsia" w:hAnsiTheme="minorEastAsia" w:cs="宋体" w:hint="eastAsia"/>
          <w:kern w:val="0"/>
          <w:szCs w:val="21"/>
        </w:rPr>
        <w:t xml:space="preserve">　　第三章 基金</w:t>
      </w:r>
      <w:r w:rsidRPr="00E20FDC">
        <w:rPr>
          <w:rFonts w:asciiTheme="minorEastAsia" w:hAnsiTheme="minorEastAsia" w:cs="宋体" w:hint="eastAsia"/>
          <w:b/>
          <w:color w:val="FF0000"/>
          <w:kern w:val="0"/>
          <w:szCs w:val="21"/>
          <w:highlight w:val="yellow"/>
        </w:rPr>
        <w:t>募集信息披露</w:t>
      </w:r>
      <w:r w:rsidRPr="00E20FDC">
        <w:rPr>
          <w:rFonts w:asciiTheme="minorEastAsia" w:hAnsiTheme="minorEastAsia" w:cs="宋体" w:hint="eastAsia"/>
          <w:kern w:val="0"/>
          <w:szCs w:val="21"/>
        </w:rPr>
        <w:t xml:space="preserve">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第九条  基金募集申请经中国证监会核准后，基金管理人应当在基金份额发售的</w:t>
      </w:r>
      <w:r w:rsidRPr="00E20FDC">
        <w:rPr>
          <w:rFonts w:asciiTheme="minorEastAsia" w:hAnsiTheme="minorEastAsia" w:cs="宋体" w:hint="eastAsia"/>
          <w:b/>
          <w:color w:val="FF0000"/>
          <w:kern w:val="0"/>
          <w:szCs w:val="21"/>
        </w:rPr>
        <w:t>三日前，</w:t>
      </w:r>
      <w:r w:rsidRPr="00E20FDC">
        <w:rPr>
          <w:rFonts w:asciiTheme="minorEastAsia" w:hAnsiTheme="minorEastAsia" w:cs="宋体" w:hint="eastAsia"/>
          <w:kern w:val="0"/>
          <w:szCs w:val="21"/>
        </w:rPr>
        <w:t xml:space="preserve">将基金招募说明书、基金合同摘要登载在指定报刊和网站上；基金管理人、基金托管人应当同时将基金合同、基金托管协议登载在网站上。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lastRenderedPageBreak/>
        <w:t xml:space="preserve">　　第十条 基金管理人应当就基金份额发售的具体事宜编制基金份额发售公告，并在披露招募说明书的当日登载于指定报刊和网站上。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第十一条 基金管理人应当在</w:t>
      </w:r>
      <w:r w:rsidRPr="00E20FDC">
        <w:rPr>
          <w:rFonts w:asciiTheme="minorEastAsia" w:hAnsiTheme="minorEastAsia" w:cs="宋体" w:hint="eastAsia"/>
          <w:b/>
          <w:color w:val="FF0000"/>
          <w:kern w:val="0"/>
          <w:szCs w:val="21"/>
        </w:rPr>
        <w:t>基金合同生效</w:t>
      </w:r>
      <w:r w:rsidRPr="00E20FDC">
        <w:rPr>
          <w:rFonts w:asciiTheme="minorEastAsia" w:hAnsiTheme="minorEastAsia" w:cs="宋体" w:hint="eastAsia"/>
          <w:kern w:val="0"/>
          <w:szCs w:val="21"/>
        </w:rPr>
        <w:t>的</w:t>
      </w:r>
      <w:r w:rsidRPr="00E20FDC">
        <w:rPr>
          <w:rFonts w:asciiTheme="minorEastAsia" w:hAnsiTheme="minorEastAsia" w:cs="宋体" w:hint="eastAsia"/>
          <w:b/>
          <w:color w:val="FF0000"/>
          <w:kern w:val="0"/>
          <w:szCs w:val="21"/>
        </w:rPr>
        <w:t>次日</w:t>
      </w:r>
      <w:r w:rsidRPr="00E20FDC">
        <w:rPr>
          <w:rFonts w:asciiTheme="minorEastAsia" w:hAnsiTheme="minorEastAsia" w:cs="宋体" w:hint="eastAsia"/>
          <w:kern w:val="0"/>
          <w:szCs w:val="21"/>
        </w:rPr>
        <w:t xml:space="preserve">在指定报刊和网站上登载基金合同生效公告。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第十二条  </w:t>
      </w:r>
      <w:r w:rsidRPr="00E20FDC">
        <w:rPr>
          <w:rFonts w:asciiTheme="minorEastAsia" w:hAnsiTheme="minorEastAsia" w:cs="宋体" w:hint="eastAsia"/>
          <w:b/>
          <w:color w:val="FF0000"/>
          <w:kern w:val="0"/>
          <w:szCs w:val="21"/>
        </w:rPr>
        <w:t>开放式基金的基金合同生效后，基金管理人应当在</w:t>
      </w:r>
      <w:r w:rsidRPr="00E20FDC">
        <w:rPr>
          <w:rFonts w:asciiTheme="minorEastAsia" w:hAnsiTheme="minorEastAsia" w:cs="宋体" w:hint="eastAsia"/>
          <w:b/>
          <w:color w:val="FF0000"/>
          <w:kern w:val="0"/>
          <w:szCs w:val="21"/>
          <w:highlight w:val="yellow"/>
        </w:rPr>
        <w:t>每六个月结束之日起四十五日内</w:t>
      </w:r>
      <w:r w:rsidRPr="00E20FDC">
        <w:rPr>
          <w:rFonts w:asciiTheme="minorEastAsia" w:hAnsiTheme="minorEastAsia" w:cs="宋体" w:hint="eastAsia"/>
          <w:b/>
          <w:color w:val="FF0000"/>
          <w:kern w:val="0"/>
          <w:szCs w:val="21"/>
        </w:rPr>
        <w:t>，更新招募说明书并登载在网站上，将更新后的招募说明书摘要登载在指定报刊上。</w:t>
      </w:r>
      <w:r w:rsidRPr="00E20FDC">
        <w:rPr>
          <w:rFonts w:asciiTheme="minorEastAsia" w:hAnsiTheme="minorEastAsia" w:cs="宋体" w:hint="eastAsia"/>
          <w:kern w:val="0"/>
          <w:szCs w:val="21"/>
        </w:rPr>
        <w:t xml:space="preserve">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w:t>
      </w:r>
      <w:r w:rsidRPr="00E20FDC">
        <w:rPr>
          <w:rFonts w:asciiTheme="minorEastAsia" w:hAnsiTheme="minorEastAsia" w:cs="宋体" w:hint="eastAsia"/>
          <w:b/>
          <w:color w:val="FF0000"/>
          <w:kern w:val="0"/>
          <w:szCs w:val="21"/>
        </w:rPr>
        <w:t xml:space="preserve">基金管理人应当在公告的十五日前向中国证监会报送更新的招募说明书，并就有关更新内容提供书面说明。 </w:t>
      </w:r>
      <w:r w:rsidRPr="00E20FDC">
        <w:rPr>
          <w:rFonts w:asciiTheme="minorEastAsia" w:hAnsiTheme="minorEastAsia" w:cs="宋体" w:hint="eastAsia"/>
          <w:kern w:val="0"/>
          <w:szCs w:val="21"/>
        </w:rPr>
        <w:t> </w:t>
      </w:r>
    </w:p>
    <w:p w:rsidR="0074200A" w:rsidRPr="00E20FDC" w:rsidRDefault="0074200A" w:rsidP="00E20FDC">
      <w:pPr>
        <w:widowControl/>
        <w:spacing w:beforeLines="50" w:before="156" w:afterLines="50" w:after="156" w:line="360" w:lineRule="auto"/>
        <w:jc w:val="center"/>
        <w:rPr>
          <w:rFonts w:asciiTheme="minorEastAsia" w:hAnsiTheme="minorEastAsia" w:cs="宋体"/>
          <w:kern w:val="0"/>
          <w:szCs w:val="21"/>
        </w:rPr>
      </w:pPr>
      <w:r w:rsidRPr="00E20FDC">
        <w:rPr>
          <w:rFonts w:asciiTheme="minorEastAsia" w:hAnsiTheme="minorEastAsia" w:cs="宋体" w:hint="eastAsia"/>
          <w:kern w:val="0"/>
          <w:szCs w:val="21"/>
        </w:rPr>
        <w:t xml:space="preserve">　　第四章 基金</w:t>
      </w:r>
      <w:r w:rsidRPr="00E20FDC">
        <w:rPr>
          <w:rFonts w:asciiTheme="minorEastAsia" w:hAnsiTheme="minorEastAsia" w:cs="宋体" w:hint="eastAsia"/>
          <w:b/>
          <w:color w:val="FF0000"/>
          <w:kern w:val="0"/>
          <w:szCs w:val="21"/>
          <w:highlight w:val="yellow"/>
        </w:rPr>
        <w:t>运作信息披露</w:t>
      </w:r>
      <w:r w:rsidRPr="00E20FDC">
        <w:rPr>
          <w:rFonts w:asciiTheme="minorEastAsia" w:hAnsiTheme="minorEastAsia" w:cs="宋体" w:hint="eastAsia"/>
          <w:kern w:val="0"/>
          <w:szCs w:val="21"/>
        </w:rPr>
        <w:t xml:space="preserve"> </w:t>
      </w:r>
    </w:p>
    <w:p w:rsidR="0074200A" w:rsidRPr="00E20FDC" w:rsidRDefault="0074200A" w:rsidP="00E20FDC">
      <w:pPr>
        <w:widowControl/>
        <w:spacing w:line="360" w:lineRule="auto"/>
        <w:jc w:val="left"/>
        <w:rPr>
          <w:rFonts w:asciiTheme="minorEastAsia" w:hAnsiTheme="minorEastAsia" w:cs="宋体"/>
          <w:b/>
          <w:color w:val="FF0000"/>
          <w:kern w:val="0"/>
          <w:szCs w:val="21"/>
        </w:rPr>
      </w:pPr>
      <w:r w:rsidRPr="00E20FDC">
        <w:rPr>
          <w:rFonts w:asciiTheme="minorEastAsia" w:hAnsiTheme="minorEastAsia" w:cs="宋体" w:hint="eastAsia"/>
          <w:kern w:val="0"/>
          <w:szCs w:val="21"/>
        </w:rPr>
        <w:t xml:space="preserve">　　第十三条  </w:t>
      </w:r>
      <w:r w:rsidRPr="00E20FDC">
        <w:rPr>
          <w:rFonts w:asciiTheme="minorEastAsia" w:hAnsiTheme="minorEastAsia" w:cs="宋体" w:hint="eastAsia"/>
          <w:b/>
          <w:color w:val="FF0000"/>
          <w:kern w:val="0"/>
          <w:szCs w:val="21"/>
        </w:rPr>
        <w:t xml:space="preserve">基金份额获准在证券交易所上市交易的，基金管理人应当在基金份额上市交易的三个工作日前，将基金份额上市交易公告书登载在指定报刊和网站上。 </w:t>
      </w:r>
    </w:p>
    <w:p w:rsidR="0074200A" w:rsidRPr="00E20FDC" w:rsidRDefault="0074200A" w:rsidP="00E20FDC">
      <w:pPr>
        <w:widowControl/>
        <w:spacing w:line="360" w:lineRule="auto"/>
        <w:jc w:val="left"/>
        <w:rPr>
          <w:rFonts w:asciiTheme="minorEastAsia" w:hAnsiTheme="minorEastAsia" w:cs="宋体"/>
          <w:b/>
          <w:kern w:val="0"/>
          <w:szCs w:val="21"/>
        </w:rPr>
      </w:pPr>
      <w:r w:rsidRPr="00E20FDC">
        <w:rPr>
          <w:rFonts w:asciiTheme="minorEastAsia" w:hAnsiTheme="minorEastAsia" w:cs="宋体" w:hint="eastAsia"/>
          <w:kern w:val="0"/>
          <w:szCs w:val="21"/>
        </w:rPr>
        <w:t xml:space="preserve">　　</w:t>
      </w:r>
      <w:r w:rsidRPr="00E20FDC">
        <w:rPr>
          <w:rFonts w:asciiTheme="minorEastAsia" w:hAnsiTheme="minorEastAsia" w:cs="宋体" w:hint="eastAsia"/>
          <w:b/>
          <w:color w:val="FF0000"/>
          <w:kern w:val="0"/>
          <w:szCs w:val="21"/>
        </w:rPr>
        <w:t>第十四条 基金管理人应当至少每周公告一次封闭式基金的资产净值和份额净值。</w:t>
      </w:r>
      <w:r w:rsidRPr="00E20FDC">
        <w:rPr>
          <w:rFonts w:asciiTheme="minorEastAsia" w:hAnsiTheme="minorEastAsia" w:cs="宋体" w:hint="eastAsia"/>
          <w:b/>
          <w:kern w:val="0"/>
          <w:szCs w:val="21"/>
        </w:rPr>
        <w:t xml:space="preserve"> </w:t>
      </w:r>
    </w:p>
    <w:p w:rsidR="0074200A" w:rsidRPr="00E20FDC" w:rsidRDefault="0074200A" w:rsidP="00E20FDC">
      <w:pPr>
        <w:widowControl/>
        <w:spacing w:line="360" w:lineRule="auto"/>
        <w:jc w:val="left"/>
        <w:rPr>
          <w:rFonts w:asciiTheme="minorEastAsia" w:hAnsiTheme="minorEastAsia" w:cs="宋体"/>
          <w:b/>
          <w:color w:val="FF0000"/>
          <w:kern w:val="0"/>
          <w:szCs w:val="21"/>
        </w:rPr>
      </w:pPr>
      <w:r w:rsidRPr="00E20FDC">
        <w:rPr>
          <w:rFonts w:asciiTheme="minorEastAsia" w:hAnsiTheme="minorEastAsia" w:cs="宋体" w:hint="eastAsia"/>
          <w:kern w:val="0"/>
          <w:szCs w:val="21"/>
        </w:rPr>
        <w:t xml:space="preserve">　　</w:t>
      </w:r>
      <w:r w:rsidRPr="00E20FDC">
        <w:rPr>
          <w:rFonts w:asciiTheme="minorEastAsia" w:hAnsiTheme="minorEastAsia" w:cs="宋体" w:hint="eastAsia"/>
          <w:b/>
          <w:color w:val="FF0000"/>
          <w:kern w:val="0"/>
          <w:szCs w:val="21"/>
        </w:rPr>
        <w:t xml:space="preserve">第十五条  开放式基金的基金合同生效后，在开始办理基金份额申购或者赎回前，基金管理人应当至少每周公告一次基金资产净值和基金份额净值。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基金管理人应当在每个开放日的次日，通过网站、基金份额发售网点以及其他媒介，披露开放日的基金份额净值和基金份额累计净值。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第十六条 </w:t>
      </w:r>
      <w:r w:rsidRPr="00E20FDC">
        <w:rPr>
          <w:rFonts w:asciiTheme="minorEastAsia" w:hAnsiTheme="minorEastAsia" w:cs="宋体" w:hint="eastAsia"/>
          <w:b/>
          <w:color w:val="FF0000"/>
          <w:kern w:val="0"/>
          <w:szCs w:val="21"/>
        </w:rPr>
        <w:t>基金管理人应当公告半年度和年度最后一个市场交易日基金资产净值和基金份额净值。</w:t>
      </w:r>
      <w:r w:rsidRPr="00E20FDC">
        <w:rPr>
          <w:rFonts w:asciiTheme="minorEastAsia" w:hAnsiTheme="minorEastAsia" w:cs="宋体" w:hint="eastAsia"/>
          <w:kern w:val="0"/>
          <w:szCs w:val="21"/>
        </w:rPr>
        <w:t xml:space="preserve">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基金管理人应当在前款规定的</w:t>
      </w:r>
      <w:r w:rsidRPr="00E20FDC">
        <w:rPr>
          <w:rFonts w:asciiTheme="minorEastAsia" w:hAnsiTheme="minorEastAsia" w:cs="宋体" w:hint="eastAsia"/>
          <w:b/>
          <w:color w:val="FF0000"/>
          <w:kern w:val="0"/>
          <w:szCs w:val="21"/>
        </w:rPr>
        <w:t xml:space="preserve">市场交易日的次日，将基金资产净值、基金份额净值和基金份额累计净值登载在指定报刊和网站上。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第十七条  基金管理人应当在开放式基金的基金合同、招募说明书等信息披露文件上载</w:t>
      </w:r>
      <w:proofErr w:type="gramStart"/>
      <w:r w:rsidRPr="00E20FDC">
        <w:rPr>
          <w:rFonts w:asciiTheme="minorEastAsia" w:hAnsiTheme="minorEastAsia" w:cs="宋体" w:hint="eastAsia"/>
          <w:kern w:val="0"/>
          <w:szCs w:val="21"/>
        </w:rPr>
        <w:t>明基金</w:t>
      </w:r>
      <w:proofErr w:type="gramEnd"/>
      <w:r w:rsidRPr="00E20FDC">
        <w:rPr>
          <w:rFonts w:asciiTheme="minorEastAsia" w:hAnsiTheme="minorEastAsia" w:cs="宋体" w:hint="eastAsia"/>
          <w:kern w:val="0"/>
          <w:szCs w:val="21"/>
        </w:rPr>
        <w:t xml:space="preserve">份额申购、赎回价格的计算方式及有关申购、赎回费率，并保证投资人能够在基金份额发售网点查阅或者复制前述信息资料。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第十八条  </w:t>
      </w:r>
      <w:r w:rsidRPr="00E20FDC">
        <w:rPr>
          <w:rFonts w:asciiTheme="minorEastAsia" w:hAnsiTheme="minorEastAsia" w:cs="宋体" w:hint="eastAsia"/>
          <w:b/>
          <w:color w:val="FF0000"/>
          <w:kern w:val="0"/>
          <w:szCs w:val="21"/>
        </w:rPr>
        <w:t>基金管理人应当在每年结束之日起九十日内，编制完成基金年度报告</w:t>
      </w:r>
      <w:r w:rsidRPr="00E20FDC">
        <w:rPr>
          <w:rFonts w:asciiTheme="minorEastAsia" w:hAnsiTheme="minorEastAsia" w:cs="宋体" w:hint="eastAsia"/>
          <w:kern w:val="0"/>
          <w:szCs w:val="21"/>
        </w:rPr>
        <w:t xml:space="preserve">，并将年度报告正文登载于网站上，将年度报告摘要登载在指定报刊上。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基金年度报告的财务会计报告应当经过审计。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第十九条  </w:t>
      </w:r>
      <w:r w:rsidRPr="00E20FDC">
        <w:rPr>
          <w:rFonts w:asciiTheme="minorEastAsia" w:hAnsiTheme="minorEastAsia" w:cs="宋体" w:hint="eastAsia"/>
          <w:b/>
          <w:color w:val="FF0000"/>
          <w:kern w:val="0"/>
          <w:szCs w:val="21"/>
        </w:rPr>
        <w:t>基金管理人应当在上半年结束之日起六十日内，编制完成基金半年度报告，</w:t>
      </w:r>
      <w:r w:rsidRPr="00E20FDC">
        <w:rPr>
          <w:rFonts w:asciiTheme="minorEastAsia" w:hAnsiTheme="minorEastAsia" w:cs="宋体" w:hint="eastAsia"/>
          <w:kern w:val="0"/>
          <w:szCs w:val="21"/>
        </w:rPr>
        <w:t xml:space="preserve">并将半年度报告正文登载在网站上，将半年度报告摘要登载在指定报刊上。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lastRenderedPageBreak/>
        <w:t xml:space="preserve">　　第二十条 </w:t>
      </w:r>
      <w:r w:rsidRPr="00E20FDC">
        <w:rPr>
          <w:rFonts w:asciiTheme="minorEastAsia" w:hAnsiTheme="minorEastAsia" w:cs="宋体" w:hint="eastAsia"/>
          <w:b/>
          <w:color w:val="FF0000"/>
          <w:kern w:val="0"/>
          <w:szCs w:val="21"/>
        </w:rPr>
        <w:t>基金管理人应当在每个季度结束之日起十五个工作日内，编制完成基金季度报告，</w:t>
      </w:r>
      <w:r w:rsidRPr="00E20FDC">
        <w:rPr>
          <w:rFonts w:asciiTheme="minorEastAsia" w:hAnsiTheme="minorEastAsia" w:cs="宋体" w:hint="eastAsia"/>
          <w:kern w:val="0"/>
          <w:szCs w:val="21"/>
        </w:rPr>
        <w:t xml:space="preserve">并将季度报告登载在指定报刊和网站上。 </w:t>
      </w:r>
    </w:p>
    <w:p w:rsidR="0074200A" w:rsidRPr="00E20FDC" w:rsidRDefault="0074200A" w:rsidP="00E20FDC">
      <w:pPr>
        <w:widowControl/>
        <w:spacing w:line="360" w:lineRule="auto"/>
        <w:jc w:val="left"/>
        <w:rPr>
          <w:rFonts w:asciiTheme="minorEastAsia" w:hAnsiTheme="minorEastAsia" w:cs="宋体"/>
          <w:b/>
          <w:color w:val="FF0000"/>
          <w:kern w:val="0"/>
          <w:szCs w:val="21"/>
        </w:rPr>
      </w:pPr>
      <w:r w:rsidRPr="00E20FDC">
        <w:rPr>
          <w:rFonts w:asciiTheme="minorEastAsia" w:hAnsiTheme="minorEastAsia" w:cs="宋体" w:hint="eastAsia"/>
          <w:kern w:val="0"/>
          <w:szCs w:val="21"/>
        </w:rPr>
        <w:t xml:space="preserve">　　第二十一条  </w:t>
      </w:r>
      <w:r w:rsidRPr="00E20FDC">
        <w:rPr>
          <w:rFonts w:asciiTheme="minorEastAsia" w:hAnsiTheme="minorEastAsia" w:cs="宋体" w:hint="eastAsia"/>
          <w:b/>
          <w:color w:val="FF0000"/>
          <w:kern w:val="0"/>
          <w:szCs w:val="21"/>
        </w:rPr>
        <w:t xml:space="preserve">基金合同生效不足两个月的，基金管理人可以不编制当期季度报告、半年度报告或者年度报告。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第二十二条  基金定期报告应当在公开披露的第二个工作日，分别报中国证监会和基金管理人主要办公场所所在地中国证监会派出机构备案。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报备应当采用电子文本和书面报告两种方式。  </w:t>
      </w:r>
    </w:p>
    <w:p w:rsidR="0074200A" w:rsidRPr="00E20FDC" w:rsidRDefault="0074200A" w:rsidP="00E20FDC">
      <w:pPr>
        <w:widowControl/>
        <w:spacing w:beforeLines="50" w:before="156" w:afterLines="50" w:after="156" w:line="360" w:lineRule="auto"/>
        <w:jc w:val="center"/>
        <w:rPr>
          <w:rFonts w:asciiTheme="minorEastAsia" w:hAnsiTheme="minorEastAsia" w:cs="宋体"/>
          <w:kern w:val="0"/>
          <w:szCs w:val="21"/>
        </w:rPr>
      </w:pPr>
      <w:r w:rsidRPr="00E20FDC">
        <w:rPr>
          <w:rFonts w:asciiTheme="minorEastAsia" w:hAnsiTheme="minorEastAsia" w:cs="宋体" w:hint="eastAsia"/>
          <w:kern w:val="0"/>
          <w:szCs w:val="21"/>
        </w:rPr>
        <w:t xml:space="preserve">　　第五章 基金</w:t>
      </w:r>
      <w:r w:rsidRPr="00E20FDC">
        <w:rPr>
          <w:rFonts w:asciiTheme="minorEastAsia" w:hAnsiTheme="minorEastAsia" w:cs="宋体" w:hint="eastAsia"/>
          <w:b/>
          <w:color w:val="FF0000"/>
          <w:kern w:val="0"/>
          <w:szCs w:val="21"/>
          <w:highlight w:val="yellow"/>
        </w:rPr>
        <w:t>临时信息披露</w:t>
      </w:r>
      <w:r w:rsidRPr="00E20FDC">
        <w:rPr>
          <w:rFonts w:asciiTheme="minorEastAsia" w:hAnsiTheme="minorEastAsia" w:cs="宋体" w:hint="eastAsia"/>
          <w:b/>
          <w:kern w:val="0"/>
          <w:szCs w:val="21"/>
        </w:rPr>
        <w:t xml:space="preserve">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第二十三条  基金发生重大事件，有关信息披露义务人应当在</w:t>
      </w:r>
      <w:r w:rsidRPr="00E20FDC">
        <w:rPr>
          <w:rFonts w:asciiTheme="minorEastAsia" w:hAnsiTheme="minorEastAsia" w:cs="宋体" w:hint="eastAsia"/>
          <w:b/>
          <w:color w:val="FF0000"/>
          <w:kern w:val="0"/>
          <w:szCs w:val="21"/>
        </w:rPr>
        <w:t>两日内</w:t>
      </w:r>
      <w:r w:rsidRPr="00E20FDC">
        <w:rPr>
          <w:rFonts w:asciiTheme="minorEastAsia" w:hAnsiTheme="minorEastAsia" w:cs="宋体" w:hint="eastAsia"/>
          <w:kern w:val="0"/>
          <w:szCs w:val="21"/>
        </w:rPr>
        <w:t xml:space="preserve">编制临时报告书，予以公告，并在公开披露日分别报中国证监会和基金管理人主要办公场所所在地中国证监会派出机构备案。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前款所称</w:t>
      </w:r>
      <w:r w:rsidRPr="00E20FDC">
        <w:rPr>
          <w:rFonts w:asciiTheme="minorEastAsia" w:hAnsiTheme="minorEastAsia" w:cs="宋体" w:hint="eastAsia"/>
          <w:b/>
          <w:color w:val="FF0000"/>
          <w:kern w:val="0"/>
          <w:szCs w:val="21"/>
        </w:rPr>
        <w:t>重大事件</w:t>
      </w:r>
      <w:r w:rsidRPr="00E20FDC">
        <w:rPr>
          <w:rFonts w:asciiTheme="minorEastAsia" w:hAnsiTheme="minorEastAsia" w:cs="宋体" w:hint="eastAsia"/>
          <w:kern w:val="0"/>
          <w:szCs w:val="21"/>
        </w:rPr>
        <w:t xml:space="preserve">，是指可能对基金份额持有人权益或者基金份额的价格产生重大影响的下列事件：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w:t>
      </w:r>
      <w:proofErr w:type="gramStart"/>
      <w:r w:rsidRPr="00E20FDC">
        <w:rPr>
          <w:rFonts w:asciiTheme="minorEastAsia" w:hAnsiTheme="minorEastAsia" w:cs="宋体" w:hint="eastAsia"/>
          <w:kern w:val="0"/>
          <w:szCs w:val="21"/>
        </w:rPr>
        <w:t>一</w:t>
      </w:r>
      <w:proofErr w:type="gramEnd"/>
      <w:r w:rsidRPr="00E20FDC">
        <w:rPr>
          <w:rFonts w:asciiTheme="minorEastAsia" w:hAnsiTheme="minorEastAsia" w:cs="宋体" w:hint="eastAsia"/>
          <w:kern w:val="0"/>
          <w:szCs w:val="21"/>
        </w:rPr>
        <w:t xml:space="preserve">)基金份额持有人大会的召开；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(二)提前终止基金合同；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(三)基金扩募；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(四)延长基金合同期限；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(五)转换基金运作方式；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(六)更换基金管理人、基金托管人；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(七)基金管理人、基金托管人的法定名称、住所发生变更；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(八)基金管理</w:t>
      </w:r>
      <w:proofErr w:type="gramStart"/>
      <w:r w:rsidRPr="00E20FDC">
        <w:rPr>
          <w:rFonts w:asciiTheme="minorEastAsia" w:hAnsiTheme="minorEastAsia" w:cs="宋体" w:hint="eastAsia"/>
          <w:kern w:val="0"/>
          <w:szCs w:val="21"/>
        </w:rPr>
        <w:t>人股东</w:t>
      </w:r>
      <w:proofErr w:type="gramEnd"/>
      <w:r w:rsidRPr="00E20FDC">
        <w:rPr>
          <w:rFonts w:asciiTheme="minorEastAsia" w:hAnsiTheme="minorEastAsia" w:cs="宋体" w:hint="eastAsia"/>
          <w:kern w:val="0"/>
          <w:szCs w:val="21"/>
        </w:rPr>
        <w:t xml:space="preserve">及其出资比例发生变更；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(九)基金募集期延长;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(十)基金管理人的董事长、总经理及其他高级管理人员、基金经理和基金托管人基金托管部门负责人发生变动； </w:t>
      </w:r>
    </w:p>
    <w:p w:rsidR="0074200A" w:rsidRPr="00E20FDC" w:rsidRDefault="0074200A" w:rsidP="00E20FDC">
      <w:pPr>
        <w:widowControl/>
        <w:spacing w:line="360" w:lineRule="auto"/>
        <w:jc w:val="left"/>
        <w:rPr>
          <w:rFonts w:asciiTheme="minorEastAsia" w:hAnsiTheme="minorEastAsia" w:cs="宋体"/>
          <w:b/>
          <w:color w:val="FF0000"/>
          <w:kern w:val="0"/>
          <w:szCs w:val="21"/>
        </w:rPr>
      </w:pPr>
      <w:r w:rsidRPr="00E20FDC">
        <w:rPr>
          <w:rFonts w:asciiTheme="minorEastAsia" w:hAnsiTheme="minorEastAsia" w:cs="宋体" w:hint="eastAsia"/>
          <w:kern w:val="0"/>
          <w:szCs w:val="21"/>
        </w:rPr>
        <w:t xml:space="preserve">　　(十一</w:t>
      </w:r>
      <w:r w:rsidRPr="00E20FDC">
        <w:rPr>
          <w:rFonts w:asciiTheme="minorEastAsia" w:hAnsiTheme="minorEastAsia" w:cs="宋体" w:hint="eastAsia"/>
          <w:b/>
          <w:color w:val="FF0000"/>
          <w:kern w:val="0"/>
          <w:szCs w:val="21"/>
        </w:rPr>
        <w:t xml:space="preserve">)基金管理人的董事在一年内变更超过百分之五十； </w:t>
      </w:r>
    </w:p>
    <w:p w:rsidR="0074200A" w:rsidRPr="00E20FDC" w:rsidRDefault="0074200A" w:rsidP="00E20FDC">
      <w:pPr>
        <w:widowControl/>
        <w:spacing w:line="360" w:lineRule="auto"/>
        <w:jc w:val="left"/>
        <w:rPr>
          <w:rFonts w:asciiTheme="minorEastAsia" w:hAnsiTheme="minorEastAsia" w:cs="宋体"/>
          <w:b/>
          <w:color w:val="FF0000"/>
          <w:kern w:val="0"/>
          <w:szCs w:val="21"/>
        </w:rPr>
      </w:pPr>
      <w:r w:rsidRPr="00E20FDC">
        <w:rPr>
          <w:rFonts w:asciiTheme="minorEastAsia" w:hAnsiTheme="minorEastAsia" w:cs="宋体" w:hint="eastAsia"/>
          <w:kern w:val="0"/>
          <w:szCs w:val="21"/>
        </w:rPr>
        <w:t xml:space="preserve">　　(十二)</w:t>
      </w:r>
      <w:r w:rsidRPr="00E20FDC">
        <w:rPr>
          <w:rFonts w:asciiTheme="minorEastAsia" w:hAnsiTheme="minorEastAsia" w:cs="宋体" w:hint="eastAsia"/>
          <w:b/>
          <w:color w:val="FF0000"/>
          <w:kern w:val="0"/>
          <w:szCs w:val="21"/>
        </w:rPr>
        <w:t xml:space="preserve">基金管理人、基金托管人基金托管部门的主要业务人员在一年内变动超过百分之三十；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(十三)涉及基金管理人、基金财产、基金托管业务的诉讼；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(十四)基金管理人、基金托管人受到监管部门的调查；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lastRenderedPageBreak/>
        <w:t xml:space="preserve">　　(十五)基金管理人及其董事、总经理及其他高级管理人员、基金经理受到严重行政处罚，基金托管人及其基金托管部门负责人受到严重行政处罚；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(十六)重大关联交易事项；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(十七)基金收益分配事项；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(十八)管理费、托管费等费用计提标准、计提方式和费率发生变更； </w:t>
      </w:r>
    </w:p>
    <w:p w:rsidR="0074200A" w:rsidRPr="00E20FDC" w:rsidRDefault="0074200A" w:rsidP="00E20FDC">
      <w:pPr>
        <w:widowControl/>
        <w:spacing w:line="360" w:lineRule="auto"/>
        <w:jc w:val="left"/>
        <w:rPr>
          <w:rFonts w:asciiTheme="minorEastAsia" w:hAnsiTheme="minorEastAsia" w:cs="宋体"/>
          <w:b/>
          <w:color w:val="FF0000"/>
          <w:kern w:val="0"/>
          <w:szCs w:val="21"/>
        </w:rPr>
      </w:pPr>
      <w:r w:rsidRPr="00E20FDC">
        <w:rPr>
          <w:rFonts w:asciiTheme="minorEastAsia" w:hAnsiTheme="minorEastAsia" w:cs="宋体" w:hint="eastAsia"/>
          <w:kern w:val="0"/>
          <w:szCs w:val="21"/>
        </w:rPr>
        <w:t xml:space="preserve">　</w:t>
      </w:r>
      <w:r w:rsidRPr="00E20FDC">
        <w:rPr>
          <w:rFonts w:asciiTheme="minorEastAsia" w:hAnsiTheme="minorEastAsia" w:cs="宋体" w:hint="eastAsia"/>
          <w:b/>
          <w:color w:val="FF0000"/>
          <w:kern w:val="0"/>
          <w:szCs w:val="21"/>
        </w:rPr>
        <w:t xml:space="preserve">　(十九)基金份额净值计价错误</w:t>
      </w:r>
      <w:proofErr w:type="gramStart"/>
      <w:r w:rsidRPr="00E20FDC">
        <w:rPr>
          <w:rFonts w:asciiTheme="minorEastAsia" w:hAnsiTheme="minorEastAsia" w:cs="宋体" w:hint="eastAsia"/>
          <w:b/>
          <w:color w:val="FF0000"/>
          <w:kern w:val="0"/>
          <w:szCs w:val="21"/>
        </w:rPr>
        <w:t>达基金</w:t>
      </w:r>
      <w:proofErr w:type="gramEnd"/>
      <w:r w:rsidRPr="00E20FDC">
        <w:rPr>
          <w:rFonts w:asciiTheme="minorEastAsia" w:hAnsiTheme="minorEastAsia" w:cs="宋体" w:hint="eastAsia"/>
          <w:b/>
          <w:color w:val="FF0000"/>
          <w:kern w:val="0"/>
          <w:szCs w:val="21"/>
        </w:rPr>
        <w:t xml:space="preserve">份额净值百分之零点五；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(二十)基金改聘会计师事务所；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(二十一)变更基金份额发售机构；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(二十二)基金更换注册登记机构；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(二十三)开放式基金开始办理申购、赎回；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(二十四)开放式基金申购、赎回费率及其收费方式发生变更；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(二十五)开放式基金发生巨额赎回并延期支付；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(二十六)开放式基金连续发生巨额赎回并暂停接受赎回申请；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(二十七)开放式基金暂停接受申购、赎回申请后重新接受申购、赎回；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(二十八)中国证监会规定的其他事项。 </w:t>
      </w:r>
    </w:p>
    <w:p w:rsidR="0074200A" w:rsidRPr="00E20FDC" w:rsidRDefault="0074200A" w:rsidP="00E20FDC">
      <w:pPr>
        <w:widowControl/>
        <w:spacing w:line="360" w:lineRule="auto"/>
        <w:jc w:val="left"/>
        <w:rPr>
          <w:rFonts w:asciiTheme="minorEastAsia" w:hAnsiTheme="minorEastAsia" w:cs="宋体"/>
          <w:b/>
          <w:color w:val="FF0000"/>
          <w:kern w:val="0"/>
          <w:szCs w:val="21"/>
        </w:rPr>
      </w:pPr>
      <w:r w:rsidRPr="00E20FDC">
        <w:rPr>
          <w:rFonts w:asciiTheme="minorEastAsia" w:hAnsiTheme="minorEastAsia" w:cs="宋体" w:hint="eastAsia"/>
          <w:kern w:val="0"/>
          <w:szCs w:val="21"/>
        </w:rPr>
        <w:t xml:space="preserve">　　第二十四条  召开基金份额持有人大会的，召集人应当至少提前</w:t>
      </w:r>
      <w:r w:rsidRPr="00E20FDC">
        <w:rPr>
          <w:rFonts w:asciiTheme="minorEastAsia" w:hAnsiTheme="minorEastAsia" w:cs="宋体" w:hint="eastAsia"/>
          <w:b/>
          <w:color w:val="FF0000"/>
          <w:kern w:val="0"/>
          <w:szCs w:val="21"/>
          <w:highlight w:val="yellow"/>
        </w:rPr>
        <w:t>三十日公告基金份额持有人大会的召开时间、会议形式、审议事项、议事程序和表决方式等事项。</w:t>
      </w:r>
      <w:r w:rsidRPr="00E20FDC">
        <w:rPr>
          <w:rFonts w:asciiTheme="minorEastAsia" w:hAnsiTheme="minorEastAsia" w:cs="宋体" w:hint="eastAsia"/>
          <w:b/>
          <w:color w:val="FF0000"/>
          <w:kern w:val="0"/>
          <w:szCs w:val="21"/>
        </w:rPr>
        <w:t xml:space="preserve">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基金份额持有人依法自行召集持有人大会，基金管理人、基金托管人对基金份额持有人大会决定的事项不依法履行信息披露义务的，召集人应当履行相关信息披露义务。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第二十五条  在基金合同期限内，任何公共媒体中出现的或者在市场上流传的消息可能对基金份额价格产生误导性影响或者引起较大波动的，相关信息披露义务人知悉后应当立即对该消息进行公开澄清，并将有关情况立即报告中国证监会、基金上市交易的证券交易所。 </w:t>
      </w:r>
    </w:p>
    <w:p w:rsidR="0074200A" w:rsidRPr="00E20FDC" w:rsidRDefault="0074200A" w:rsidP="00E20FDC">
      <w:pPr>
        <w:widowControl/>
        <w:spacing w:beforeLines="50" w:before="156" w:afterLines="50" w:after="156" w:line="360" w:lineRule="auto"/>
        <w:jc w:val="center"/>
        <w:rPr>
          <w:rFonts w:asciiTheme="minorEastAsia" w:hAnsiTheme="minorEastAsia" w:cs="宋体"/>
          <w:kern w:val="0"/>
          <w:szCs w:val="21"/>
        </w:rPr>
      </w:pPr>
      <w:r w:rsidRPr="00E20FDC">
        <w:rPr>
          <w:rFonts w:asciiTheme="minorEastAsia" w:hAnsiTheme="minorEastAsia" w:cs="宋体" w:hint="eastAsia"/>
          <w:kern w:val="0"/>
          <w:szCs w:val="21"/>
        </w:rPr>
        <w:t xml:space="preserve">　　第六章 信息披露事务管理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第二十六条 基金管理人、基金托管人应当建立健全信息披露管理制度，指定专人负责管理信息披露事务。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第二十七条  基金信息披露义务人公开披露基金信息，应当符合中国证监会相关基金信息披露内容与格式准则的规定；</w:t>
      </w:r>
      <w:proofErr w:type="gramStart"/>
      <w:r w:rsidRPr="00E20FDC">
        <w:rPr>
          <w:rFonts w:asciiTheme="minorEastAsia" w:hAnsiTheme="minorEastAsia" w:cs="宋体" w:hint="eastAsia"/>
          <w:kern w:val="0"/>
          <w:szCs w:val="21"/>
        </w:rPr>
        <w:t>特定基金</w:t>
      </w:r>
      <w:proofErr w:type="gramEnd"/>
      <w:r w:rsidRPr="00E20FDC">
        <w:rPr>
          <w:rFonts w:asciiTheme="minorEastAsia" w:hAnsiTheme="minorEastAsia" w:cs="宋体" w:hint="eastAsia"/>
          <w:kern w:val="0"/>
          <w:szCs w:val="21"/>
        </w:rPr>
        <w:t xml:space="preserve">信息披露事项和特殊基金品种的信息披露，应当符合中国证监会相关编报规则的规定。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lastRenderedPageBreak/>
        <w:t xml:space="preserve">　　第二十八条  基金托管人应当按照相关法律、行政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第二十九条 基金管理人、基金托管人应当在指定报刊中选择披露信息的报刊。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基金管理人、基金托管人除依法在指定报刊和网站上披露信息外，还可以根据需要在其他公共媒体披露信息，但是其他公共媒体不得早于指定报刊和网站披露信息，并且在不同媒介上披露同一信息的内容应当一致。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第三十条  为基金信息披露义务人公开披露的基金信息出具审计报告、法律意见书的专业机构，应当制作工作底稿，并将相关档案至少保存到基金合同终止后十年。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第三十一条 招募说明书公布后，应当分别置备于基金管理人、基金托管人和基金份额发售机构的住所，供公众查阅、复制。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上市交易公告书公布后，应当分别置备于基金管理人的住所和基金上市交易的证券交易所，供公众查阅、复制。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基金定期报告公布后，应当分别置备于基金管理人和基金托管人的住所，以及基金上市交易的证券交易所，供公众查阅、复制。  </w:t>
      </w:r>
    </w:p>
    <w:p w:rsidR="0074200A" w:rsidRPr="00E20FDC" w:rsidRDefault="0074200A" w:rsidP="00BD781F">
      <w:pPr>
        <w:widowControl/>
        <w:spacing w:beforeLines="50" w:before="156" w:afterLines="50" w:after="156" w:line="360" w:lineRule="auto"/>
        <w:jc w:val="center"/>
        <w:rPr>
          <w:rFonts w:asciiTheme="minorEastAsia" w:hAnsiTheme="minorEastAsia" w:cs="宋体"/>
          <w:kern w:val="0"/>
          <w:szCs w:val="21"/>
        </w:rPr>
      </w:pPr>
      <w:r w:rsidRPr="00E20FDC">
        <w:rPr>
          <w:rFonts w:asciiTheme="minorEastAsia" w:hAnsiTheme="minorEastAsia" w:cs="宋体" w:hint="eastAsia"/>
          <w:kern w:val="0"/>
          <w:szCs w:val="21"/>
        </w:rPr>
        <w:t xml:space="preserve">　　第七章 法律责任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第三十二条  基金信息披露义务人和为基金信息披露义务人公开披露的基金信息出具审计报告、法律意见书等文件的专业机构应当遵守《基金法》的有关规定。违反规定的，中国证监会依法给予行政处罚；涉嫌犯罪的，依法移送司法机关，追究刑事责任。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第三十三条</w:t>
      </w:r>
      <w:r w:rsidR="002C71E5" w:rsidRPr="00E20FDC">
        <w:rPr>
          <w:rFonts w:asciiTheme="minorEastAsia" w:hAnsiTheme="minorEastAsia" w:cs="宋体" w:hint="eastAsia"/>
          <w:kern w:val="0"/>
          <w:szCs w:val="21"/>
        </w:rPr>
        <w:t xml:space="preserve">  </w:t>
      </w:r>
      <w:r w:rsidRPr="00E20FDC">
        <w:rPr>
          <w:rFonts w:asciiTheme="minorEastAsia" w:hAnsiTheme="minorEastAsia" w:cs="宋体" w:hint="eastAsia"/>
          <w:kern w:val="0"/>
          <w:szCs w:val="21"/>
        </w:rPr>
        <w:t xml:space="preserve">基金信息披露义务人的信息披露活动存在违反本办法的下列情形的，责令改正，处以警告，并处罚款；对直接负责的主管人员和其他直接责任人员给予警告，并处罚款，情节严重的，暂停或者取消基金从业资格：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w:t>
      </w:r>
      <w:proofErr w:type="gramStart"/>
      <w:r w:rsidRPr="00E20FDC">
        <w:rPr>
          <w:rFonts w:asciiTheme="minorEastAsia" w:hAnsiTheme="minorEastAsia" w:cs="宋体" w:hint="eastAsia"/>
          <w:kern w:val="0"/>
          <w:szCs w:val="21"/>
        </w:rPr>
        <w:t>一</w:t>
      </w:r>
      <w:proofErr w:type="gramEnd"/>
      <w:r w:rsidRPr="00E20FDC">
        <w:rPr>
          <w:rFonts w:asciiTheme="minorEastAsia" w:hAnsiTheme="minorEastAsia" w:cs="宋体" w:hint="eastAsia"/>
          <w:kern w:val="0"/>
          <w:szCs w:val="21"/>
        </w:rPr>
        <w:t xml:space="preserve">)信息披露文件不符合中国证监会相关基金信息披露内容与格式准则的规定；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(二)信息披露文件不符合中国证监会相关编报规则的规定；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(三)未按规定履行信息披露文件备案、置备义务；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(四)年度报告的财务会计报告未经审计即予披露。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第三十四条 基金信息披露义务人的信息披露活动存在下列不依法披露基金信息情形的，按照《基金法》第九十三条的规定处罚：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lastRenderedPageBreak/>
        <w:t xml:space="preserve">　　(</w:t>
      </w:r>
      <w:proofErr w:type="gramStart"/>
      <w:r w:rsidRPr="00E20FDC">
        <w:rPr>
          <w:rFonts w:asciiTheme="minorEastAsia" w:hAnsiTheme="minorEastAsia" w:cs="宋体" w:hint="eastAsia"/>
          <w:kern w:val="0"/>
          <w:szCs w:val="21"/>
        </w:rPr>
        <w:t>一</w:t>
      </w:r>
      <w:proofErr w:type="gramEnd"/>
      <w:r w:rsidRPr="00E20FDC">
        <w:rPr>
          <w:rFonts w:asciiTheme="minorEastAsia" w:hAnsiTheme="minorEastAsia" w:cs="宋体" w:hint="eastAsia"/>
          <w:kern w:val="0"/>
          <w:szCs w:val="21"/>
        </w:rPr>
        <w:t xml:space="preserve">)违反本办法第六条规定；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(二)未公开披露本办法第五条、第二十三条第二款规定的基金信息；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(三)未在中国证监会规定的时间内披露基金信息；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(四)未在指定报刊、网站等媒介披露基金信息；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(五)未能保证投资人按照基金合同约定的时间和方式查阅或者复制公开披露的信息资料；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(六)基金管理人在其他公共媒体上披露的信息早于规定媒介；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(七)基金管理人在不同媒介公开披露同一信息的内容不一致。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第三十五条</w:t>
      </w:r>
      <w:r w:rsidR="002C71E5" w:rsidRPr="00E20FDC">
        <w:rPr>
          <w:rFonts w:asciiTheme="minorEastAsia" w:hAnsiTheme="minorEastAsia" w:cs="宋体" w:hint="eastAsia"/>
          <w:kern w:val="0"/>
          <w:szCs w:val="21"/>
        </w:rPr>
        <w:t xml:space="preserve">  </w:t>
      </w:r>
      <w:r w:rsidRPr="00E20FDC">
        <w:rPr>
          <w:rFonts w:asciiTheme="minorEastAsia" w:hAnsiTheme="minorEastAsia" w:cs="宋体" w:hint="eastAsia"/>
          <w:kern w:val="0"/>
          <w:szCs w:val="21"/>
        </w:rPr>
        <w:t xml:space="preserve">基金信息披露义务人的信息披露事务管理活动存在下列情形的，责令改正，处以警告，并处罚款；对直接负责的主管人员和其他直接责任人员给予警告，并处罚款，情节严重的，暂停或者取消基金从业资格：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w:t>
      </w:r>
      <w:proofErr w:type="gramStart"/>
      <w:r w:rsidRPr="00E20FDC">
        <w:rPr>
          <w:rFonts w:asciiTheme="minorEastAsia" w:hAnsiTheme="minorEastAsia" w:cs="宋体" w:hint="eastAsia"/>
          <w:kern w:val="0"/>
          <w:szCs w:val="21"/>
        </w:rPr>
        <w:t>一</w:t>
      </w:r>
      <w:proofErr w:type="gramEnd"/>
      <w:r w:rsidRPr="00E20FDC">
        <w:rPr>
          <w:rFonts w:asciiTheme="minorEastAsia" w:hAnsiTheme="minorEastAsia" w:cs="宋体" w:hint="eastAsia"/>
          <w:kern w:val="0"/>
          <w:szCs w:val="21"/>
        </w:rPr>
        <w:t xml:space="preserve">)基金管理人、基金托管人的信息披露管理制度不健全；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(二)基金管理人、基金托管人未指定专人负责管理信息披露事务；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(三)基金托管人未按规定对公开披露的基金信息进行复核、审查或者确认；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(四)基金管理人、基金托管人未按照规定选择中国证监会指定的信息披露报刊。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第三十六条</w:t>
      </w:r>
      <w:r w:rsidR="002C71E5" w:rsidRPr="00E20FDC">
        <w:rPr>
          <w:rFonts w:asciiTheme="minorEastAsia" w:hAnsiTheme="minorEastAsia" w:cs="宋体" w:hint="eastAsia"/>
          <w:kern w:val="0"/>
          <w:szCs w:val="21"/>
        </w:rPr>
        <w:t xml:space="preserve">  </w:t>
      </w:r>
      <w:r w:rsidRPr="00E20FDC">
        <w:rPr>
          <w:rFonts w:asciiTheme="minorEastAsia" w:hAnsiTheme="minorEastAsia" w:cs="宋体" w:hint="eastAsia"/>
          <w:kern w:val="0"/>
          <w:szCs w:val="21"/>
        </w:rPr>
        <w:t xml:space="preserve">为基金信息披露义务人公开披露的基金信息出具审计报告、法律意见书等文件的专业机构未勤勉尽责，致使所出具的文件含有虚假记载、误导性陈述或者有重大遗漏的，责令改正，给予警告，并处罚款。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第三十七条 对违反本办法规定的机构及其直接责任人员，依法作诚信档案记载。 </w:t>
      </w:r>
      <w:bookmarkStart w:id="0" w:name="_GoBack"/>
      <w:bookmarkEnd w:id="0"/>
      <w:r w:rsidRPr="00E20FDC">
        <w:rPr>
          <w:rFonts w:asciiTheme="minorEastAsia" w:hAnsiTheme="minorEastAsia" w:cs="宋体" w:hint="eastAsia"/>
          <w:kern w:val="0"/>
          <w:szCs w:val="21"/>
        </w:rPr>
        <w:t> </w:t>
      </w:r>
    </w:p>
    <w:p w:rsidR="0074200A" w:rsidRPr="00E20FDC" w:rsidRDefault="0074200A" w:rsidP="00E20FDC">
      <w:pPr>
        <w:widowControl/>
        <w:spacing w:line="360" w:lineRule="auto"/>
        <w:jc w:val="center"/>
        <w:rPr>
          <w:rFonts w:asciiTheme="minorEastAsia" w:hAnsiTheme="minorEastAsia" w:cs="宋体"/>
          <w:kern w:val="0"/>
          <w:szCs w:val="21"/>
        </w:rPr>
      </w:pPr>
      <w:r w:rsidRPr="00E20FDC">
        <w:rPr>
          <w:rFonts w:asciiTheme="minorEastAsia" w:hAnsiTheme="minorEastAsia" w:cs="宋体" w:hint="eastAsia"/>
          <w:kern w:val="0"/>
          <w:szCs w:val="21"/>
        </w:rPr>
        <w:t xml:space="preserve">　　第八章 附 则 </w:t>
      </w:r>
    </w:p>
    <w:p w:rsidR="0074200A" w:rsidRPr="00E20FDC" w:rsidRDefault="0074200A" w:rsidP="00E20FDC">
      <w:pPr>
        <w:widowControl/>
        <w:spacing w:line="360" w:lineRule="auto"/>
        <w:jc w:val="left"/>
        <w:rPr>
          <w:rFonts w:asciiTheme="minorEastAsia" w:hAnsiTheme="minorEastAsia" w:cs="宋体"/>
          <w:kern w:val="0"/>
          <w:szCs w:val="21"/>
        </w:rPr>
      </w:pPr>
      <w:r w:rsidRPr="00E20FDC">
        <w:rPr>
          <w:rFonts w:asciiTheme="minorEastAsia" w:hAnsiTheme="minorEastAsia" w:cs="宋体" w:hint="eastAsia"/>
          <w:kern w:val="0"/>
          <w:szCs w:val="21"/>
        </w:rPr>
        <w:t xml:space="preserve">　　第三十八条本办法自2004年7月1日起施行。中国证监会发布的《证券投资基金信息披露指引》(证监发[1999]11号)同时废止。 </w:t>
      </w:r>
    </w:p>
    <w:p w:rsidR="00336864" w:rsidRPr="00E20FDC" w:rsidRDefault="00336864" w:rsidP="00E20FDC">
      <w:pPr>
        <w:spacing w:line="360" w:lineRule="auto"/>
        <w:rPr>
          <w:rFonts w:asciiTheme="minorEastAsia" w:hAnsiTheme="minorEastAsia"/>
          <w:szCs w:val="21"/>
        </w:rPr>
      </w:pPr>
    </w:p>
    <w:sectPr w:rsidR="00336864" w:rsidRPr="00E20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C50" w:rsidRDefault="00CE4C50" w:rsidP="00836F6C">
      <w:r>
        <w:separator/>
      </w:r>
    </w:p>
  </w:endnote>
  <w:endnote w:type="continuationSeparator" w:id="0">
    <w:p w:rsidR="00CE4C50" w:rsidRDefault="00CE4C50" w:rsidP="00836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C50" w:rsidRDefault="00CE4C50" w:rsidP="00836F6C">
      <w:r>
        <w:separator/>
      </w:r>
    </w:p>
  </w:footnote>
  <w:footnote w:type="continuationSeparator" w:id="0">
    <w:p w:rsidR="00CE4C50" w:rsidRDefault="00CE4C50" w:rsidP="00836F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00A"/>
    <w:rsid w:val="002264A0"/>
    <w:rsid w:val="002C71E5"/>
    <w:rsid w:val="00336864"/>
    <w:rsid w:val="00542706"/>
    <w:rsid w:val="0074200A"/>
    <w:rsid w:val="00836F6C"/>
    <w:rsid w:val="00BD781F"/>
    <w:rsid w:val="00CE4C50"/>
    <w:rsid w:val="00E20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200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200A"/>
    <w:rPr>
      <w:b/>
      <w:bCs/>
    </w:rPr>
  </w:style>
  <w:style w:type="paragraph" w:styleId="a5">
    <w:name w:val="header"/>
    <w:basedOn w:val="a"/>
    <w:link w:val="Char"/>
    <w:uiPriority w:val="99"/>
    <w:unhideWhenUsed/>
    <w:rsid w:val="00836F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36F6C"/>
    <w:rPr>
      <w:sz w:val="18"/>
      <w:szCs w:val="18"/>
    </w:rPr>
  </w:style>
  <w:style w:type="paragraph" w:styleId="a6">
    <w:name w:val="footer"/>
    <w:basedOn w:val="a"/>
    <w:link w:val="Char0"/>
    <w:uiPriority w:val="99"/>
    <w:unhideWhenUsed/>
    <w:rsid w:val="00836F6C"/>
    <w:pPr>
      <w:tabs>
        <w:tab w:val="center" w:pos="4153"/>
        <w:tab w:val="right" w:pos="8306"/>
      </w:tabs>
      <w:snapToGrid w:val="0"/>
      <w:jc w:val="left"/>
    </w:pPr>
    <w:rPr>
      <w:sz w:val="18"/>
      <w:szCs w:val="18"/>
    </w:rPr>
  </w:style>
  <w:style w:type="character" w:customStyle="1" w:styleId="Char0">
    <w:name w:val="页脚 Char"/>
    <w:basedOn w:val="a0"/>
    <w:link w:val="a6"/>
    <w:uiPriority w:val="99"/>
    <w:rsid w:val="00836F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200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4200A"/>
    <w:rPr>
      <w:b/>
      <w:bCs/>
    </w:rPr>
  </w:style>
  <w:style w:type="paragraph" w:styleId="a5">
    <w:name w:val="header"/>
    <w:basedOn w:val="a"/>
    <w:link w:val="Char"/>
    <w:uiPriority w:val="99"/>
    <w:unhideWhenUsed/>
    <w:rsid w:val="00836F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36F6C"/>
    <w:rPr>
      <w:sz w:val="18"/>
      <w:szCs w:val="18"/>
    </w:rPr>
  </w:style>
  <w:style w:type="paragraph" w:styleId="a6">
    <w:name w:val="footer"/>
    <w:basedOn w:val="a"/>
    <w:link w:val="Char0"/>
    <w:uiPriority w:val="99"/>
    <w:unhideWhenUsed/>
    <w:rsid w:val="00836F6C"/>
    <w:pPr>
      <w:tabs>
        <w:tab w:val="center" w:pos="4153"/>
        <w:tab w:val="right" w:pos="8306"/>
      </w:tabs>
      <w:snapToGrid w:val="0"/>
      <w:jc w:val="left"/>
    </w:pPr>
    <w:rPr>
      <w:sz w:val="18"/>
      <w:szCs w:val="18"/>
    </w:rPr>
  </w:style>
  <w:style w:type="character" w:customStyle="1" w:styleId="Char0">
    <w:name w:val="页脚 Char"/>
    <w:basedOn w:val="a0"/>
    <w:link w:val="a6"/>
    <w:uiPriority w:val="99"/>
    <w:rsid w:val="00836F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33469">
      <w:bodyDiv w:val="1"/>
      <w:marLeft w:val="0"/>
      <w:marRight w:val="0"/>
      <w:marTop w:val="0"/>
      <w:marBottom w:val="0"/>
      <w:divBdr>
        <w:top w:val="none" w:sz="0" w:space="0" w:color="auto"/>
        <w:left w:val="none" w:sz="0" w:space="0" w:color="auto"/>
        <w:bottom w:val="none" w:sz="0" w:space="0" w:color="auto"/>
        <w:right w:val="none" w:sz="0" w:space="0" w:color="auto"/>
      </w:divBdr>
      <w:divsChild>
        <w:div w:id="1140608536">
          <w:marLeft w:val="0"/>
          <w:marRight w:val="0"/>
          <w:marTop w:val="0"/>
          <w:marBottom w:val="0"/>
          <w:divBdr>
            <w:top w:val="none" w:sz="0" w:space="0" w:color="auto"/>
            <w:left w:val="none" w:sz="0" w:space="0" w:color="auto"/>
            <w:bottom w:val="none" w:sz="0" w:space="0" w:color="auto"/>
            <w:right w:val="none" w:sz="0" w:space="0" w:color="auto"/>
          </w:divBdr>
          <w:divsChild>
            <w:div w:id="1590887953">
              <w:marLeft w:val="0"/>
              <w:marRight w:val="0"/>
              <w:marTop w:val="0"/>
              <w:marBottom w:val="0"/>
              <w:divBdr>
                <w:top w:val="none" w:sz="0" w:space="0" w:color="auto"/>
                <w:left w:val="none" w:sz="0" w:space="0" w:color="auto"/>
                <w:bottom w:val="none" w:sz="0" w:space="0" w:color="auto"/>
                <w:right w:val="none" w:sz="0" w:space="0" w:color="auto"/>
              </w:divBdr>
              <w:divsChild>
                <w:div w:id="1432824150">
                  <w:marLeft w:val="0"/>
                  <w:marRight w:val="0"/>
                  <w:marTop w:val="0"/>
                  <w:marBottom w:val="0"/>
                  <w:divBdr>
                    <w:top w:val="none" w:sz="0" w:space="0" w:color="auto"/>
                    <w:left w:val="none" w:sz="0" w:space="0" w:color="auto"/>
                    <w:bottom w:val="none" w:sz="0" w:space="0" w:color="auto"/>
                    <w:right w:val="none" w:sz="0" w:space="0" w:color="auto"/>
                  </w:divBdr>
                  <w:divsChild>
                    <w:div w:id="413749845">
                      <w:marLeft w:val="0"/>
                      <w:marRight w:val="0"/>
                      <w:marTop w:val="0"/>
                      <w:marBottom w:val="0"/>
                      <w:divBdr>
                        <w:top w:val="none" w:sz="0" w:space="0" w:color="auto"/>
                        <w:left w:val="none" w:sz="0" w:space="0" w:color="auto"/>
                        <w:bottom w:val="none" w:sz="0" w:space="0" w:color="auto"/>
                        <w:right w:val="none" w:sz="0" w:space="0" w:color="auto"/>
                      </w:divBdr>
                    </w:div>
                    <w:div w:id="1279682639">
                      <w:marLeft w:val="0"/>
                      <w:marRight w:val="0"/>
                      <w:marTop w:val="0"/>
                      <w:marBottom w:val="0"/>
                      <w:divBdr>
                        <w:top w:val="none" w:sz="0" w:space="0" w:color="auto"/>
                        <w:left w:val="none" w:sz="0" w:space="0" w:color="auto"/>
                        <w:bottom w:val="none" w:sz="0" w:space="0" w:color="auto"/>
                        <w:right w:val="none" w:sz="0" w:space="0" w:color="auto"/>
                      </w:divBdr>
                      <w:divsChild>
                        <w:div w:id="802817683">
                          <w:marLeft w:val="0"/>
                          <w:marRight w:val="0"/>
                          <w:marTop w:val="0"/>
                          <w:marBottom w:val="0"/>
                          <w:divBdr>
                            <w:top w:val="none" w:sz="0" w:space="0" w:color="auto"/>
                            <w:left w:val="none" w:sz="0" w:space="0" w:color="auto"/>
                            <w:bottom w:val="none" w:sz="0" w:space="0" w:color="auto"/>
                            <w:right w:val="none" w:sz="0" w:space="0" w:color="auto"/>
                          </w:divBdr>
                          <w:divsChild>
                            <w:div w:id="1279145949">
                              <w:marLeft w:val="0"/>
                              <w:marRight w:val="0"/>
                              <w:marTop w:val="0"/>
                              <w:marBottom w:val="0"/>
                              <w:divBdr>
                                <w:top w:val="none" w:sz="0" w:space="0" w:color="auto"/>
                                <w:left w:val="none" w:sz="0" w:space="0" w:color="auto"/>
                                <w:bottom w:val="none" w:sz="0" w:space="0" w:color="auto"/>
                                <w:right w:val="none" w:sz="0" w:space="0" w:color="auto"/>
                              </w:divBdr>
                              <w:divsChild>
                                <w:div w:id="1159813331">
                                  <w:marLeft w:val="0"/>
                                  <w:marRight w:val="0"/>
                                  <w:marTop w:val="90"/>
                                  <w:marBottom w:val="90"/>
                                  <w:divBdr>
                                    <w:top w:val="none" w:sz="0" w:space="0" w:color="auto"/>
                                    <w:left w:val="none" w:sz="0" w:space="0" w:color="auto"/>
                                    <w:bottom w:val="none" w:sz="0" w:space="0" w:color="auto"/>
                                    <w:right w:val="none" w:sz="0" w:space="0" w:color="auto"/>
                                  </w:divBdr>
                                  <w:divsChild>
                                    <w:div w:id="49572469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2016-03-15T06:11:00Z</dcterms:created>
  <dcterms:modified xsi:type="dcterms:W3CDTF">2016-03-21T13:03:00Z</dcterms:modified>
</cp:coreProperties>
</file>