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0F" w:rsidRPr="004C6C0F" w:rsidRDefault="004C6C0F" w:rsidP="004C6C0F">
      <w:pPr>
        <w:widowControl/>
        <w:shd w:val="clear" w:color="auto" w:fill="FFFFFF"/>
        <w:spacing w:line="525" w:lineRule="atLeast"/>
        <w:jc w:val="center"/>
        <w:rPr>
          <w:rFonts w:asciiTheme="minorEastAsia" w:hAnsiTheme="minorEastAsia" w:cs="宋体"/>
          <w:b/>
          <w:bCs/>
          <w:color w:val="000000" w:themeColor="text1"/>
          <w:kern w:val="0"/>
          <w:sz w:val="30"/>
          <w:szCs w:val="30"/>
        </w:rPr>
      </w:pPr>
      <w:r w:rsidRPr="004C6C0F">
        <w:rPr>
          <w:rFonts w:asciiTheme="minorEastAsia" w:hAnsiTheme="minorEastAsia" w:cs="宋体" w:hint="eastAsia"/>
          <w:b/>
          <w:bCs/>
          <w:color w:val="000000" w:themeColor="text1"/>
          <w:kern w:val="0"/>
          <w:sz w:val="30"/>
          <w:szCs w:val="30"/>
        </w:rPr>
        <w:t>关于证券投资基金执行《企业会计准则》估值业务及份额净值计价有关事项的通知</w:t>
      </w:r>
    </w:p>
    <w:p w:rsidR="004C6C0F" w:rsidRPr="004C6C0F" w:rsidRDefault="004C6C0F" w:rsidP="004C6C0F">
      <w:pPr>
        <w:widowControl/>
        <w:shd w:val="clear" w:color="auto" w:fill="FFFFFF"/>
        <w:spacing w:line="480" w:lineRule="auto"/>
        <w:jc w:val="center"/>
        <w:rPr>
          <w:rFonts w:ascii="inherit" w:eastAsia="宋体" w:hAnsi="inherit" w:cs="宋体" w:hint="eastAsia"/>
          <w:color w:val="888888"/>
          <w:kern w:val="0"/>
          <w:sz w:val="18"/>
          <w:szCs w:val="18"/>
        </w:rPr>
      </w:pPr>
      <w:r w:rsidRPr="004C6C0F">
        <w:rPr>
          <w:rFonts w:ascii="inherit" w:eastAsia="宋体" w:hAnsi="inherit" w:cs="宋体"/>
          <w:color w:val="888888"/>
          <w:kern w:val="0"/>
          <w:sz w:val="18"/>
          <w:szCs w:val="18"/>
        </w:rPr>
        <w:t>中国证监会</w:t>
      </w:r>
      <w:r w:rsidRPr="004C6C0F">
        <w:rPr>
          <w:rFonts w:ascii="inherit" w:eastAsia="宋体" w:hAnsi="inherit" w:cs="宋体"/>
          <w:color w:val="888888"/>
          <w:kern w:val="0"/>
          <w:sz w:val="18"/>
          <w:szCs w:val="18"/>
        </w:rPr>
        <w:t xml:space="preserve"> www.csrc.gov.cn </w:t>
      </w:r>
      <w:r w:rsidRPr="004C6C0F">
        <w:rPr>
          <w:rFonts w:ascii="inherit" w:eastAsia="宋体" w:hAnsi="inherit" w:cs="宋体"/>
          <w:color w:val="888888"/>
          <w:kern w:val="0"/>
          <w:sz w:val="18"/>
          <w:szCs w:val="18"/>
        </w:rPr>
        <w:t>时间：</w:t>
      </w:r>
      <w:r w:rsidRPr="004C6C0F">
        <w:rPr>
          <w:rFonts w:ascii="inherit" w:eastAsia="宋体" w:hAnsi="inherit" w:cs="宋体"/>
          <w:color w:val="888888"/>
          <w:kern w:val="0"/>
          <w:sz w:val="18"/>
          <w:szCs w:val="18"/>
        </w:rPr>
        <w:t xml:space="preserve">2014-02-27 </w:t>
      </w:r>
      <w:r w:rsidRPr="004C6C0F">
        <w:rPr>
          <w:rFonts w:ascii="inherit" w:eastAsia="宋体" w:hAnsi="inherit" w:cs="宋体"/>
          <w:color w:val="888888"/>
          <w:kern w:val="0"/>
          <w:sz w:val="18"/>
          <w:szCs w:val="18"/>
        </w:rPr>
        <w:t>来源：</w:t>
      </w:r>
      <w:r w:rsidRPr="004C6C0F">
        <w:rPr>
          <w:rFonts w:ascii="inherit" w:eastAsia="宋体" w:hAnsi="inherit" w:cs="宋体"/>
          <w:color w:val="888888"/>
          <w:kern w:val="0"/>
          <w:sz w:val="18"/>
          <w:szCs w:val="18"/>
        </w:rPr>
        <w:t xml:space="preserve"> </w:t>
      </w:r>
    </w:p>
    <w:p w:rsidR="004C6C0F" w:rsidRPr="004C6C0F" w:rsidRDefault="004C6C0F" w:rsidP="004C6C0F">
      <w:pPr>
        <w:widowControl/>
        <w:shd w:val="clear" w:color="auto" w:fill="FFFFFF"/>
        <w:spacing w:before="90" w:after="90" w:line="480" w:lineRule="auto"/>
        <w:ind w:firstLine="420"/>
        <w:jc w:val="center"/>
        <w:rPr>
          <w:rFonts w:ascii="inherit" w:eastAsia="宋体" w:hAnsi="inherit" w:cs="宋体"/>
          <w:color w:val="333333"/>
          <w:kern w:val="0"/>
          <w:szCs w:val="21"/>
        </w:rPr>
      </w:pPr>
      <w:r w:rsidRPr="004C6C0F">
        <w:rPr>
          <w:rFonts w:ascii="宋体" w:eastAsia="宋体" w:hAnsi="宋体" w:cs="宋体"/>
          <w:color w:val="333333"/>
          <w:kern w:val="0"/>
          <w:szCs w:val="21"/>
        </w:rPr>
        <w:t>证监会计字[2007]21号</w:t>
      </w:r>
    </w:p>
    <w:p w:rsidR="004C6C0F" w:rsidRPr="004C6C0F" w:rsidRDefault="004C6C0F" w:rsidP="003710DE">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2006年11月26日，我会下发了《关于基金管理公司及证券投资基金执行〈企业会计准则〉的通知》（证监会计字〔2006〕23号），规定证券投资基金（以下简称基金）自2007年7月1日起执行《企业会计准则》（以下简称新会计准则）。为规范基金各类投资品种的估值业务，确保基金执行新会计准则后及时、准确地进行份额净值计价，更好地保护基金份额持有人的合法权益，现就基金执行新会计准则后估值业务和份额净值计价的有关事项通知如下：</w:t>
      </w:r>
    </w:p>
    <w:p w:rsidR="004C6C0F" w:rsidRPr="004C6C0F" w:rsidRDefault="004C6C0F" w:rsidP="003710DE">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一、估值业务基本要求</w:t>
      </w:r>
    </w:p>
    <w:p w:rsidR="004C6C0F" w:rsidRPr="004C6C0F" w:rsidRDefault="004C6C0F" w:rsidP="003710DE">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（一）</w:t>
      </w:r>
      <w:r w:rsidRPr="004C6C0F">
        <w:rPr>
          <w:rFonts w:ascii="宋体" w:eastAsia="宋体" w:hAnsi="宋体" w:cs="宋体"/>
          <w:b/>
          <w:color w:val="FF0000"/>
          <w:kern w:val="0"/>
          <w:szCs w:val="21"/>
        </w:rPr>
        <w:t>基金估值的目的是为了准确、真实地反映基金相关金融资产和金融负债的公允价值。开放式基金份额申购、赎回价格应按基金估值后确定的基金份额净值计算。</w:t>
      </w:r>
    </w:p>
    <w:p w:rsidR="004C6C0F" w:rsidRPr="004C6C0F" w:rsidRDefault="004C6C0F" w:rsidP="003710DE">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（二）为准确、及时进行基金估值和份额净值计价，基金管理公司应制</w:t>
      </w:r>
      <w:proofErr w:type="gramStart"/>
      <w:r w:rsidRPr="004C6C0F">
        <w:rPr>
          <w:rFonts w:ascii="宋体" w:eastAsia="宋体" w:hAnsi="宋体" w:cs="宋体"/>
          <w:color w:val="333333"/>
          <w:kern w:val="0"/>
          <w:szCs w:val="21"/>
        </w:rPr>
        <w:t>定基金</w:t>
      </w:r>
      <w:proofErr w:type="gramEnd"/>
      <w:r w:rsidRPr="004C6C0F">
        <w:rPr>
          <w:rFonts w:ascii="宋体" w:eastAsia="宋体" w:hAnsi="宋体" w:cs="宋体"/>
          <w:color w:val="333333"/>
          <w:kern w:val="0"/>
          <w:szCs w:val="21"/>
        </w:rPr>
        <w:t>估值和份额净值计价的业务管理制度，明确基金估值的原则和程序；建立健全估值决策体系；使用合理、可靠的估值业务系统；加强对业务人员的培训，确保估值人员熟悉各类投资品种的估值原则及具体估值程序；不断完善相关风险监测、控制和报告机制；根据基金投资策略定期审</w:t>
      </w:r>
      <w:proofErr w:type="gramStart"/>
      <w:r w:rsidRPr="004C6C0F">
        <w:rPr>
          <w:rFonts w:ascii="宋体" w:eastAsia="宋体" w:hAnsi="宋体" w:cs="宋体"/>
          <w:color w:val="333333"/>
          <w:kern w:val="0"/>
          <w:szCs w:val="21"/>
        </w:rPr>
        <w:t>阅</w:t>
      </w:r>
      <w:proofErr w:type="gramEnd"/>
      <w:r w:rsidRPr="004C6C0F">
        <w:rPr>
          <w:rFonts w:ascii="宋体" w:eastAsia="宋体" w:hAnsi="宋体" w:cs="宋体"/>
          <w:color w:val="333333"/>
          <w:kern w:val="0"/>
          <w:szCs w:val="21"/>
        </w:rPr>
        <w:t>估值原则和程序，确保其持续适用性。</w:t>
      </w:r>
    </w:p>
    <w:p w:rsidR="004C6C0F" w:rsidRPr="004C6C0F" w:rsidRDefault="004C6C0F" w:rsidP="003710DE">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（三）托管银行在复核、审查基金资产净值、基金份额申购、赎回价格之前，应认真审阅基金管理公司采用的估值原则和程序。当对估值原则或程序有异议时，托管银行有义务要求基金管理公司</w:t>
      </w:r>
      <w:proofErr w:type="gramStart"/>
      <w:r w:rsidRPr="004C6C0F">
        <w:rPr>
          <w:rFonts w:ascii="宋体" w:eastAsia="宋体" w:hAnsi="宋体" w:cs="宋体"/>
          <w:color w:val="333333"/>
          <w:kern w:val="0"/>
          <w:szCs w:val="21"/>
        </w:rPr>
        <w:t>作出</w:t>
      </w:r>
      <w:proofErr w:type="gramEnd"/>
      <w:r w:rsidRPr="004C6C0F">
        <w:rPr>
          <w:rFonts w:ascii="宋体" w:eastAsia="宋体" w:hAnsi="宋体" w:cs="宋体"/>
          <w:color w:val="333333"/>
          <w:kern w:val="0"/>
          <w:szCs w:val="21"/>
        </w:rPr>
        <w:t>合理解释，通过积极商讨达成一致意见。</w:t>
      </w:r>
    </w:p>
    <w:p w:rsidR="004C6C0F" w:rsidRPr="004C6C0F" w:rsidRDefault="004C6C0F" w:rsidP="003710DE">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四）基金管理公司在对活跃市场上没有市价的投资品种、不存在活跃市场的投资品种进行估值时，应综合各估值影响因素，充分理解相关估值模型及假设，经与托管银行协商，谨慎确定公允价值，并按相关法规的规定，在定期报告中充分披露确定公允价值的方法、相关估值假设等信息。</w:t>
      </w:r>
    </w:p>
    <w:p w:rsidR="004C6C0F" w:rsidRPr="004C6C0F" w:rsidRDefault="004C6C0F" w:rsidP="003710DE">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（五）为提高估值的合理性和可靠性，行业需成立基金估值工作小组。工作小组应定期评估行业的估值原则和程序。在充分征求行业意见，履行向我会报备程序后，工作小组可对</w:t>
      </w:r>
      <w:r w:rsidRPr="004C6C0F">
        <w:rPr>
          <w:rFonts w:ascii="宋体" w:eastAsia="宋体" w:hAnsi="宋体" w:cs="宋体"/>
          <w:color w:val="333333"/>
          <w:kern w:val="0"/>
          <w:szCs w:val="21"/>
        </w:rPr>
        <w:lastRenderedPageBreak/>
        <w:t>活跃市场上没有市价的投资品种、不存在活跃市场的投资品种提出估值意见。工作小组的组成及运作由中国证券业协会负责协调。</w:t>
      </w:r>
    </w:p>
    <w:p w:rsidR="004C6C0F" w:rsidRPr="004C6C0F" w:rsidRDefault="004C6C0F" w:rsidP="003710DE">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基金管理公司和托管银行在进行基金估值、计算基金份额净值及相关复核工作时，可参考工作小组的意见，但不能免除相关责任。</w:t>
      </w:r>
    </w:p>
    <w:p w:rsidR="004C6C0F" w:rsidRPr="004C6C0F" w:rsidRDefault="004C6C0F" w:rsidP="003710DE">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（六）货币市场基金应按本通知的有关估值原则确定投资品种的影子价格。</w:t>
      </w:r>
    </w:p>
    <w:p w:rsidR="004C6C0F" w:rsidRPr="004C6C0F" w:rsidRDefault="004C6C0F" w:rsidP="003710DE">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二、估值的基本原则</w:t>
      </w:r>
    </w:p>
    <w:p w:rsidR="00606FD6" w:rsidRDefault="004C6C0F" w:rsidP="00606FD6">
      <w:pPr>
        <w:widowControl/>
        <w:shd w:val="clear" w:color="auto" w:fill="FFFFFF"/>
        <w:spacing w:line="360" w:lineRule="auto"/>
        <w:ind w:firstLineChars="200" w:firstLine="420"/>
        <w:jc w:val="left"/>
        <w:rPr>
          <w:rFonts w:ascii="宋体" w:eastAsia="宋体" w:hAnsi="宋体" w:cs="宋体" w:hint="eastAsia"/>
          <w:b/>
          <w:color w:val="FF0000"/>
          <w:kern w:val="0"/>
          <w:szCs w:val="21"/>
        </w:rPr>
      </w:pPr>
      <w:r w:rsidRPr="004C6C0F">
        <w:rPr>
          <w:rFonts w:ascii="宋体" w:eastAsia="宋体" w:hAnsi="宋体" w:cs="宋体"/>
          <w:color w:val="333333"/>
          <w:kern w:val="0"/>
          <w:szCs w:val="21"/>
        </w:rPr>
        <w:t>（一</w:t>
      </w:r>
      <w:r w:rsidRPr="004C6C0F">
        <w:rPr>
          <w:rFonts w:ascii="宋体" w:eastAsia="宋体" w:hAnsi="宋体" w:cs="宋体"/>
          <w:b/>
          <w:color w:val="FF0000"/>
          <w:kern w:val="0"/>
          <w:szCs w:val="21"/>
        </w:rPr>
        <w:t>）对存在活跃市场的投资品种</w:t>
      </w:r>
      <w:r w:rsidR="00606FD6">
        <w:rPr>
          <w:rFonts w:ascii="宋体" w:eastAsia="宋体" w:hAnsi="宋体" w:cs="宋体" w:hint="eastAsia"/>
          <w:b/>
          <w:color w:val="FF0000"/>
          <w:kern w:val="0"/>
          <w:szCs w:val="21"/>
        </w:rPr>
        <w:t>：</w:t>
      </w:r>
    </w:p>
    <w:p w:rsidR="00606FD6" w:rsidRDefault="00606FD6" w:rsidP="00606FD6">
      <w:pPr>
        <w:widowControl/>
        <w:shd w:val="clear" w:color="auto" w:fill="FFFFFF"/>
        <w:spacing w:line="360" w:lineRule="auto"/>
        <w:ind w:firstLineChars="200" w:firstLine="422"/>
        <w:jc w:val="left"/>
        <w:rPr>
          <w:rFonts w:ascii="宋体" w:eastAsia="宋体" w:hAnsi="宋体" w:cs="宋体" w:hint="eastAsia"/>
          <w:b/>
          <w:color w:val="FF0000"/>
          <w:kern w:val="0"/>
          <w:szCs w:val="21"/>
        </w:rPr>
      </w:pPr>
      <w:r>
        <w:rPr>
          <w:rFonts w:ascii="宋体" w:eastAsia="宋体" w:hAnsi="宋体" w:cs="宋体" w:hint="eastAsia"/>
          <w:b/>
          <w:color w:val="FF0000"/>
          <w:kern w:val="0"/>
          <w:szCs w:val="21"/>
        </w:rPr>
        <w:t>1、</w:t>
      </w:r>
      <w:r w:rsidR="004C6C0F" w:rsidRPr="004C6C0F">
        <w:rPr>
          <w:rFonts w:ascii="宋体" w:eastAsia="宋体" w:hAnsi="宋体" w:cs="宋体"/>
          <w:b/>
          <w:color w:val="FF0000"/>
          <w:kern w:val="0"/>
          <w:szCs w:val="21"/>
        </w:rPr>
        <w:t>如估值日有市价的，应采用</w:t>
      </w:r>
      <w:r w:rsidR="004C6C0F" w:rsidRPr="004C6C0F">
        <w:rPr>
          <w:rFonts w:ascii="宋体" w:eastAsia="宋体" w:hAnsi="宋体" w:cs="宋体"/>
          <w:b/>
          <w:color w:val="FF0000"/>
          <w:kern w:val="0"/>
          <w:szCs w:val="21"/>
          <w:highlight w:val="yellow"/>
        </w:rPr>
        <w:t>市价确定公允价值。</w:t>
      </w:r>
    </w:p>
    <w:p w:rsidR="00606FD6" w:rsidRDefault="00606FD6" w:rsidP="00606FD6">
      <w:pPr>
        <w:widowControl/>
        <w:shd w:val="clear" w:color="auto" w:fill="FFFFFF"/>
        <w:spacing w:line="360" w:lineRule="auto"/>
        <w:ind w:firstLineChars="200" w:firstLine="422"/>
        <w:jc w:val="left"/>
        <w:rPr>
          <w:rFonts w:ascii="宋体" w:eastAsia="宋体" w:hAnsi="宋体" w:cs="宋体" w:hint="eastAsia"/>
          <w:b/>
          <w:color w:val="0070C0"/>
          <w:kern w:val="0"/>
          <w:szCs w:val="21"/>
        </w:rPr>
      </w:pPr>
      <w:r>
        <w:rPr>
          <w:rFonts w:ascii="宋体" w:eastAsia="宋体" w:hAnsi="宋体" w:cs="宋体" w:hint="eastAsia"/>
          <w:b/>
          <w:color w:val="FF0000"/>
          <w:kern w:val="0"/>
          <w:szCs w:val="21"/>
          <w:highlight w:val="yellow"/>
        </w:rPr>
        <w:t>2、</w:t>
      </w:r>
      <w:r w:rsidR="004C6C0F" w:rsidRPr="004C6C0F">
        <w:rPr>
          <w:rFonts w:ascii="宋体" w:eastAsia="宋体" w:hAnsi="宋体" w:cs="宋体"/>
          <w:b/>
          <w:color w:val="0070C0"/>
          <w:kern w:val="0"/>
          <w:szCs w:val="21"/>
        </w:rPr>
        <w:t>估值日无市价，但最近交易日后经济环境未发生重大变化的，应采用</w:t>
      </w:r>
      <w:r w:rsidR="004C6C0F" w:rsidRPr="004C6C0F">
        <w:rPr>
          <w:rFonts w:ascii="宋体" w:eastAsia="宋体" w:hAnsi="宋体" w:cs="宋体"/>
          <w:b/>
          <w:color w:val="0070C0"/>
          <w:kern w:val="0"/>
          <w:szCs w:val="21"/>
          <w:highlight w:val="lightGray"/>
        </w:rPr>
        <w:t>最近交易市价确定公允价值。</w:t>
      </w:r>
    </w:p>
    <w:p w:rsidR="00606FD6" w:rsidRDefault="00606FD6" w:rsidP="00606FD6">
      <w:pPr>
        <w:widowControl/>
        <w:shd w:val="clear" w:color="auto" w:fill="FFFFFF"/>
        <w:spacing w:line="360" w:lineRule="auto"/>
        <w:ind w:firstLineChars="200" w:firstLine="422"/>
        <w:jc w:val="left"/>
        <w:rPr>
          <w:rFonts w:ascii="宋体" w:eastAsia="宋体" w:hAnsi="宋体" w:cs="宋体" w:hint="eastAsia"/>
          <w:b/>
          <w:color w:val="00B050"/>
          <w:kern w:val="0"/>
          <w:szCs w:val="21"/>
        </w:rPr>
      </w:pPr>
      <w:r>
        <w:rPr>
          <w:rFonts w:ascii="宋体" w:eastAsia="宋体" w:hAnsi="宋体" w:cs="宋体" w:hint="eastAsia"/>
          <w:b/>
          <w:color w:val="0070C0"/>
          <w:kern w:val="0"/>
          <w:szCs w:val="21"/>
          <w:highlight w:val="lightGray"/>
        </w:rPr>
        <w:t>3、</w:t>
      </w:r>
      <w:r w:rsidR="004C6C0F" w:rsidRPr="004C6C0F">
        <w:rPr>
          <w:rFonts w:ascii="宋体" w:eastAsia="宋体" w:hAnsi="宋体" w:cs="宋体"/>
          <w:b/>
          <w:color w:val="00B050"/>
          <w:kern w:val="0"/>
          <w:szCs w:val="21"/>
        </w:rPr>
        <w:t>估值日无市价，且最近交易日后经济环境发生了重大变化的，应</w:t>
      </w:r>
      <w:r w:rsidR="004C6C0F" w:rsidRPr="004C6C0F">
        <w:rPr>
          <w:rFonts w:ascii="宋体" w:eastAsia="宋体" w:hAnsi="宋体" w:cs="宋体"/>
          <w:b/>
          <w:color w:val="00B050"/>
          <w:kern w:val="0"/>
          <w:szCs w:val="21"/>
          <w:highlight w:val="darkBlue"/>
        </w:rPr>
        <w:t>参考类似投资品种的现行市价及重大变化因素，调整最近交易市价，确定公允价值。</w:t>
      </w:r>
    </w:p>
    <w:p w:rsidR="004C6C0F" w:rsidRPr="004C6C0F" w:rsidRDefault="00606FD6" w:rsidP="00606FD6">
      <w:pPr>
        <w:widowControl/>
        <w:shd w:val="clear" w:color="auto" w:fill="FFFFFF"/>
        <w:spacing w:line="360" w:lineRule="auto"/>
        <w:ind w:firstLineChars="200" w:firstLine="422"/>
        <w:jc w:val="left"/>
        <w:rPr>
          <w:rFonts w:ascii="inherit" w:eastAsia="宋体" w:hAnsi="inherit" w:cs="宋体"/>
          <w:color w:val="333333"/>
          <w:kern w:val="0"/>
          <w:szCs w:val="21"/>
        </w:rPr>
      </w:pPr>
      <w:r>
        <w:rPr>
          <w:rFonts w:ascii="宋体" w:eastAsia="宋体" w:hAnsi="宋体" w:cs="宋体" w:hint="eastAsia"/>
          <w:b/>
          <w:color w:val="00B050"/>
          <w:kern w:val="0"/>
          <w:szCs w:val="21"/>
          <w:highlight w:val="darkBlue"/>
        </w:rPr>
        <w:t>4、</w:t>
      </w:r>
      <w:r w:rsidR="004C6C0F" w:rsidRPr="004C6C0F">
        <w:rPr>
          <w:rFonts w:ascii="宋体" w:eastAsia="宋体" w:hAnsi="宋体" w:cs="宋体"/>
          <w:b/>
          <w:color w:val="FF0000"/>
          <w:kern w:val="0"/>
          <w:szCs w:val="21"/>
        </w:rPr>
        <w:t>有充足证据表明最近交易市价不能真实反映公允价值的，应对最近交易的市价进行调整，确定公允价值。</w:t>
      </w:r>
    </w:p>
    <w:p w:rsidR="004C6C0F" w:rsidRPr="004C6C0F" w:rsidRDefault="004C6C0F" w:rsidP="00606FD6">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（二）对不存在活跃市场的投资品种，应采用市场参与者普遍认同，且被以往市场实际交易价格验证具有可靠性的</w:t>
      </w:r>
      <w:r w:rsidRPr="004C6C0F">
        <w:rPr>
          <w:rFonts w:ascii="宋体" w:eastAsia="宋体" w:hAnsi="宋体" w:cs="宋体"/>
          <w:b/>
          <w:color w:val="FF0000"/>
          <w:kern w:val="0"/>
          <w:szCs w:val="21"/>
        </w:rPr>
        <w:t>估值技术确定公允价值。</w:t>
      </w:r>
      <w:r w:rsidRPr="004C6C0F">
        <w:rPr>
          <w:rFonts w:ascii="宋体" w:eastAsia="宋体" w:hAnsi="宋体" w:cs="宋体"/>
          <w:color w:val="333333"/>
          <w:kern w:val="0"/>
          <w:szCs w:val="21"/>
        </w:rPr>
        <w:t>运用估值技术得出的结果，应反映估值日在公平条件下进行正常商业交易所采用的交易价格。采用估值技术确定公允价值时，应尽可能使用市场参与者在定价时考虑的所有市场参数，并应通过定期校验，确保估值技术的有效性。</w:t>
      </w:r>
    </w:p>
    <w:p w:rsidR="004C6C0F" w:rsidRPr="004C6C0F" w:rsidRDefault="004C6C0F" w:rsidP="00606FD6">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（三）有充足理由表明按以上估值原则仍不能客观反映相关投资品种的公允价值的，基金管理公司应根据具体情况与托管银行进行商定，按最能恰当反映公允价值的价格估值。</w:t>
      </w:r>
    </w:p>
    <w:p w:rsidR="004C6C0F" w:rsidRPr="004C6C0F" w:rsidRDefault="004C6C0F" w:rsidP="00606FD6">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三、具体投资品种的估值</w:t>
      </w:r>
    </w:p>
    <w:p w:rsidR="00606FD6" w:rsidRDefault="004C6C0F" w:rsidP="00606FD6">
      <w:pPr>
        <w:widowControl/>
        <w:shd w:val="clear" w:color="auto" w:fill="FFFFFF"/>
        <w:spacing w:line="360" w:lineRule="auto"/>
        <w:ind w:firstLineChars="200" w:firstLine="420"/>
        <w:jc w:val="left"/>
        <w:rPr>
          <w:rFonts w:ascii="宋体" w:eastAsia="宋体" w:hAnsi="宋体" w:cs="宋体" w:hint="eastAsia"/>
          <w:color w:val="333333"/>
          <w:kern w:val="0"/>
          <w:szCs w:val="21"/>
        </w:rPr>
      </w:pPr>
      <w:r w:rsidRPr="004C6C0F">
        <w:rPr>
          <w:rFonts w:ascii="宋体" w:eastAsia="宋体" w:hAnsi="宋体" w:cs="宋体"/>
          <w:color w:val="333333"/>
          <w:kern w:val="0"/>
          <w:szCs w:val="21"/>
        </w:rPr>
        <w:t>（一）</w:t>
      </w:r>
      <w:r w:rsidRPr="004C6C0F">
        <w:rPr>
          <w:rFonts w:ascii="宋体" w:eastAsia="宋体" w:hAnsi="宋体" w:cs="宋体"/>
          <w:b/>
          <w:color w:val="FF0000"/>
          <w:kern w:val="0"/>
          <w:szCs w:val="21"/>
        </w:rPr>
        <w:t>交易所上市、交易品种的估值。</w:t>
      </w:r>
    </w:p>
    <w:p w:rsidR="004C6C0F" w:rsidRPr="004C6C0F" w:rsidRDefault="004C6C0F" w:rsidP="00606FD6">
      <w:pPr>
        <w:widowControl/>
        <w:shd w:val="clear" w:color="auto" w:fill="FFFFFF"/>
        <w:spacing w:line="360" w:lineRule="auto"/>
        <w:ind w:firstLineChars="200" w:firstLine="420"/>
        <w:jc w:val="left"/>
        <w:rPr>
          <w:rFonts w:ascii="inherit" w:eastAsia="宋体" w:hAnsi="inherit" w:cs="宋体"/>
          <w:b/>
          <w:color w:val="333333"/>
          <w:kern w:val="0"/>
          <w:szCs w:val="21"/>
        </w:rPr>
      </w:pPr>
      <w:r w:rsidRPr="004C6C0F">
        <w:rPr>
          <w:rFonts w:ascii="宋体" w:eastAsia="宋体" w:hAnsi="宋体" w:cs="宋体"/>
          <w:color w:val="333333"/>
          <w:kern w:val="0"/>
          <w:szCs w:val="21"/>
        </w:rPr>
        <w:t>交易所上市股票和权证以收盘价估值，</w:t>
      </w:r>
      <w:r w:rsidRPr="004C6C0F">
        <w:rPr>
          <w:rFonts w:ascii="宋体" w:eastAsia="宋体" w:hAnsi="宋体" w:cs="宋体"/>
          <w:b/>
          <w:color w:val="FF0000"/>
          <w:kern w:val="0"/>
          <w:szCs w:val="21"/>
          <w:highlight w:val="yellow"/>
        </w:rPr>
        <w:t>上市债券以收盘净价估值</w:t>
      </w:r>
      <w:r w:rsidRPr="004C6C0F">
        <w:rPr>
          <w:rFonts w:ascii="宋体" w:eastAsia="宋体" w:hAnsi="宋体" w:cs="宋体"/>
          <w:color w:val="333333"/>
          <w:kern w:val="0"/>
          <w:szCs w:val="21"/>
        </w:rPr>
        <w:t>，期货合约以</w:t>
      </w:r>
      <w:r w:rsidRPr="004C6C0F">
        <w:rPr>
          <w:rFonts w:ascii="宋体" w:eastAsia="宋体" w:hAnsi="宋体" w:cs="宋体"/>
          <w:b/>
          <w:color w:val="FF0000"/>
          <w:kern w:val="0"/>
          <w:szCs w:val="21"/>
          <w:highlight w:val="yellow"/>
        </w:rPr>
        <w:t>结算价格估值</w:t>
      </w:r>
      <w:r w:rsidRPr="004C6C0F">
        <w:rPr>
          <w:rFonts w:ascii="宋体" w:eastAsia="宋体" w:hAnsi="宋体" w:cs="宋体"/>
          <w:color w:val="333333"/>
          <w:kern w:val="0"/>
          <w:szCs w:val="21"/>
        </w:rPr>
        <w:t>。</w:t>
      </w:r>
      <w:r w:rsidRPr="004C6C0F">
        <w:rPr>
          <w:rFonts w:ascii="宋体" w:eastAsia="宋体" w:hAnsi="宋体" w:cs="宋体"/>
          <w:b/>
          <w:color w:val="FF0000"/>
          <w:kern w:val="0"/>
          <w:szCs w:val="21"/>
          <w:highlight w:val="yellow"/>
        </w:rPr>
        <w:t>交易所</w:t>
      </w:r>
      <w:r w:rsidRPr="004C6C0F">
        <w:rPr>
          <w:rFonts w:ascii="宋体" w:eastAsia="宋体" w:hAnsi="宋体" w:cs="宋体"/>
          <w:b/>
          <w:color w:val="FF0000"/>
          <w:kern w:val="0"/>
          <w:szCs w:val="21"/>
          <w:highlight w:val="darkBlue"/>
        </w:rPr>
        <w:t>以大宗交易方式转让的资产支持证券</w:t>
      </w:r>
      <w:r w:rsidRPr="004C6C0F">
        <w:rPr>
          <w:rFonts w:ascii="宋体" w:eastAsia="宋体" w:hAnsi="宋体" w:cs="宋体"/>
          <w:b/>
          <w:color w:val="FF0000"/>
          <w:kern w:val="0"/>
          <w:szCs w:val="21"/>
          <w:highlight w:val="yellow"/>
        </w:rPr>
        <w:t>，采用估值技术确定公允价值，在估值技术难以可靠计量公允价值的情况下，按成本进行后续计量。</w:t>
      </w:r>
    </w:p>
    <w:p w:rsidR="00606FD6" w:rsidRPr="00606FD6" w:rsidRDefault="004C6C0F" w:rsidP="00606FD6">
      <w:pPr>
        <w:widowControl/>
        <w:shd w:val="clear" w:color="auto" w:fill="FFFFFF"/>
        <w:spacing w:line="360" w:lineRule="auto"/>
        <w:ind w:firstLineChars="200" w:firstLine="420"/>
        <w:jc w:val="left"/>
        <w:rPr>
          <w:rFonts w:ascii="宋体" w:eastAsia="宋体" w:hAnsi="宋体" w:cs="宋体" w:hint="eastAsia"/>
          <w:b/>
          <w:color w:val="FF0000"/>
          <w:kern w:val="0"/>
          <w:szCs w:val="21"/>
        </w:rPr>
      </w:pPr>
      <w:r w:rsidRPr="004C6C0F">
        <w:rPr>
          <w:rFonts w:ascii="宋体" w:eastAsia="宋体" w:hAnsi="宋体" w:cs="宋体"/>
          <w:color w:val="333333"/>
          <w:kern w:val="0"/>
          <w:szCs w:val="21"/>
        </w:rPr>
        <w:t>（二）</w:t>
      </w:r>
      <w:r w:rsidRPr="004C6C0F">
        <w:rPr>
          <w:rFonts w:ascii="宋体" w:eastAsia="宋体" w:hAnsi="宋体" w:cs="宋体"/>
          <w:b/>
          <w:color w:val="FF0000"/>
          <w:kern w:val="0"/>
          <w:szCs w:val="21"/>
        </w:rPr>
        <w:t>交易所发行未上市品种的估值。</w:t>
      </w:r>
    </w:p>
    <w:p w:rsidR="004C6C0F" w:rsidRPr="004C6C0F" w:rsidRDefault="004C6C0F" w:rsidP="00606FD6">
      <w:pPr>
        <w:widowControl/>
        <w:shd w:val="clear" w:color="auto" w:fill="FFFFFF"/>
        <w:spacing w:line="360" w:lineRule="auto"/>
        <w:ind w:firstLineChars="200" w:firstLine="422"/>
        <w:jc w:val="left"/>
        <w:rPr>
          <w:rFonts w:ascii="inherit" w:eastAsia="宋体" w:hAnsi="inherit" w:cs="宋体"/>
          <w:color w:val="333333"/>
          <w:kern w:val="0"/>
          <w:szCs w:val="21"/>
        </w:rPr>
      </w:pPr>
      <w:r w:rsidRPr="004C6C0F">
        <w:rPr>
          <w:rFonts w:ascii="宋体" w:eastAsia="宋体" w:hAnsi="宋体" w:cs="宋体"/>
          <w:b/>
          <w:color w:val="FF0000"/>
          <w:kern w:val="0"/>
          <w:szCs w:val="21"/>
          <w:highlight w:val="yellow"/>
        </w:rPr>
        <w:t>首次发行未上市的股票、债券和权证</w:t>
      </w:r>
      <w:r w:rsidRPr="004C6C0F">
        <w:rPr>
          <w:rFonts w:ascii="宋体" w:eastAsia="宋体" w:hAnsi="宋体" w:cs="宋体"/>
          <w:color w:val="333333"/>
          <w:kern w:val="0"/>
          <w:szCs w:val="21"/>
        </w:rPr>
        <w:t>，采用估值技术确定公允价值，在估值技术难以可靠计量公允价值的情况下，按成本计量；送股、转增股、配股和公开增发新股等发行未上市股票，按交易所上市的同一股票的市价估值；首次公开发行有明确锁定期的股票，同一股</w:t>
      </w:r>
      <w:r w:rsidRPr="004C6C0F">
        <w:rPr>
          <w:rFonts w:ascii="宋体" w:eastAsia="宋体" w:hAnsi="宋体" w:cs="宋体"/>
          <w:color w:val="333333"/>
          <w:kern w:val="0"/>
          <w:szCs w:val="21"/>
        </w:rPr>
        <w:lastRenderedPageBreak/>
        <w:t>票在交易所上市后，按交易所上市的同一股票的市价估值；非公开发行有明确锁定期的股票，按本文附件确定公允价值。</w:t>
      </w:r>
    </w:p>
    <w:p w:rsidR="00606FD6" w:rsidRPr="009E5F2B" w:rsidRDefault="004C6C0F" w:rsidP="00606FD6">
      <w:pPr>
        <w:widowControl/>
        <w:shd w:val="clear" w:color="auto" w:fill="FFFFFF"/>
        <w:spacing w:line="360" w:lineRule="auto"/>
        <w:ind w:firstLineChars="200" w:firstLine="420"/>
        <w:jc w:val="left"/>
        <w:rPr>
          <w:rFonts w:ascii="宋体" w:eastAsia="宋体" w:hAnsi="宋体" w:cs="宋体" w:hint="eastAsia"/>
          <w:b/>
          <w:color w:val="FF0000"/>
          <w:kern w:val="0"/>
          <w:szCs w:val="21"/>
        </w:rPr>
      </w:pPr>
      <w:r w:rsidRPr="004C6C0F">
        <w:rPr>
          <w:rFonts w:ascii="宋体" w:eastAsia="宋体" w:hAnsi="宋体" w:cs="宋体"/>
          <w:color w:val="333333"/>
          <w:kern w:val="0"/>
          <w:szCs w:val="21"/>
        </w:rPr>
        <w:t>（三）</w:t>
      </w:r>
      <w:r w:rsidRPr="004C6C0F">
        <w:rPr>
          <w:rFonts w:ascii="宋体" w:eastAsia="宋体" w:hAnsi="宋体" w:cs="宋体"/>
          <w:b/>
          <w:color w:val="FF0000"/>
          <w:kern w:val="0"/>
          <w:szCs w:val="21"/>
        </w:rPr>
        <w:t>交易所停止交易等非流通品种的估值。</w:t>
      </w:r>
    </w:p>
    <w:p w:rsidR="004C6C0F" w:rsidRPr="004C6C0F" w:rsidRDefault="004C6C0F" w:rsidP="009E5F2B">
      <w:pPr>
        <w:widowControl/>
        <w:shd w:val="clear" w:color="auto" w:fill="FFFFFF"/>
        <w:spacing w:line="360" w:lineRule="auto"/>
        <w:ind w:firstLineChars="200" w:firstLine="420"/>
        <w:jc w:val="left"/>
        <w:rPr>
          <w:rFonts w:ascii="inherit" w:eastAsia="宋体" w:hAnsi="inherit" w:cs="宋体"/>
          <w:b/>
          <w:color w:val="FF0000"/>
          <w:kern w:val="0"/>
          <w:szCs w:val="21"/>
        </w:rPr>
      </w:pPr>
      <w:r w:rsidRPr="004C6C0F">
        <w:rPr>
          <w:rFonts w:ascii="宋体" w:eastAsia="宋体" w:hAnsi="宋体" w:cs="宋体"/>
          <w:color w:val="333333"/>
          <w:kern w:val="0"/>
          <w:szCs w:val="21"/>
        </w:rPr>
        <w:t>因持有股票而享有的</w:t>
      </w:r>
      <w:r w:rsidRPr="004C6C0F">
        <w:rPr>
          <w:rFonts w:ascii="宋体" w:eastAsia="宋体" w:hAnsi="宋体" w:cs="宋体"/>
          <w:b/>
          <w:color w:val="FF0000"/>
          <w:kern w:val="0"/>
          <w:szCs w:val="21"/>
          <w:highlight w:val="yellow"/>
        </w:rPr>
        <w:t>配股权，以及停止交易、但未行权的权证，采用估值技术确定公允价值。</w:t>
      </w:r>
    </w:p>
    <w:p w:rsidR="004C6C0F" w:rsidRPr="004C6C0F" w:rsidRDefault="004C6C0F" w:rsidP="009E5F2B">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（四）全国银行间债券市场交易的债券、资产支持证券等固定收益品种，</w:t>
      </w:r>
      <w:r w:rsidRPr="004C6C0F">
        <w:rPr>
          <w:rFonts w:ascii="宋体" w:eastAsia="宋体" w:hAnsi="宋体" w:cs="宋体"/>
          <w:b/>
          <w:color w:val="FF0000"/>
          <w:kern w:val="0"/>
          <w:szCs w:val="21"/>
          <w:highlight w:val="yellow"/>
        </w:rPr>
        <w:t>采用估值技术确定公允价值。</w:t>
      </w:r>
    </w:p>
    <w:p w:rsidR="004C6C0F" w:rsidRPr="004C6C0F" w:rsidRDefault="004C6C0F" w:rsidP="009E5F2B">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四、计价错误的处理及责任承担</w:t>
      </w:r>
    </w:p>
    <w:p w:rsidR="004C6C0F" w:rsidRPr="004C6C0F" w:rsidRDefault="004C6C0F" w:rsidP="009E5F2B">
      <w:pPr>
        <w:widowControl/>
        <w:shd w:val="clear" w:color="auto" w:fill="FFFFFF"/>
        <w:spacing w:line="360" w:lineRule="auto"/>
        <w:ind w:firstLineChars="200" w:firstLine="420"/>
        <w:jc w:val="left"/>
        <w:rPr>
          <w:rFonts w:ascii="inherit" w:eastAsia="宋体" w:hAnsi="inherit" w:cs="宋体"/>
          <w:b/>
          <w:color w:val="FF0000"/>
          <w:kern w:val="0"/>
          <w:szCs w:val="21"/>
        </w:rPr>
      </w:pPr>
      <w:r w:rsidRPr="004C6C0F">
        <w:rPr>
          <w:rFonts w:ascii="宋体" w:eastAsia="宋体" w:hAnsi="宋体" w:cs="宋体"/>
          <w:color w:val="333333"/>
          <w:kern w:val="0"/>
          <w:szCs w:val="21"/>
        </w:rPr>
        <w:t>（一）基金管理公司应制定估值及份额净值计价错误的识别及应急方案。当估值或份额净值计价错误实际发生时，基金管理公司应立即纠正，及时采取合理措施防止损失进一步扩大。</w:t>
      </w:r>
      <w:proofErr w:type="gramStart"/>
      <w:r w:rsidRPr="004C6C0F">
        <w:rPr>
          <w:rFonts w:ascii="宋体" w:eastAsia="宋体" w:hAnsi="宋体" w:cs="宋体"/>
          <w:b/>
          <w:color w:val="FF0000"/>
          <w:kern w:val="0"/>
          <w:szCs w:val="21"/>
          <w:highlight w:val="yellow"/>
        </w:rPr>
        <w:t>当错误</w:t>
      </w:r>
      <w:proofErr w:type="gramEnd"/>
      <w:r w:rsidRPr="004C6C0F">
        <w:rPr>
          <w:rFonts w:ascii="宋体" w:eastAsia="宋体" w:hAnsi="宋体" w:cs="宋体"/>
          <w:b/>
          <w:color w:val="FF0000"/>
          <w:kern w:val="0"/>
          <w:szCs w:val="21"/>
          <w:highlight w:val="yellow"/>
        </w:rPr>
        <w:t>达到或超过基金资产净值的0.25％时，基金管理公司应及时报告</w:t>
      </w:r>
      <w:r w:rsidR="009E5F2B">
        <w:rPr>
          <w:rFonts w:ascii="宋体" w:eastAsia="宋体" w:hAnsi="宋体" w:cs="宋体" w:hint="eastAsia"/>
          <w:b/>
          <w:color w:val="FF0000"/>
          <w:kern w:val="0"/>
          <w:szCs w:val="21"/>
          <w:highlight w:val="yellow"/>
        </w:rPr>
        <w:t>证监会</w:t>
      </w:r>
      <w:r w:rsidRPr="004C6C0F">
        <w:rPr>
          <w:rFonts w:ascii="宋体" w:eastAsia="宋体" w:hAnsi="宋体" w:cs="宋体"/>
          <w:b/>
          <w:color w:val="FF0000"/>
          <w:kern w:val="0"/>
          <w:szCs w:val="21"/>
          <w:highlight w:val="yellow"/>
        </w:rPr>
        <w:t>。</w:t>
      </w:r>
    </w:p>
    <w:p w:rsidR="004C6C0F" w:rsidRPr="004C6C0F" w:rsidRDefault="004C6C0F" w:rsidP="009E5F2B">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二）基金管理公司和托管银行在进行基金估值、计算或复核基金份额净值的过程中，未能遵循相关法律法规规定或基金合同约定，给基金财产或基金份额持有人造成损害的，应分别对各自行为依法承担赔偿责任；因共同行为给基金财产或基金份额持有人造成损害的，应承担连带赔偿责任。</w:t>
      </w:r>
    </w:p>
    <w:p w:rsidR="004C6C0F" w:rsidRPr="004C6C0F" w:rsidRDefault="004C6C0F" w:rsidP="008B604B">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特此通知。</w:t>
      </w:r>
    </w:p>
    <w:p w:rsidR="004C6C0F" w:rsidRPr="004C6C0F" w:rsidRDefault="004C6C0F" w:rsidP="008B604B">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附件：非公开发行有明确锁定期股票的公允价值的确定方法</w:t>
      </w:r>
    </w:p>
    <w:p w:rsidR="004C6C0F" w:rsidRPr="004C6C0F" w:rsidRDefault="004C6C0F" w:rsidP="008B604B">
      <w:pPr>
        <w:widowControl/>
        <w:shd w:val="clear" w:color="auto" w:fill="FFFFFF"/>
        <w:spacing w:line="360" w:lineRule="auto"/>
        <w:ind w:firstLineChars="200" w:firstLine="420"/>
        <w:jc w:val="left"/>
        <w:rPr>
          <w:rFonts w:ascii="inherit" w:eastAsia="宋体" w:hAnsi="inherit" w:cs="宋体"/>
          <w:color w:val="333333"/>
          <w:kern w:val="0"/>
          <w:szCs w:val="21"/>
        </w:rPr>
      </w:pPr>
      <w:r w:rsidRPr="004C6C0F">
        <w:rPr>
          <w:rFonts w:ascii="宋体" w:eastAsia="宋体" w:hAnsi="宋体" w:cs="宋体"/>
          <w:color w:val="333333"/>
          <w:kern w:val="0"/>
          <w:szCs w:val="21"/>
        </w:rPr>
        <w:t>附件：</w:t>
      </w:r>
    </w:p>
    <w:p w:rsidR="004C6C0F" w:rsidRPr="004C6C0F" w:rsidRDefault="004C6C0F" w:rsidP="008B604B">
      <w:pPr>
        <w:widowControl/>
        <w:shd w:val="clear" w:color="auto" w:fill="FFFFFF"/>
        <w:spacing w:line="360" w:lineRule="auto"/>
        <w:ind w:firstLineChars="200" w:firstLine="420"/>
        <w:jc w:val="left"/>
        <w:rPr>
          <w:rFonts w:ascii="inherit" w:eastAsia="宋体" w:hAnsi="inherit" w:cs="宋体"/>
          <w:color w:val="333333"/>
          <w:kern w:val="0"/>
          <w:szCs w:val="21"/>
        </w:rPr>
      </w:pPr>
      <w:bookmarkStart w:id="0" w:name="_GoBack"/>
      <w:bookmarkEnd w:id="0"/>
      <w:r w:rsidRPr="004C6C0F">
        <w:rPr>
          <w:rFonts w:ascii="宋体" w:eastAsia="宋体" w:hAnsi="宋体" w:cs="宋体"/>
          <w:color w:val="333333"/>
          <w:kern w:val="0"/>
          <w:szCs w:val="21"/>
        </w:rPr>
        <w:t>非公开发行有明确锁定期股票的公允价值</w:t>
      </w:r>
      <w:r w:rsidRPr="004C6C0F">
        <w:rPr>
          <w:rFonts w:ascii="宋体" w:eastAsia="宋体" w:hAnsi="宋体" w:cs="宋体"/>
          <w:color w:val="000000"/>
          <w:kern w:val="0"/>
          <w:szCs w:val="21"/>
        </w:rPr>
        <w:t>①</w:t>
      </w:r>
      <w:r w:rsidRPr="004C6C0F">
        <w:rPr>
          <w:rFonts w:ascii="宋体" w:eastAsia="宋体" w:hAnsi="宋体" w:cs="宋体"/>
          <w:color w:val="333333"/>
          <w:kern w:val="0"/>
          <w:szCs w:val="21"/>
        </w:rPr>
        <w:t>的确定方法</w:t>
      </w:r>
    </w:p>
    <w:p w:rsidR="004C6C0F" w:rsidRPr="004C6C0F" w:rsidRDefault="004C6C0F" w:rsidP="003710DE">
      <w:pPr>
        <w:widowControl/>
        <w:shd w:val="clear" w:color="auto" w:fill="FFFFFF"/>
        <w:spacing w:line="360" w:lineRule="auto"/>
        <w:jc w:val="left"/>
        <w:rPr>
          <w:rFonts w:ascii="inherit" w:eastAsia="宋体" w:hAnsi="inherit" w:cs="宋体"/>
          <w:color w:val="333333"/>
          <w:kern w:val="0"/>
          <w:szCs w:val="21"/>
        </w:rPr>
      </w:pPr>
      <w:r w:rsidRPr="004C6C0F">
        <w:rPr>
          <w:rFonts w:ascii="宋体" w:eastAsia="宋体" w:hAnsi="宋体" w:cs="宋体"/>
          <w:color w:val="333333"/>
          <w:kern w:val="0"/>
          <w:szCs w:val="21"/>
        </w:rPr>
        <w:t>（</w:t>
      </w:r>
      <w:r w:rsidRPr="004C6C0F">
        <w:rPr>
          <w:rFonts w:ascii="宋体" w:eastAsia="宋体" w:hAnsi="宋体" w:cs="宋体"/>
          <w:color w:val="000000"/>
          <w:kern w:val="0"/>
          <w:szCs w:val="21"/>
        </w:rPr>
        <w:t>①对2006年11月20日前已投资的非公开发行股票，按《关于进一步加强基金投资非公开发行股票风险控制有关问题的通知》（基金部通知〔2006〕37号）规定进行估值。）</w:t>
      </w:r>
    </w:p>
    <w:p w:rsidR="004C6C0F" w:rsidRPr="004C6C0F" w:rsidRDefault="004C6C0F" w:rsidP="003710DE">
      <w:pPr>
        <w:widowControl/>
        <w:shd w:val="clear" w:color="auto" w:fill="FFFFFF"/>
        <w:spacing w:line="360" w:lineRule="auto"/>
        <w:jc w:val="left"/>
        <w:rPr>
          <w:rFonts w:ascii="inherit" w:eastAsia="宋体" w:hAnsi="inherit" w:cs="宋体"/>
          <w:color w:val="333333"/>
          <w:kern w:val="0"/>
          <w:szCs w:val="21"/>
        </w:rPr>
      </w:pPr>
      <w:r w:rsidRPr="004C6C0F">
        <w:rPr>
          <w:rFonts w:ascii="宋体" w:eastAsia="宋体" w:hAnsi="宋体" w:cs="宋体"/>
          <w:color w:val="333333"/>
          <w:kern w:val="0"/>
          <w:szCs w:val="21"/>
        </w:rPr>
        <w:t>如果估值日非公开发行有明确锁定期的股票的初始取得成本高于在证券交易所上市交易的同一股票的市价，应采用在证券交易所上市交易的同一股票的市价作为估值日该股票的价值。</w:t>
      </w:r>
    </w:p>
    <w:p w:rsidR="004C6C0F" w:rsidRPr="004C6C0F" w:rsidRDefault="004C6C0F" w:rsidP="003710DE">
      <w:pPr>
        <w:widowControl/>
        <w:shd w:val="clear" w:color="auto" w:fill="FFFFFF"/>
        <w:spacing w:line="360" w:lineRule="auto"/>
        <w:jc w:val="left"/>
        <w:rPr>
          <w:rFonts w:ascii="inherit" w:eastAsia="宋体" w:hAnsi="inherit" w:cs="宋体"/>
          <w:color w:val="333333"/>
          <w:kern w:val="0"/>
          <w:szCs w:val="21"/>
        </w:rPr>
      </w:pPr>
      <w:r w:rsidRPr="004C6C0F">
        <w:rPr>
          <w:rFonts w:ascii="宋体" w:eastAsia="宋体" w:hAnsi="宋体" w:cs="宋体"/>
          <w:color w:val="333333"/>
          <w:kern w:val="0"/>
          <w:szCs w:val="21"/>
        </w:rPr>
        <w:t>如果估值日非公开发行有明确锁定期的股票的初始取得成本低于在证券交易所上市交易的同一股票的市价，应按以下公式确定该股票的价值：</w:t>
      </w:r>
    </w:p>
    <w:p w:rsidR="004C6C0F" w:rsidRPr="004C6C0F" w:rsidRDefault="004C6C0F" w:rsidP="003710DE">
      <w:pPr>
        <w:widowControl/>
        <w:shd w:val="clear" w:color="auto" w:fill="FFFFFF"/>
        <w:spacing w:line="360" w:lineRule="auto"/>
        <w:jc w:val="left"/>
        <w:rPr>
          <w:rFonts w:ascii="inherit" w:eastAsia="宋体" w:hAnsi="inherit" w:cs="宋体"/>
          <w:color w:val="333333"/>
          <w:kern w:val="0"/>
          <w:szCs w:val="21"/>
        </w:rPr>
      </w:pPr>
      <w:r w:rsidRPr="004C6C0F">
        <w:rPr>
          <w:rFonts w:ascii="宋体" w:eastAsia="宋体" w:hAnsi="宋体" w:cs="宋体"/>
          <w:color w:val="333333"/>
          <w:kern w:val="0"/>
          <w:szCs w:val="21"/>
        </w:rPr>
        <w:t>FV=C+(P-C)×(D1-Dr)／D1</w:t>
      </w:r>
    </w:p>
    <w:p w:rsidR="004C6C0F" w:rsidRPr="004C6C0F" w:rsidRDefault="004C6C0F" w:rsidP="003710DE">
      <w:pPr>
        <w:widowControl/>
        <w:shd w:val="clear" w:color="auto" w:fill="FFFFFF"/>
        <w:spacing w:line="360" w:lineRule="auto"/>
        <w:jc w:val="left"/>
        <w:rPr>
          <w:rFonts w:ascii="inherit" w:eastAsia="宋体" w:hAnsi="inherit" w:cs="宋体"/>
          <w:color w:val="333333"/>
          <w:kern w:val="0"/>
          <w:szCs w:val="21"/>
        </w:rPr>
      </w:pPr>
      <w:r w:rsidRPr="004C6C0F">
        <w:rPr>
          <w:rFonts w:ascii="宋体" w:eastAsia="宋体" w:hAnsi="宋体" w:cs="宋体"/>
          <w:color w:val="333333"/>
          <w:kern w:val="0"/>
          <w:szCs w:val="21"/>
        </w:rPr>
        <w:t>其中：</w:t>
      </w:r>
    </w:p>
    <w:p w:rsidR="004C6C0F" w:rsidRPr="004C6C0F" w:rsidRDefault="004C6C0F" w:rsidP="003710DE">
      <w:pPr>
        <w:widowControl/>
        <w:shd w:val="clear" w:color="auto" w:fill="FFFFFF"/>
        <w:spacing w:line="360" w:lineRule="auto"/>
        <w:jc w:val="left"/>
        <w:rPr>
          <w:rFonts w:ascii="inherit" w:eastAsia="宋体" w:hAnsi="inherit" w:cs="宋体"/>
          <w:color w:val="333333"/>
          <w:kern w:val="0"/>
          <w:szCs w:val="21"/>
        </w:rPr>
      </w:pPr>
      <w:r w:rsidRPr="004C6C0F">
        <w:rPr>
          <w:rFonts w:ascii="宋体" w:eastAsia="宋体" w:hAnsi="宋体" w:cs="宋体"/>
          <w:color w:val="333333"/>
          <w:kern w:val="0"/>
          <w:szCs w:val="21"/>
        </w:rPr>
        <w:t>FV为估值日该非公开发行有明确锁定期的股票的价值；</w:t>
      </w:r>
    </w:p>
    <w:p w:rsidR="004C6C0F" w:rsidRPr="004C6C0F" w:rsidRDefault="004C6C0F" w:rsidP="003710DE">
      <w:pPr>
        <w:widowControl/>
        <w:shd w:val="clear" w:color="auto" w:fill="FFFFFF"/>
        <w:spacing w:line="360" w:lineRule="auto"/>
        <w:jc w:val="left"/>
        <w:rPr>
          <w:rFonts w:ascii="inherit" w:eastAsia="宋体" w:hAnsi="inherit" w:cs="宋体"/>
          <w:color w:val="333333"/>
          <w:kern w:val="0"/>
          <w:szCs w:val="21"/>
        </w:rPr>
      </w:pPr>
      <w:r w:rsidRPr="004C6C0F">
        <w:rPr>
          <w:rFonts w:ascii="宋体" w:eastAsia="宋体" w:hAnsi="宋体" w:cs="宋体"/>
          <w:color w:val="333333"/>
          <w:kern w:val="0"/>
          <w:szCs w:val="21"/>
        </w:rPr>
        <w:t>C为该非公开发行有明确锁定期的股票的初始取得成本（因权益业务导致市场价格除权时，应于除权日对其初始取得成本作相应调整）；</w:t>
      </w:r>
    </w:p>
    <w:p w:rsidR="004C6C0F" w:rsidRPr="004C6C0F" w:rsidRDefault="004C6C0F" w:rsidP="003710DE">
      <w:pPr>
        <w:widowControl/>
        <w:shd w:val="clear" w:color="auto" w:fill="FFFFFF"/>
        <w:spacing w:line="360" w:lineRule="auto"/>
        <w:jc w:val="left"/>
        <w:rPr>
          <w:rFonts w:ascii="inherit" w:eastAsia="宋体" w:hAnsi="inherit" w:cs="宋体"/>
          <w:color w:val="333333"/>
          <w:kern w:val="0"/>
          <w:szCs w:val="21"/>
        </w:rPr>
      </w:pPr>
      <w:r w:rsidRPr="004C6C0F">
        <w:rPr>
          <w:rFonts w:ascii="宋体" w:eastAsia="宋体" w:hAnsi="宋体" w:cs="宋体"/>
          <w:color w:val="333333"/>
          <w:kern w:val="0"/>
          <w:szCs w:val="21"/>
        </w:rPr>
        <w:lastRenderedPageBreak/>
        <w:t>P为估值日在证券交易所上市交易的同一股票的市价；</w:t>
      </w:r>
    </w:p>
    <w:p w:rsidR="004C6C0F" w:rsidRPr="004C6C0F" w:rsidRDefault="004C6C0F" w:rsidP="003710DE">
      <w:pPr>
        <w:widowControl/>
        <w:shd w:val="clear" w:color="auto" w:fill="FFFFFF"/>
        <w:spacing w:line="360" w:lineRule="auto"/>
        <w:jc w:val="left"/>
        <w:rPr>
          <w:rFonts w:ascii="inherit" w:eastAsia="宋体" w:hAnsi="inherit" w:cs="宋体"/>
          <w:color w:val="333333"/>
          <w:kern w:val="0"/>
          <w:szCs w:val="21"/>
        </w:rPr>
      </w:pPr>
      <w:r w:rsidRPr="004C6C0F">
        <w:rPr>
          <w:rFonts w:ascii="宋体" w:eastAsia="宋体" w:hAnsi="宋体" w:cs="宋体"/>
          <w:color w:val="333333"/>
          <w:kern w:val="0"/>
          <w:szCs w:val="21"/>
        </w:rPr>
        <w:t>Dl为该非公开发行有明确锁定期的股票锁定期所含的交易所的交易天数；</w:t>
      </w:r>
    </w:p>
    <w:p w:rsidR="009D1EC7" w:rsidRPr="004C6C0F" w:rsidRDefault="004C6C0F" w:rsidP="003710DE">
      <w:pPr>
        <w:widowControl/>
        <w:shd w:val="clear" w:color="auto" w:fill="FFFFFF"/>
        <w:spacing w:line="360" w:lineRule="auto"/>
        <w:jc w:val="left"/>
      </w:pPr>
      <w:proofErr w:type="spellStart"/>
      <w:r w:rsidRPr="004C6C0F">
        <w:rPr>
          <w:rFonts w:ascii="宋体" w:eastAsia="宋体" w:hAnsi="宋体" w:cs="宋体"/>
          <w:color w:val="333333"/>
          <w:kern w:val="0"/>
          <w:szCs w:val="21"/>
        </w:rPr>
        <w:t>Dr</w:t>
      </w:r>
      <w:proofErr w:type="spellEnd"/>
      <w:r w:rsidRPr="004C6C0F">
        <w:rPr>
          <w:rFonts w:ascii="宋体" w:eastAsia="宋体" w:hAnsi="宋体" w:cs="宋体"/>
          <w:color w:val="333333"/>
          <w:kern w:val="0"/>
          <w:szCs w:val="21"/>
        </w:rPr>
        <w:t>为估值日剩余锁定期，即估值日至锁定期结束所含的交易所的交易天数（不含估值日当天）。</w:t>
      </w:r>
    </w:p>
    <w:sectPr w:rsidR="009D1EC7" w:rsidRPr="004C6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0F"/>
    <w:rsid w:val="003710DE"/>
    <w:rsid w:val="003A53F9"/>
    <w:rsid w:val="0048212A"/>
    <w:rsid w:val="004C6C0F"/>
    <w:rsid w:val="00606FD6"/>
    <w:rsid w:val="007A7FDB"/>
    <w:rsid w:val="008B604B"/>
    <w:rsid w:val="009D1EC7"/>
    <w:rsid w:val="009E5F2B"/>
    <w:rsid w:val="00C0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17346">
      <w:bodyDiv w:val="1"/>
      <w:marLeft w:val="0"/>
      <w:marRight w:val="0"/>
      <w:marTop w:val="0"/>
      <w:marBottom w:val="0"/>
      <w:divBdr>
        <w:top w:val="none" w:sz="0" w:space="0" w:color="auto"/>
        <w:left w:val="none" w:sz="0" w:space="0" w:color="auto"/>
        <w:bottom w:val="none" w:sz="0" w:space="0" w:color="auto"/>
        <w:right w:val="none" w:sz="0" w:space="0" w:color="auto"/>
      </w:divBdr>
      <w:divsChild>
        <w:div w:id="868491503">
          <w:marLeft w:val="0"/>
          <w:marRight w:val="0"/>
          <w:marTop w:val="0"/>
          <w:marBottom w:val="0"/>
          <w:divBdr>
            <w:top w:val="none" w:sz="0" w:space="0" w:color="auto"/>
            <w:left w:val="none" w:sz="0" w:space="0" w:color="auto"/>
            <w:bottom w:val="none" w:sz="0" w:space="0" w:color="auto"/>
            <w:right w:val="none" w:sz="0" w:space="0" w:color="auto"/>
          </w:divBdr>
          <w:divsChild>
            <w:div w:id="1598710522">
              <w:marLeft w:val="0"/>
              <w:marRight w:val="0"/>
              <w:marTop w:val="0"/>
              <w:marBottom w:val="0"/>
              <w:divBdr>
                <w:top w:val="none" w:sz="0" w:space="0" w:color="auto"/>
                <w:left w:val="none" w:sz="0" w:space="0" w:color="auto"/>
                <w:bottom w:val="none" w:sz="0" w:space="0" w:color="auto"/>
                <w:right w:val="none" w:sz="0" w:space="0" w:color="auto"/>
              </w:divBdr>
              <w:divsChild>
                <w:div w:id="924146570">
                  <w:marLeft w:val="105"/>
                  <w:marRight w:val="105"/>
                  <w:marTop w:val="0"/>
                  <w:marBottom w:val="0"/>
                  <w:divBdr>
                    <w:top w:val="none" w:sz="0" w:space="0" w:color="auto"/>
                    <w:left w:val="none" w:sz="0" w:space="0" w:color="auto"/>
                    <w:bottom w:val="none" w:sz="0" w:space="0" w:color="auto"/>
                    <w:right w:val="none" w:sz="0" w:space="0" w:color="auto"/>
                  </w:divBdr>
                  <w:divsChild>
                    <w:div w:id="825243687">
                      <w:marLeft w:val="0"/>
                      <w:marRight w:val="0"/>
                      <w:marTop w:val="0"/>
                      <w:marBottom w:val="0"/>
                      <w:divBdr>
                        <w:top w:val="none" w:sz="0" w:space="0" w:color="auto"/>
                        <w:left w:val="none" w:sz="0" w:space="0" w:color="auto"/>
                        <w:bottom w:val="none" w:sz="0" w:space="0" w:color="auto"/>
                        <w:right w:val="none" w:sz="0" w:space="0" w:color="auto"/>
                      </w:divBdr>
                      <w:divsChild>
                        <w:div w:id="845679069">
                          <w:marLeft w:val="0"/>
                          <w:marRight w:val="0"/>
                          <w:marTop w:val="0"/>
                          <w:marBottom w:val="0"/>
                          <w:divBdr>
                            <w:top w:val="none" w:sz="0" w:space="0" w:color="auto"/>
                            <w:left w:val="none" w:sz="0" w:space="0" w:color="auto"/>
                            <w:bottom w:val="single" w:sz="12" w:space="11" w:color="CCCCCC"/>
                            <w:right w:val="none" w:sz="0" w:space="0" w:color="auto"/>
                          </w:divBdr>
                        </w:div>
                        <w:div w:id="1843811973">
                          <w:marLeft w:val="0"/>
                          <w:marRight w:val="0"/>
                          <w:marTop w:val="0"/>
                          <w:marBottom w:val="300"/>
                          <w:divBdr>
                            <w:top w:val="none" w:sz="0" w:space="0" w:color="auto"/>
                            <w:left w:val="none" w:sz="0" w:space="0" w:color="auto"/>
                            <w:bottom w:val="none" w:sz="0" w:space="0" w:color="auto"/>
                            <w:right w:val="none" w:sz="0" w:space="0" w:color="auto"/>
                          </w:divBdr>
                        </w:div>
                        <w:div w:id="12265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2016-03-19T14:14:00Z</dcterms:created>
  <dcterms:modified xsi:type="dcterms:W3CDTF">2016-03-19T14:57:00Z</dcterms:modified>
</cp:coreProperties>
</file>