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40A" w:rsidRPr="0093140A" w:rsidRDefault="0093140A" w:rsidP="00D91679">
      <w:pPr>
        <w:pStyle w:val="2"/>
        <w:spacing w:before="0" w:after="0" w:line="360" w:lineRule="auto"/>
        <w:jc w:val="center"/>
        <w:rPr>
          <w:rFonts w:ascii="微软雅黑" w:eastAsia="微软雅黑"/>
          <w:szCs w:val="21"/>
        </w:rPr>
      </w:pPr>
      <w:r w:rsidRPr="0093140A">
        <w:rPr>
          <w:rFonts w:hint="eastAsia"/>
        </w:rPr>
        <w:t>沪市股票上网发行资金申购实施办法</w:t>
      </w:r>
    </w:p>
    <w:p w:rsidR="0093140A" w:rsidRPr="00D91679" w:rsidRDefault="0093140A" w:rsidP="00D91679">
      <w:pPr>
        <w:widowControl/>
        <w:shd w:val="clear" w:color="auto" w:fill="FFFFFF"/>
        <w:spacing w:line="360" w:lineRule="auto"/>
        <w:jc w:val="center"/>
        <w:rPr>
          <w:rFonts w:asciiTheme="minorEastAsia" w:hAnsiTheme="minorEastAsia" w:cs="宋体"/>
          <w:color w:val="000000" w:themeColor="text1"/>
          <w:kern w:val="0"/>
          <w:szCs w:val="21"/>
        </w:rPr>
      </w:pPr>
      <w:r w:rsidRPr="00D91679">
        <w:rPr>
          <w:rFonts w:asciiTheme="minorEastAsia" w:hAnsiTheme="minorEastAsia" w:cs="宋体" w:hint="eastAsia"/>
          <w:b/>
          <w:bCs/>
          <w:color w:val="000000" w:themeColor="text1"/>
          <w:kern w:val="0"/>
          <w:szCs w:val="21"/>
        </w:rPr>
        <w:t>（修订稿）</w:t>
      </w:r>
    </w:p>
    <w:p w:rsidR="0093140A" w:rsidRPr="00D91679" w:rsidRDefault="0093140A" w:rsidP="00D91679">
      <w:pPr>
        <w:widowControl/>
        <w:shd w:val="clear" w:color="auto" w:fill="FFFFFF"/>
        <w:spacing w:line="360" w:lineRule="auto"/>
        <w:ind w:firstLine="600"/>
        <w:jc w:val="left"/>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一、为了规范采用资金申购方式上网公开发行股票的有关行为，特制定本办法。</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股份公司通过上海证券交易所（以下简称“上交所”）交易系统采用上网资金申购方式公开发行股票，适用本办法。</w:t>
      </w:r>
    </w:p>
    <w:p w:rsidR="0093140A" w:rsidRPr="00D91679" w:rsidRDefault="0093140A" w:rsidP="00D91679">
      <w:pPr>
        <w:widowControl/>
        <w:shd w:val="clear" w:color="auto" w:fill="FFFFFF"/>
        <w:spacing w:line="360" w:lineRule="auto"/>
        <w:ind w:firstLine="600"/>
        <w:jc w:val="left"/>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二、上网资金申购的基本规定</w:t>
      </w:r>
    </w:p>
    <w:p w:rsidR="0093140A" w:rsidRPr="00D91679" w:rsidRDefault="0093140A" w:rsidP="00D91679">
      <w:pPr>
        <w:widowControl/>
        <w:shd w:val="clear" w:color="auto" w:fill="FFFFFF"/>
        <w:spacing w:line="360" w:lineRule="auto"/>
        <w:ind w:firstLine="600"/>
        <w:jc w:val="left"/>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（一）申购时间</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沪市投资者可以使用所持上海证券账户在申购日（以下简称“T日”）向上交所申购在上交所发行的新股，申购时间为T日9:30-11:30，13:00-15:00。</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（二）申购单位及上限</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每一申购单位为1000股，申购数量不少于1000股，超过1000股的必须是1000股的整数</w:t>
      </w:r>
      <w:proofErr w:type="gramStart"/>
      <w:r w:rsidRPr="00D91679">
        <w:rPr>
          <w:rFonts w:asciiTheme="minorEastAsia" w:hAnsiTheme="minorEastAsia" w:cs="宋体" w:hint="eastAsia"/>
          <w:color w:val="000000" w:themeColor="text1"/>
          <w:kern w:val="0"/>
          <w:szCs w:val="21"/>
        </w:rPr>
        <w:t>倍</w:t>
      </w:r>
      <w:proofErr w:type="gramEnd"/>
      <w:r w:rsidRPr="00D91679">
        <w:rPr>
          <w:rFonts w:asciiTheme="minorEastAsia" w:hAnsiTheme="minorEastAsia" w:cs="宋体" w:hint="eastAsia"/>
          <w:color w:val="000000" w:themeColor="text1"/>
          <w:kern w:val="0"/>
          <w:szCs w:val="21"/>
        </w:rPr>
        <w:t>，但</w:t>
      </w:r>
      <w:r w:rsidRPr="00D91679">
        <w:rPr>
          <w:rFonts w:asciiTheme="minorEastAsia" w:hAnsiTheme="minorEastAsia" w:cs="宋体" w:hint="eastAsia"/>
          <w:b/>
          <w:color w:val="FF0000"/>
          <w:kern w:val="0"/>
          <w:szCs w:val="21"/>
        </w:rPr>
        <w:t>最高不得超过当次社会公众股上网发行总量的千分之一</w:t>
      </w:r>
      <w:r w:rsidRPr="00D91679">
        <w:rPr>
          <w:rFonts w:asciiTheme="minorEastAsia" w:hAnsiTheme="minorEastAsia" w:cs="宋体" w:hint="eastAsia"/>
          <w:color w:val="000000" w:themeColor="text1"/>
          <w:kern w:val="0"/>
          <w:szCs w:val="21"/>
        </w:rPr>
        <w:t>，</w:t>
      </w:r>
      <w:r w:rsidRPr="00D91679">
        <w:rPr>
          <w:rFonts w:asciiTheme="minorEastAsia" w:hAnsiTheme="minorEastAsia" w:cs="宋体" w:hint="eastAsia"/>
          <w:b/>
          <w:color w:val="FF0000"/>
          <w:kern w:val="0"/>
          <w:szCs w:val="21"/>
        </w:rPr>
        <w:t>且不得超过9999.9万股。</w:t>
      </w:r>
    </w:p>
    <w:p w:rsidR="0093140A" w:rsidRPr="00D91679" w:rsidRDefault="0093140A" w:rsidP="00D91679">
      <w:pPr>
        <w:widowControl/>
        <w:shd w:val="clear" w:color="auto" w:fill="FFFFFF"/>
        <w:spacing w:line="360" w:lineRule="auto"/>
        <w:ind w:firstLine="600"/>
        <w:rPr>
          <w:rFonts w:asciiTheme="minorEastAsia" w:hAnsiTheme="minorEastAsia" w:cs="宋体"/>
          <w:b/>
          <w:color w:val="FF0000"/>
          <w:kern w:val="0"/>
          <w:szCs w:val="21"/>
        </w:rPr>
      </w:pPr>
      <w:r w:rsidRPr="00D91679">
        <w:rPr>
          <w:rFonts w:asciiTheme="minorEastAsia" w:hAnsiTheme="minorEastAsia" w:cs="宋体" w:hint="eastAsia"/>
          <w:color w:val="000000" w:themeColor="text1"/>
          <w:kern w:val="0"/>
          <w:szCs w:val="21"/>
        </w:rPr>
        <w:t>投资者参与网上公开发行股票的申购，</w:t>
      </w:r>
      <w:r w:rsidRPr="00D91679">
        <w:rPr>
          <w:rFonts w:asciiTheme="minorEastAsia" w:hAnsiTheme="minorEastAsia" w:cs="宋体" w:hint="eastAsia"/>
          <w:color w:val="FF0000"/>
          <w:kern w:val="0"/>
          <w:szCs w:val="21"/>
        </w:rPr>
        <w:t>只能使用一个证券账户</w:t>
      </w:r>
      <w:r w:rsidRPr="00D91679">
        <w:rPr>
          <w:rFonts w:asciiTheme="minorEastAsia" w:hAnsiTheme="minorEastAsia" w:cs="宋体" w:hint="eastAsia"/>
          <w:color w:val="000000" w:themeColor="text1"/>
          <w:kern w:val="0"/>
          <w:szCs w:val="21"/>
        </w:rPr>
        <w:t>。证券账户注册资料中“账户持有人名称”相同且“有效身份证明文件号码”相同的多个证券账户（以T-1日账户注册资料为准）参与同一只新股申购的，以及同一证券账户多次参与同一只新股申购的，</w:t>
      </w:r>
      <w:r w:rsidRPr="00D91679">
        <w:rPr>
          <w:rFonts w:asciiTheme="minorEastAsia" w:hAnsiTheme="minorEastAsia" w:cs="宋体" w:hint="eastAsia"/>
          <w:b/>
          <w:color w:val="FF0000"/>
          <w:kern w:val="0"/>
          <w:szCs w:val="21"/>
        </w:rPr>
        <w:t>以第一笔申购为有效申购，其余申购均为无效申购。</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证券公司客户定向资产管理专用证券账户以及指定交易在不同证券公司的企业年金账户可按现有开立账户参与申购。</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（三）申购配号</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申购委托前，投资者应把申购款全额存入与上交所联网的证券营业部指定的资金账户。上网申购期内，投资者按委托买入股票的方式，以发行价格填写委托单</w:t>
      </w:r>
      <w:r w:rsidRPr="00D91679">
        <w:rPr>
          <w:rFonts w:asciiTheme="minorEastAsia" w:hAnsiTheme="minorEastAsia" w:cs="宋体" w:hint="eastAsia"/>
          <w:b/>
          <w:color w:val="000000" w:themeColor="text1"/>
          <w:kern w:val="0"/>
          <w:szCs w:val="21"/>
        </w:rPr>
        <w:t>。</w:t>
      </w:r>
      <w:r w:rsidRPr="00D91679">
        <w:rPr>
          <w:rFonts w:asciiTheme="minorEastAsia" w:hAnsiTheme="minorEastAsia" w:cs="宋体" w:hint="eastAsia"/>
          <w:b/>
          <w:color w:val="FF0000"/>
          <w:kern w:val="0"/>
          <w:szCs w:val="21"/>
        </w:rPr>
        <w:t>一经申报，不得撤单</w:t>
      </w:r>
      <w:r w:rsidRPr="00D91679">
        <w:rPr>
          <w:rFonts w:asciiTheme="minorEastAsia" w:hAnsiTheme="minorEastAsia" w:cs="宋体" w:hint="eastAsia"/>
          <w:b/>
          <w:color w:val="000000" w:themeColor="text1"/>
          <w:kern w:val="0"/>
          <w:szCs w:val="21"/>
        </w:rPr>
        <w:t>。</w:t>
      </w:r>
      <w:r w:rsidRPr="00D91679">
        <w:rPr>
          <w:rFonts w:asciiTheme="minorEastAsia" w:hAnsiTheme="minorEastAsia" w:cs="宋体" w:hint="eastAsia"/>
          <w:color w:val="000000" w:themeColor="text1"/>
          <w:kern w:val="0"/>
          <w:szCs w:val="21"/>
        </w:rPr>
        <w:t>申购配号根据实际有效申购进行，每一有效申购单位配一个号，对所有有效申购单位按时间顺序连续配号。</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（四）资金交收及透支申购的处理</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中国证券登记结算有限责任公司上海分公司（以下简称“中国结算上海分公司”）负责申购资金的结算。</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lastRenderedPageBreak/>
        <w:t>结算参与人应使用其在中国结算上海分公司开立的结算备付金账户完成新股申购的资金交收，并应保证该结算备付金账户在T+1日16时有足额资金用于新股申购的资金交收。中国结算上海分公司对新股申购的资金交收不提供交收担保。</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如结算参与人</w:t>
      </w:r>
      <w:r w:rsidRPr="00D91679">
        <w:rPr>
          <w:rFonts w:asciiTheme="minorEastAsia" w:hAnsiTheme="minorEastAsia" w:cs="宋体" w:hint="eastAsia"/>
          <w:b/>
          <w:color w:val="FF0000"/>
          <w:kern w:val="0"/>
          <w:szCs w:val="21"/>
        </w:rPr>
        <w:t>在T+1日16时资金不足以完成申购新股的资金交收，则资金不足部分确认为无效申购，</w:t>
      </w:r>
      <w:r w:rsidRPr="00D91679">
        <w:rPr>
          <w:rFonts w:asciiTheme="minorEastAsia" w:hAnsiTheme="minorEastAsia" w:cs="宋体" w:hint="eastAsia"/>
          <w:color w:val="000000" w:themeColor="text1"/>
          <w:kern w:val="0"/>
          <w:szCs w:val="21"/>
        </w:rPr>
        <w:t>由中国结算上海分公司配合上交所指定的具备资格的会计师事务所对申购资金进行验资，并由会计师事务所出具验资报告，上交所以实际到位资金作为有效申购进行配号。具体办法如下：</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会员单位在T+1日16时前将资金不实的申购账号及其对应交易单元告知上交所，其上报的资金不实申购总额须与透支总额相等的，T+2日由上交所根据会计师事务所的验资结果并核实会员单位上报情况后，逐一确认上述账号的申购为无效申购。如会员单位未在规定时间内将资金不实的账号告知上交所，T+2日，上交所根据会计师事务所的验资情况，选取该会员单位所属交易单元中资金申购量最大的交易单元，按照申购时间的先后顺序，从最晚申购的账号开始，依次确认无效申购，直至该会员的申购总量与实际到位资金相符；如该会员申购不足金额超过该交易单元申购总量，则该交易单元所有申购均确认为无效申购，同时按照资金申购量从大到小的顺序选择该会员所属其他交易单元，依前述方法确认无效申购。由此产生的一切法律责任，由会员单位承担。</w:t>
      </w:r>
    </w:p>
    <w:p w:rsidR="0093140A" w:rsidRPr="00D91679" w:rsidRDefault="0093140A" w:rsidP="00D91679">
      <w:pPr>
        <w:widowControl/>
        <w:shd w:val="clear" w:color="auto" w:fill="FFFFFF"/>
        <w:spacing w:line="360" w:lineRule="auto"/>
        <w:ind w:firstLine="600"/>
        <w:jc w:val="left"/>
        <w:rPr>
          <w:rFonts w:asciiTheme="minorEastAsia" w:hAnsiTheme="minorEastAsia" w:cs="宋体"/>
          <w:color w:val="000000" w:themeColor="text1"/>
          <w:kern w:val="0"/>
          <w:szCs w:val="21"/>
        </w:rPr>
      </w:pPr>
      <w:bookmarkStart w:id="0" w:name="4"/>
      <w:bookmarkEnd w:id="0"/>
      <w:r w:rsidRPr="00D91679">
        <w:rPr>
          <w:rFonts w:asciiTheme="minorEastAsia" w:hAnsiTheme="minorEastAsia" w:cs="宋体" w:hint="eastAsia"/>
          <w:color w:val="000000" w:themeColor="text1"/>
          <w:kern w:val="0"/>
          <w:szCs w:val="21"/>
        </w:rPr>
        <w:t>三、上网发行资金申购流程</w:t>
      </w:r>
    </w:p>
    <w:p w:rsidR="0093140A" w:rsidRPr="00D91679" w:rsidRDefault="0093140A" w:rsidP="00D91679">
      <w:pPr>
        <w:widowControl/>
        <w:shd w:val="clear" w:color="auto" w:fill="FFFFFF"/>
        <w:spacing w:line="360" w:lineRule="auto"/>
        <w:ind w:firstLine="48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（一）投资者申购</w:t>
      </w:r>
    </w:p>
    <w:p w:rsidR="0093140A" w:rsidRPr="00D91679" w:rsidRDefault="0093140A" w:rsidP="00D91679">
      <w:pPr>
        <w:widowControl/>
        <w:shd w:val="clear" w:color="auto" w:fill="FFFFFF"/>
        <w:spacing w:line="360" w:lineRule="auto"/>
        <w:ind w:firstLine="600"/>
        <w:rPr>
          <w:rFonts w:asciiTheme="minorEastAsia" w:hAnsiTheme="minorEastAsia" w:cs="宋体"/>
          <w:b/>
          <w:color w:val="FF0000"/>
          <w:kern w:val="0"/>
          <w:szCs w:val="21"/>
        </w:rPr>
      </w:pPr>
      <w:r w:rsidRPr="00D91679">
        <w:rPr>
          <w:rFonts w:asciiTheme="minorEastAsia" w:hAnsiTheme="minorEastAsia" w:cs="宋体" w:hint="eastAsia"/>
          <w:b/>
          <w:color w:val="FF0000"/>
          <w:kern w:val="0"/>
          <w:szCs w:val="21"/>
        </w:rPr>
        <w:t>T日</w:t>
      </w:r>
      <w:r w:rsidRPr="00D91679">
        <w:rPr>
          <w:rFonts w:asciiTheme="minorEastAsia" w:hAnsiTheme="minorEastAsia" w:cs="宋体" w:hint="eastAsia"/>
          <w:color w:val="000000" w:themeColor="text1"/>
          <w:kern w:val="0"/>
          <w:szCs w:val="21"/>
        </w:rPr>
        <w:t>，投资者在申购时间内通过在上交所办理指定交易的证券营业部，根据发行人发行公告规定的发行价格和申购数量缴足申购款，</w:t>
      </w:r>
      <w:r w:rsidRPr="00D91679">
        <w:rPr>
          <w:rFonts w:asciiTheme="minorEastAsia" w:hAnsiTheme="minorEastAsia" w:cs="宋体" w:hint="eastAsia"/>
          <w:b/>
          <w:color w:val="FF0000"/>
          <w:kern w:val="0"/>
          <w:szCs w:val="21"/>
        </w:rPr>
        <w:t>进行申购委托。</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已开立资金账户但没有足够资金的投资者，必须在申购日之前（含该日），根据自己的申购量存入足额的申购资金；尚未开立资金账户的投资者，必须在申购日之前（含该日）在上交所办理指定交易的证券营业部开立资金账户，并根据申购量存入足额的申购资金。</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（二）资金冻结</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T+1日，由中国结算上海分公司将到位申购资金冻结。确因银行汇</w:t>
      </w:r>
      <w:proofErr w:type="gramStart"/>
      <w:r w:rsidRPr="00D91679">
        <w:rPr>
          <w:rFonts w:asciiTheme="minorEastAsia" w:hAnsiTheme="minorEastAsia" w:cs="宋体" w:hint="eastAsia"/>
          <w:color w:val="000000" w:themeColor="text1"/>
          <w:kern w:val="0"/>
          <w:szCs w:val="21"/>
        </w:rPr>
        <w:t>划原因</w:t>
      </w:r>
      <w:proofErr w:type="gramEnd"/>
      <w:r w:rsidRPr="00D91679">
        <w:rPr>
          <w:rFonts w:asciiTheme="minorEastAsia" w:hAnsiTheme="minorEastAsia" w:cs="宋体" w:hint="eastAsia"/>
          <w:color w:val="000000" w:themeColor="text1"/>
          <w:kern w:val="0"/>
          <w:szCs w:val="21"/>
        </w:rPr>
        <w:t>而造成申购资金不能及时入账的，应由结算参与人在T+1日提供划款银行的有效划款凭证，并确保T+2日上午申购资金入账及结算备付金账户余额能满足申购资金的扣收，同时应缴纳一天申购资金应冻结利息。</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（三）验资及配号</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lastRenderedPageBreak/>
        <w:t>T+2日，中国结算上海分公司配合上交所指定的具备资格的会计师事务所对申购资金进行验资，并由会计师事务所出具验资报告，以实际到位资金作为有效申购。发行人应当向负责申购资金验资的会计师事务所支付</w:t>
      </w:r>
      <w:proofErr w:type="gramStart"/>
      <w:r w:rsidRPr="00D91679">
        <w:rPr>
          <w:rFonts w:asciiTheme="minorEastAsia" w:hAnsiTheme="minorEastAsia" w:cs="宋体" w:hint="eastAsia"/>
          <w:color w:val="000000" w:themeColor="text1"/>
          <w:kern w:val="0"/>
          <w:szCs w:val="21"/>
        </w:rPr>
        <w:t>验</w:t>
      </w:r>
      <w:proofErr w:type="gramEnd"/>
      <w:r w:rsidRPr="00D91679">
        <w:rPr>
          <w:rFonts w:asciiTheme="minorEastAsia" w:hAnsiTheme="minorEastAsia" w:cs="宋体" w:hint="eastAsia"/>
          <w:color w:val="000000" w:themeColor="text1"/>
          <w:kern w:val="0"/>
          <w:szCs w:val="21"/>
        </w:rPr>
        <w:t>资费用。</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无效申购确认完毕后，上交所将根据最终的有效申购总量，按以下办法配售新股：</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1、</w:t>
      </w:r>
      <w:proofErr w:type="gramStart"/>
      <w:r w:rsidRPr="00D91679">
        <w:rPr>
          <w:rFonts w:asciiTheme="minorEastAsia" w:hAnsiTheme="minorEastAsia" w:cs="宋体" w:hint="eastAsia"/>
          <w:color w:val="000000" w:themeColor="text1"/>
          <w:kern w:val="0"/>
          <w:szCs w:val="21"/>
        </w:rPr>
        <w:t>当有效</w:t>
      </w:r>
      <w:proofErr w:type="gramEnd"/>
      <w:r w:rsidRPr="00D91679">
        <w:rPr>
          <w:rFonts w:asciiTheme="minorEastAsia" w:hAnsiTheme="minorEastAsia" w:cs="宋体" w:hint="eastAsia"/>
          <w:color w:val="000000" w:themeColor="text1"/>
          <w:kern w:val="0"/>
          <w:szCs w:val="21"/>
        </w:rPr>
        <w:t>申购总量等于该次股票上网发行量时，投资者按其有效申购量认购股票。</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2、</w:t>
      </w:r>
      <w:proofErr w:type="gramStart"/>
      <w:r w:rsidRPr="00D91679">
        <w:rPr>
          <w:rFonts w:asciiTheme="minorEastAsia" w:hAnsiTheme="minorEastAsia" w:cs="宋体" w:hint="eastAsia"/>
          <w:color w:val="000000" w:themeColor="text1"/>
          <w:kern w:val="0"/>
          <w:szCs w:val="21"/>
        </w:rPr>
        <w:t>当有效</w:t>
      </w:r>
      <w:proofErr w:type="gramEnd"/>
      <w:r w:rsidRPr="00D91679">
        <w:rPr>
          <w:rFonts w:asciiTheme="minorEastAsia" w:hAnsiTheme="minorEastAsia" w:cs="宋体" w:hint="eastAsia"/>
          <w:color w:val="000000" w:themeColor="text1"/>
          <w:kern w:val="0"/>
          <w:szCs w:val="21"/>
        </w:rPr>
        <w:t>申购总量小于该次股票上网发行量时，投资者按其有效申购量认购股票后，余额部分按承销协议办理。</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3、</w:t>
      </w:r>
      <w:proofErr w:type="gramStart"/>
      <w:r w:rsidRPr="00D91679">
        <w:rPr>
          <w:rFonts w:asciiTheme="minorEastAsia" w:hAnsiTheme="minorEastAsia" w:cs="宋体" w:hint="eastAsia"/>
          <w:color w:val="000000" w:themeColor="text1"/>
          <w:kern w:val="0"/>
          <w:szCs w:val="21"/>
        </w:rPr>
        <w:t>当有效</w:t>
      </w:r>
      <w:proofErr w:type="gramEnd"/>
      <w:r w:rsidRPr="00D91679">
        <w:rPr>
          <w:rFonts w:asciiTheme="minorEastAsia" w:hAnsiTheme="minorEastAsia" w:cs="宋体" w:hint="eastAsia"/>
          <w:color w:val="000000" w:themeColor="text1"/>
          <w:kern w:val="0"/>
          <w:szCs w:val="21"/>
        </w:rPr>
        <w:t>申购总量大于该次股票发行量时，上交所按照每1000股配一个号的规则，由交易主机自动对有效申购进行统一连续配号，并通过卫星网络公布中签率。</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（四）摇号抽签</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主承销商于T+3日公布中签率，并根据总配号量和中签</w:t>
      </w:r>
      <w:proofErr w:type="gramStart"/>
      <w:r w:rsidRPr="00D91679">
        <w:rPr>
          <w:rFonts w:asciiTheme="minorEastAsia" w:hAnsiTheme="minorEastAsia" w:cs="宋体" w:hint="eastAsia"/>
          <w:color w:val="000000" w:themeColor="text1"/>
          <w:kern w:val="0"/>
          <w:szCs w:val="21"/>
        </w:rPr>
        <w:t>率组织</w:t>
      </w:r>
      <w:proofErr w:type="gramEnd"/>
      <w:r w:rsidRPr="00D91679">
        <w:rPr>
          <w:rFonts w:asciiTheme="minorEastAsia" w:hAnsiTheme="minorEastAsia" w:cs="宋体" w:hint="eastAsia"/>
          <w:color w:val="000000" w:themeColor="text1"/>
          <w:kern w:val="0"/>
          <w:szCs w:val="21"/>
        </w:rPr>
        <w:t>摇号抽签，于T+4日公布中签结果。每一个中签号可认购1000股新股。证券营业部应于T+4日在显著位置公布摇号中签结果。</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（五）中签处理</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中国结算上海分公司于T+3日根据中签结果进行新股认购中签清算，并于当日收市后向各参与申购的结算参与人发送中签数据。</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（六）资金解冻</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b/>
          <w:color w:val="FF0000"/>
          <w:kern w:val="0"/>
          <w:szCs w:val="21"/>
        </w:rPr>
        <w:t>T+4日，对未中签部分的申购款予以解冻。</w:t>
      </w:r>
      <w:r w:rsidRPr="00D91679">
        <w:rPr>
          <w:rFonts w:asciiTheme="minorEastAsia" w:hAnsiTheme="minorEastAsia" w:cs="宋体" w:hint="eastAsia"/>
          <w:color w:val="000000" w:themeColor="text1"/>
          <w:kern w:val="0"/>
          <w:szCs w:val="21"/>
        </w:rPr>
        <w:t>新股认购款由主承销商通过其开立在中国结算上海分公司的结算备付金账户自行划出至其指定的预留银行收款账户。</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中国结算上海分公司将申购期内集中冻结所有投资者申购资金的利息按相关规定办理划转事宜。</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（七）发行结束</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T+4日后，主承销商依据承销协议将新股认购款扣除承销费用后划转到发行人指定的银行账户。</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（八）缩短一个交易日的资金申购流程</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b/>
          <w:color w:val="FF0000"/>
          <w:kern w:val="0"/>
          <w:szCs w:val="21"/>
        </w:rPr>
        <w:t>沪市上网发行资金申购的时间一般为四个交易日，根据发行人和主承销商的申请，沪市上网发行资金申购的时间可以缩短一个交易日，</w:t>
      </w:r>
      <w:r w:rsidRPr="00D91679">
        <w:rPr>
          <w:rFonts w:asciiTheme="minorEastAsia" w:hAnsiTheme="minorEastAsia" w:cs="宋体" w:hint="eastAsia"/>
          <w:color w:val="000000" w:themeColor="text1"/>
          <w:kern w:val="0"/>
          <w:szCs w:val="21"/>
        </w:rPr>
        <w:t>申购流程如下：</w:t>
      </w:r>
    </w:p>
    <w:p w:rsidR="0093140A" w:rsidRPr="00D91679" w:rsidRDefault="0093140A" w:rsidP="00D91679">
      <w:pPr>
        <w:widowControl/>
        <w:shd w:val="clear" w:color="auto" w:fill="FFFFFF"/>
        <w:spacing w:line="360" w:lineRule="auto"/>
        <w:ind w:firstLine="63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1、投资者申购（T日）</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申购当日（T日）按《发行公告》和申购办法等规定进行申购。</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2、资金冻结、验资及配号（T+1日）</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lastRenderedPageBreak/>
        <w:t>T+1日，由中国结算上海分公司将申购资金冻结。T+1日16时前，申购资金需全部到位，中国结算上海分公司配合上交所指定的具备资格的会计师事务所对申购资金进行验资，并由会计师事务所出具验资报告，上交所以实际到位资金作为有效申购进行配号。</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3、摇号抽签、中签处理（T+2日）</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T+2日，公布确定的发行价格和中签率，并按相关规定进行摇号抽签、中签处理。 </w:t>
      </w:r>
      <w:r w:rsidRPr="00D91679">
        <w:rPr>
          <w:rFonts w:asciiTheme="minorEastAsia" w:hAnsiTheme="minorEastAsia" w:cs="宋体" w:hint="eastAsia"/>
          <w:color w:val="000000" w:themeColor="text1"/>
          <w:kern w:val="0"/>
          <w:szCs w:val="21"/>
        </w:rPr>
        <w:br/>
        <w:t>4、资金解冻（T+3日） </w:t>
      </w:r>
      <w:r w:rsidRPr="00D91679">
        <w:rPr>
          <w:rFonts w:asciiTheme="minorEastAsia" w:hAnsiTheme="minorEastAsia" w:cs="宋体" w:hint="eastAsia"/>
          <w:color w:val="000000" w:themeColor="text1"/>
          <w:kern w:val="0"/>
          <w:szCs w:val="21"/>
        </w:rPr>
        <w:br/>
        <w:t>T+3日，公布中签结果，并按相关规定进行资金解冻和新股认购款划付。</w:t>
      </w:r>
    </w:p>
    <w:p w:rsidR="0093140A" w:rsidRPr="00D91679" w:rsidRDefault="0093140A" w:rsidP="00D91679">
      <w:pPr>
        <w:widowControl/>
        <w:shd w:val="clear" w:color="auto" w:fill="FFFFFF"/>
        <w:spacing w:line="360" w:lineRule="auto"/>
        <w:ind w:firstLine="600"/>
        <w:jc w:val="left"/>
        <w:rPr>
          <w:rFonts w:asciiTheme="minorEastAsia" w:hAnsiTheme="minorEastAsia" w:cs="宋体"/>
          <w:color w:val="000000" w:themeColor="text1"/>
          <w:kern w:val="0"/>
          <w:szCs w:val="21"/>
        </w:rPr>
      </w:pPr>
      <w:bookmarkStart w:id="1" w:name="5"/>
      <w:bookmarkEnd w:id="1"/>
      <w:r w:rsidRPr="00D91679">
        <w:rPr>
          <w:rFonts w:asciiTheme="minorEastAsia" w:hAnsiTheme="minorEastAsia" w:cs="宋体" w:hint="eastAsia"/>
          <w:color w:val="000000" w:themeColor="text1"/>
          <w:kern w:val="0"/>
          <w:szCs w:val="21"/>
        </w:rPr>
        <w:t>四、网上发行与网下发行的衔接</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（一）发行公告的刊登</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发行人和主承销商应在网上发行申购日一个交易日之前刊登网上发行公告，网上发行公告与网下发行公告可以合并刊登。</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（二）网下发行参与对象不得参与网上发行</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凡参与网下发行报价的配售对象，不得再参与网上新股申购。</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（三）网上发行与网下发行的回拨</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发行人可以根据申购情况进行网上发行数量与网下</w:t>
      </w:r>
      <w:bookmarkStart w:id="2" w:name="_GoBack"/>
      <w:bookmarkEnd w:id="2"/>
      <w:r w:rsidRPr="00D91679">
        <w:rPr>
          <w:rFonts w:asciiTheme="minorEastAsia" w:hAnsiTheme="minorEastAsia" w:cs="宋体" w:hint="eastAsia"/>
          <w:color w:val="000000" w:themeColor="text1"/>
          <w:kern w:val="0"/>
          <w:szCs w:val="21"/>
        </w:rPr>
        <w:t>发行数量的回拨，最终确定对机构投资者和对公众投资者的股票分配数量。</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发行人和主承销商应在网上申购资金验资当日，将网上发行与网下发行之间的回拨数量通知上交所。发行人和主承销商未在规定时间内通知上交所的，发行人和主承销商不得进行回拨处理。发行人和主承销商应在回拨处理后将网下申购资金予以解冻。</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（四）网下股份登记</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网下发行结束后，发行人向中国结算上海分公司提交相关材料申请办理股权登记。材料齐备的，中国结算上海分公司在两个交易日内完成登记。</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网上与网下股份登记完成后，中国结算上海分公司将新股股东名册交发行人使用。</w:t>
      </w:r>
    </w:p>
    <w:p w:rsidR="0093140A" w:rsidRPr="00D91679" w:rsidRDefault="0093140A" w:rsidP="00D91679">
      <w:pPr>
        <w:widowControl/>
        <w:shd w:val="clear" w:color="auto" w:fill="FFFFFF"/>
        <w:spacing w:line="360" w:lineRule="auto"/>
        <w:ind w:firstLine="600"/>
        <w:jc w:val="left"/>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五、监管措施和法律责任</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（一）因使用多个同证券账户持有人姓名/名称、</w:t>
      </w:r>
      <w:proofErr w:type="gramStart"/>
      <w:r w:rsidRPr="00D91679">
        <w:rPr>
          <w:rFonts w:asciiTheme="minorEastAsia" w:hAnsiTheme="minorEastAsia" w:cs="宋体" w:hint="eastAsia"/>
          <w:color w:val="000000" w:themeColor="text1"/>
          <w:kern w:val="0"/>
          <w:szCs w:val="21"/>
        </w:rPr>
        <w:t>同有效</w:t>
      </w:r>
      <w:proofErr w:type="gramEnd"/>
      <w:r w:rsidRPr="00D91679">
        <w:rPr>
          <w:rFonts w:asciiTheme="minorEastAsia" w:hAnsiTheme="minorEastAsia" w:cs="宋体" w:hint="eastAsia"/>
          <w:color w:val="000000" w:themeColor="text1"/>
          <w:kern w:val="0"/>
          <w:szCs w:val="21"/>
        </w:rPr>
        <w:t>身份证明文件号码的证券账户申购同一只新股，导致申购无效的，由投资者自行承担相关责任；</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投资者应根据中国证券登记结算有限责任公司相关规定管理其证券账户。</w:t>
      </w:r>
    </w:p>
    <w:p w:rsidR="0093140A" w:rsidRPr="00D91679" w:rsidRDefault="0093140A" w:rsidP="00D91679">
      <w:pPr>
        <w:widowControl/>
        <w:shd w:val="clear" w:color="auto" w:fill="FFFFFF"/>
        <w:spacing w:line="360" w:lineRule="auto"/>
        <w:ind w:firstLine="600"/>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二）对每一只新股发行，参与网下发行报价的配售对象再参与网上新股申购，导致其申购无效的，由配售对象及管理该配售对象的相关机构自行承担相关责任。上交所有权禁止此类配售对象开立的证券账户申购新股，并提请有权部门对相关机构做出处罚。</w:t>
      </w:r>
    </w:p>
    <w:p w:rsidR="0093140A" w:rsidRPr="00D91679" w:rsidRDefault="0093140A" w:rsidP="00D91679">
      <w:pPr>
        <w:widowControl/>
        <w:shd w:val="clear" w:color="auto" w:fill="FFFFFF"/>
        <w:spacing w:line="360" w:lineRule="auto"/>
        <w:ind w:firstLine="600"/>
        <w:jc w:val="left"/>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lastRenderedPageBreak/>
        <w:t>六、本实施办法自发布之日起生效。</w:t>
      </w:r>
    </w:p>
    <w:p w:rsidR="0093140A" w:rsidRPr="00D91679" w:rsidRDefault="0093140A" w:rsidP="00D91679">
      <w:pPr>
        <w:widowControl/>
        <w:shd w:val="clear" w:color="auto" w:fill="FFFFFF"/>
        <w:spacing w:line="360" w:lineRule="auto"/>
        <w:ind w:firstLine="5100"/>
        <w:jc w:val="left"/>
        <w:rPr>
          <w:rFonts w:asciiTheme="minorEastAsia" w:hAnsiTheme="minorEastAsia" w:cs="宋体"/>
          <w:color w:val="000000" w:themeColor="text1"/>
          <w:kern w:val="0"/>
          <w:szCs w:val="21"/>
        </w:rPr>
      </w:pPr>
      <w:bookmarkStart w:id="3" w:name="6"/>
      <w:bookmarkEnd w:id="3"/>
      <w:r w:rsidRPr="00D91679">
        <w:rPr>
          <w:rFonts w:asciiTheme="minorEastAsia" w:hAnsiTheme="minorEastAsia" w:cs="宋体" w:hint="eastAsia"/>
          <w:color w:val="000000" w:themeColor="text1"/>
          <w:kern w:val="0"/>
          <w:szCs w:val="21"/>
        </w:rPr>
        <w:t>上海证券交易所</w:t>
      </w:r>
    </w:p>
    <w:p w:rsidR="0093140A" w:rsidRPr="00D91679" w:rsidRDefault="0093140A" w:rsidP="00D91679">
      <w:pPr>
        <w:widowControl/>
        <w:shd w:val="clear" w:color="auto" w:fill="FFFFFF"/>
        <w:spacing w:line="360" w:lineRule="auto"/>
        <w:ind w:firstLine="4050"/>
        <w:jc w:val="left"/>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中国证券登记结算有限责任公司</w:t>
      </w:r>
    </w:p>
    <w:p w:rsidR="0093140A" w:rsidRPr="00D91679" w:rsidRDefault="0093140A" w:rsidP="00D91679">
      <w:pPr>
        <w:widowControl/>
        <w:shd w:val="clear" w:color="auto" w:fill="FFFFFF"/>
        <w:spacing w:line="360" w:lineRule="auto"/>
        <w:jc w:val="center"/>
        <w:rPr>
          <w:rFonts w:asciiTheme="minorEastAsia" w:hAnsiTheme="minorEastAsia" w:cs="宋体"/>
          <w:color w:val="000000" w:themeColor="text1"/>
          <w:kern w:val="0"/>
          <w:szCs w:val="21"/>
        </w:rPr>
      </w:pPr>
      <w:r w:rsidRPr="00D91679">
        <w:rPr>
          <w:rFonts w:asciiTheme="minorEastAsia" w:hAnsiTheme="minorEastAsia" w:cs="宋体" w:hint="eastAsia"/>
          <w:color w:val="000000" w:themeColor="text1"/>
          <w:kern w:val="0"/>
          <w:szCs w:val="21"/>
        </w:rPr>
        <w:t xml:space="preserve">                        二○○九年六月十八日</w:t>
      </w:r>
    </w:p>
    <w:p w:rsidR="009D1EC7" w:rsidRPr="00D91679" w:rsidRDefault="009D1EC7" w:rsidP="00D91679">
      <w:pPr>
        <w:spacing w:afterLines="50" w:after="156" w:line="360" w:lineRule="auto"/>
        <w:rPr>
          <w:rFonts w:asciiTheme="minorEastAsia" w:hAnsiTheme="minorEastAsia"/>
          <w:color w:val="000000" w:themeColor="text1"/>
          <w:szCs w:val="21"/>
        </w:rPr>
      </w:pPr>
    </w:p>
    <w:sectPr w:rsidR="009D1EC7" w:rsidRPr="00D91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3AF" w:rsidRDefault="004343AF" w:rsidP="007A1D1C">
      <w:r>
        <w:separator/>
      </w:r>
    </w:p>
  </w:endnote>
  <w:endnote w:type="continuationSeparator" w:id="0">
    <w:p w:rsidR="004343AF" w:rsidRDefault="004343AF" w:rsidP="007A1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3AF" w:rsidRDefault="004343AF" w:rsidP="007A1D1C">
      <w:r>
        <w:separator/>
      </w:r>
    </w:p>
  </w:footnote>
  <w:footnote w:type="continuationSeparator" w:id="0">
    <w:p w:rsidR="004343AF" w:rsidRDefault="004343AF" w:rsidP="007A1D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0A"/>
    <w:rsid w:val="003A53F9"/>
    <w:rsid w:val="004343AF"/>
    <w:rsid w:val="0048212A"/>
    <w:rsid w:val="00733C79"/>
    <w:rsid w:val="007771B2"/>
    <w:rsid w:val="007A1D1C"/>
    <w:rsid w:val="007A7FDB"/>
    <w:rsid w:val="0093140A"/>
    <w:rsid w:val="009D1EC7"/>
    <w:rsid w:val="00C026CE"/>
    <w:rsid w:val="00D91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916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140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140A"/>
  </w:style>
  <w:style w:type="paragraph" w:styleId="a4">
    <w:name w:val="header"/>
    <w:basedOn w:val="a"/>
    <w:link w:val="Char"/>
    <w:uiPriority w:val="99"/>
    <w:unhideWhenUsed/>
    <w:rsid w:val="007A1D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A1D1C"/>
    <w:rPr>
      <w:sz w:val="18"/>
      <w:szCs w:val="18"/>
    </w:rPr>
  </w:style>
  <w:style w:type="paragraph" w:styleId="a5">
    <w:name w:val="footer"/>
    <w:basedOn w:val="a"/>
    <w:link w:val="Char0"/>
    <w:uiPriority w:val="99"/>
    <w:unhideWhenUsed/>
    <w:rsid w:val="007A1D1C"/>
    <w:pPr>
      <w:tabs>
        <w:tab w:val="center" w:pos="4153"/>
        <w:tab w:val="right" w:pos="8306"/>
      </w:tabs>
      <w:snapToGrid w:val="0"/>
      <w:jc w:val="left"/>
    </w:pPr>
    <w:rPr>
      <w:sz w:val="18"/>
      <w:szCs w:val="18"/>
    </w:rPr>
  </w:style>
  <w:style w:type="character" w:customStyle="1" w:styleId="Char0">
    <w:name w:val="页脚 Char"/>
    <w:basedOn w:val="a0"/>
    <w:link w:val="a5"/>
    <w:uiPriority w:val="99"/>
    <w:rsid w:val="007A1D1C"/>
    <w:rPr>
      <w:sz w:val="18"/>
      <w:szCs w:val="18"/>
    </w:rPr>
  </w:style>
  <w:style w:type="character" w:customStyle="1" w:styleId="2Char">
    <w:name w:val="标题 2 Char"/>
    <w:basedOn w:val="a0"/>
    <w:link w:val="2"/>
    <w:uiPriority w:val="9"/>
    <w:rsid w:val="00D9167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916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140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140A"/>
  </w:style>
  <w:style w:type="paragraph" w:styleId="a4">
    <w:name w:val="header"/>
    <w:basedOn w:val="a"/>
    <w:link w:val="Char"/>
    <w:uiPriority w:val="99"/>
    <w:unhideWhenUsed/>
    <w:rsid w:val="007A1D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A1D1C"/>
    <w:rPr>
      <w:sz w:val="18"/>
      <w:szCs w:val="18"/>
    </w:rPr>
  </w:style>
  <w:style w:type="paragraph" w:styleId="a5">
    <w:name w:val="footer"/>
    <w:basedOn w:val="a"/>
    <w:link w:val="Char0"/>
    <w:uiPriority w:val="99"/>
    <w:unhideWhenUsed/>
    <w:rsid w:val="007A1D1C"/>
    <w:pPr>
      <w:tabs>
        <w:tab w:val="center" w:pos="4153"/>
        <w:tab w:val="right" w:pos="8306"/>
      </w:tabs>
      <w:snapToGrid w:val="0"/>
      <w:jc w:val="left"/>
    </w:pPr>
    <w:rPr>
      <w:sz w:val="18"/>
      <w:szCs w:val="18"/>
    </w:rPr>
  </w:style>
  <w:style w:type="character" w:customStyle="1" w:styleId="Char0">
    <w:name w:val="页脚 Char"/>
    <w:basedOn w:val="a0"/>
    <w:link w:val="a5"/>
    <w:uiPriority w:val="99"/>
    <w:rsid w:val="007A1D1C"/>
    <w:rPr>
      <w:sz w:val="18"/>
      <w:szCs w:val="18"/>
    </w:rPr>
  </w:style>
  <w:style w:type="character" w:customStyle="1" w:styleId="2Char">
    <w:name w:val="标题 2 Char"/>
    <w:basedOn w:val="a0"/>
    <w:link w:val="2"/>
    <w:uiPriority w:val="9"/>
    <w:rsid w:val="00D9167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5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2016-03-19T08:31:00Z</dcterms:created>
  <dcterms:modified xsi:type="dcterms:W3CDTF">2016-03-21T14:56:00Z</dcterms:modified>
</cp:coreProperties>
</file>