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4C7" w:rsidRPr="00F274C7" w:rsidRDefault="00F274C7" w:rsidP="00EB64BA">
      <w:pPr>
        <w:pStyle w:val="2"/>
        <w:jc w:val="center"/>
      </w:pPr>
      <w:r w:rsidRPr="00F274C7">
        <w:t>关于修改《深圳</w:t>
      </w:r>
      <w:bookmarkStart w:id="0" w:name="_GoBack"/>
      <w:bookmarkEnd w:id="0"/>
      <w:r w:rsidRPr="00F274C7">
        <w:t>证券交易所交易规则》第</w:t>
      </w:r>
      <w:r w:rsidRPr="00F274C7">
        <w:t>3.1.4</w:t>
      </w:r>
      <w:r w:rsidRPr="00F274C7">
        <w:t>条的通知</w:t>
      </w:r>
    </w:p>
    <w:p w:rsidR="00F274C7" w:rsidRPr="00FE4D4B" w:rsidRDefault="00F274C7" w:rsidP="00FE4D4B">
      <w:pPr>
        <w:widowControl/>
        <w:spacing w:line="300" w:lineRule="atLeast"/>
        <w:jc w:val="center"/>
        <w:rPr>
          <w:rFonts w:ascii="宋体" w:eastAsia="宋体" w:hAnsi="宋体" w:cs="宋体"/>
          <w:color w:val="2E2E2E"/>
          <w:kern w:val="0"/>
          <w:szCs w:val="21"/>
        </w:rPr>
      </w:pPr>
      <w:r w:rsidRPr="00FE4D4B">
        <w:rPr>
          <w:rFonts w:ascii="Arial" w:eastAsia="宋体" w:hAnsi="Arial" w:cs="Arial"/>
          <w:color w:val="777777"/>
          <w:kern w:val="0"/>
          <w:szCs w:val="21"/>
        </w:rPr>
        <w:t>日期：</w:t>
      </w:r>
      <w:r w:rsidRPr="00FE4D4B">
        <w:rPr>
          <w:rFonts w:ascii="Arial" w:eastAsia="宋体" w:hAnsi="Arial" w:cs="Arial"/>
          <w:color w:val="777777"/>
          <w:kern w:val="0"/>
          <w:szCs w:val="21"/>
        </w:rPr>
        <w:t xml:space="preserve"> 2015-1-9 </w:t>
      </w:r>
    </w:p>
    <w:p w:rsidR="00F274C7" w:rsidRPr="00FE4D4B" w:rsidRDefault="00F274C7" w:rsidP="00FE4D4B">
      <w:pPr>
        <w:widowControl/>
        <w:spacing w:line="360" w:lineRule="auto"/>
        <w:jc w:val="left"/>
        <w:rPr>
          <w:rFonts w:ascii="宋体" w:eastAsia="宋体" w:hAnsi="宋体" w:cs="宋体"/>
          <w:color w:val="000000" w:themeColor="text1"/>
          <w:kern w:val="0"/>
          <w:szCs w:val="21"/>
        </w:rPr>
      </w:pPr>
      <w:r w:rsidRPr="00FE4D4B">
        <w:rPr>
          <w:rFonts w:ascii="宋体" w:eastAsia="宋体" w:hAnsi="宋体" w:cs="宋体" w:hint="eastAsia"/>
          <w:color w:val="000000" w:themeColor="text1"/>
          <w:kern w:val="0"/>
          <w:szCs w:val="21"/>
        </w:rPr>
        <w:t>各会员单位：</w:t>
      </w:r>
    </w:p>
    <w:p w:rsidR="00F274C7" w:rsidRPr="00FE4D4B" w:rsidRDefault="00F274C7" w:rsidP="00FE4D4B">
      <w:pPr>
        <w:widowControl/>
        <w:spacing w:line="360" w:lineRule="auto"/>
        <w:ind w:firstLineChars="200" w:firstLine="420"/>
        <w:jc w:val="left"/>
        <w:rPr>
          <w:rFonts w:ascii="宋体" w:eastAsia="宋体" w:hAnsi="宋体" w:cs="宋体"/>
          <w:color w:val="000000" w:themeColor="text1"/>
          <w:kern w:val="0"/>
          <w:szCs w:val="21"/>
        </w:rPr>
      </w:pPr>
      <w:r w:rsidRPr="00FE4D4B">
        <w:rPr>
          <w:rFonts w:ascii="宋体" w:eastAsia="宋体" w:hAnsi="宋体" w:cs="宋体" w:hint="eastAsia"/>
          <w:color w:val="000000" w:themeColor="text1"/>
          <w:kern w:val="0"/>
          <w:szCs w:val="21"/>
        </w:rPr>
        <w:t>为进一步增强市场流动性，满足投资者交易需求，经中国证监会批准，本所决定对</w:t>
      </w:r>
      <w:r w:rsidRPr="00FE4D4B">
        <w:rPr>
          <w:rFonts w:ascii="宋体" w:eastAsia="宋体" w:hAnsi="宋体" w:cs="宋体" w:hint="eastAsia"/>
          <w:b/>
          <w:color w:val="FF0000"/>
          <w:kern w:val="0"/>
          <w:szCs w:val="21"/>
        </w:rPr>
        <w:t>跟踪跨境指数的交易型开放式基金</w:t>
      </w:r>
      <w:r w:rsidRPr="00FE4D4B">
        <w:rPr>
          <w:rFonts w:ascii="宋体" w:eastAsia="宋体" w:hAnsi="宋体" w:cs="宋体" w:hint="eastAsia"/>
          <w:color w:val="000000" w:themeColor="text1"/>
          <w:kern w:val="0"/>
          <w:szCs w:val="21"/>
        </w:rPr>
        <w:t>和</w:t>
      </w:r>
      <w:r w:rsidRPr="00FE4D4B">
        <w:rPr>
          <w:rFonts w:ascii="宋体" w:eastAsia="宋体" w:hAnsi="宋体" w:cs="宋体" w:hint="eastAsia"/>
          <w:b/>
          <w:color w:val="FF0000"/>
          <w:kern w:val="0"/>
          <w:szCs w:val="21"/>
        </w:rPr>
        <w:t>投资境外市场的上市开放式基金</w:t>
      </w:r>
      <w:r w:rsidRPr="00FE4D4B">
        <w:rPr>
          <w:rFonts w:ascii="宋体" w:eastAsia="宋体" w:hAnsi="宋体" w:cs="宋体" w:hint="eastAsia"/>
          <w:color w:val="000000" w:themeColor="text1"/>
          <w:kern w:val="0"/>
          <w:szCs w:val="21"/>
        </w:rPr>
        <w:t>竞价交易实行当日回转交易，现将有关事项通知如下：</w:t>
      </w:r>
    </w:p>
    <w:p w:rsidR="00F274C7" w:rsidRPr="00FE4D4B" w:rsidRDefault="00F274C7" w:rsidP="00FE4D4B">
      <w:pPr>
        <w:widowControl/>
        <w:spacing w:line="360" w:lineRule="auto"/>
        <w:ind w:firstLineChars="200" w:firstLine="420"/>
        <w:jc w:val="left"/>
        <w:rPr>
          <w:rFonts w:ascii="宋体" w:eastAsia="宋体" w:hAnsi="宋体" w:cs="宋体"/>
          <w:color w:val="000000" w:themeColor="text1"/>
          <w:kern w:val="0"/>
          <w:szCs w:val="21"/>
        </w:rPr>
      </w:pPr>
      <w:r w:rsidRPr="00FE4D4B">
        <w:rPr>
          <w:rFonts w:ascii="宋体" w:eastAsia="宋体" w:hAnsi="宋体" w:cs="宋体" w:hint="eastAsia"/>
          <w:color w:val="000000" w:themeColor="text1"/>
          <w:kern w:val="0"/>
          <w:szCs w:val="21"/>
        </w:rPr>
        <w:t>一、将《深圳证券交易所交易规则》第3.1.4条修改为：</w:t>
      </w:r>
    </w:p>
    <w:p w:rsidR="00F274C7" w:rsidRPr="00FE4D4B" w:rsidRDefault="00F274C7" w:rsidP="00FE4D4B">
      <w:pPr>
        <w:widowControl/>
        <w:spacing w:line="360" w:lineRule="auto"/>
        <w:ind w:firstLineChars="200" w:firstLine="420"/>
        <w:jc w:val="left"/>
        <w:rPr>
          <w:rFonts w:ascii="宋体" w:eastAsia="宋体" w:hAnsi="宋体" w:cs="宋体"/>
          <w:color w:val="000000" w:themeColor="text1"/>
          <w:kern w:val="0"/>
          <w:szCs w:val="21"/>
        </w:rPr>
      </w:pPr>
      <w:r w:rsidRPr="00FE4D4B">
        <w:rPr>
          <w:rFonts w:ascii="宋体" w:eastAsia="宋体" w:hAnsi="宋体" w:cs="宋体" w:hint="eastAsia"/>
          <w:color w:val="000000" w:themeColor="text1"/>
          <w:kern w:val="0"/>
          <w:szCs w:val="21"/>
        </w:rPr>
        <w:t>“3.1.4  投资者买入的证券，在交收前不得卖出，但实行回转交易的除外。</w:t>
      </w:r>
    </w:p>
    <w:p w:rsidR="00F274C7" w:rsidRPr="00FE4D4B" w:rsidRDefault="00F274C7" w:rsidP="00FE4D4B">
      <w:pPr>
        <w:widowControl/>
        <w:spacing w:line="360" w:lineRule="auto"/>
        <w:ind w:firstLineChars="200" w:firstLine="420"/>
        <w:jc w:val="left"/>
        <w:rPr>
          <w:rFonts w:ascii="宋体" w:eastAsia="宋体" w:hAnsi="宋体" w:cs="宋体"/>
          <w:color w:val="000000" w:themeColor="text1"/>
          <w:kern w:val="0"/>
          <w:szCs w:val="21"/>
        </w:rPr>
      </w:pPr>
      <w:r w:rsidRPr="00FE4D4B">
        <w:rPr>
          <w:rFonts w:ascii="宋体" w:eastAsia="宋体" w:hAnsi="宋体" w:cs="宋体" w:hint="eastAsia"/>
          <w:color w:val="000000" w:themeColor="text1"/>
          <w:kern w:val="0"/>
          <w:szCs w:val="21"/>
        </w:rPr>
        <w:t>证券的回转交易，是指投资者买入的证券，经确认成交后，在交</w:t>
      </w:r>
      <w:proofErr w:type="gramStart"/>
      <w:r w:rsidRPr="00FE4D4B">
        <w:rPr>
          <w:rFonts w:ascii="宋体" w:eastAsia="宋体" w:hAnsi="宋体" w:cs="宋体" w:hint="eastAsia"/>
          <w:color w:val="000000" w:themeColor="text1"/>
          <w:kern w:val="0"/>
          <w:szCs w:val="21"/>
        </w:rPr>
        <w:t>收完成</w:t>
      </w:r>
      <w:proofErr w:type="gramEnd"/>
      <w:r w:rsidRPr="00FE4D4B">
        <w:rPr>
          <w:rFonts w:ascii="宋体" w:eastAsia="宋体" w:hAnsi="宋体" w:cs="宋体" w:hint="eastAsia"/>
          <w:color w:val="000000" w:themeColor="text1"/>
          <w:kern w:val="0"/>
          <w:szCs w:val="21"/>
        </w:rPr>
        <w:t>前全部或部分卖出。</w:t>
      </w:r>
    </w:p>
    <w:p w:rsidR="00F274C7" w:rsidRPr="00FE4D4B" w:rsidRDefault="00F274C7" w:rsidP="00FE4D4B">
      <w:pPr>
        <w:widowControl/>
        <w:spacing w:line="360" w:lineRule="auto"/>
        <w:ind w:firstLineChars="200" w:firstLine="422"/>
        <w:jc w:val="left"/>
        <w:rPr>
          <w:rFonts w:ascii="宋体" w:eastAsia="宋体" w:hAnsi="宋体" w:cs="宋体"/>
          <w:color w:val="000000" w:themeColor="text1"/>
          <w:kern w:val="0"/>
          <w:szCs w:val="21"/>
        </w:rPr>
      </w:pPr>
      <w:r w:rsidRPr="00FE4D4B">
        <w:rPr>
          <w:rFonts w:ascii="宋体" w:eastAsia="宋体" w:hAnsi="宋体" w:cs="宋体" w:hint="eastAsia"/>
          <w:b/>
          <w:color w:val="FF0000"/>
          <w:kern w:val="0"/>
          <w:szCs w:val="21"/>
        </w:rPr>
        <w:t>债券、债券交易型开放式基金</w:t>
      </w:r>
      <w:r w:rsidRPr="00FE4D4B">
        <w:rPr>
          <w:rFonts w:ascii="宋体" w:eastAsia="宋体" w:hAnsi="宋体" w:cs="宋体" w:hint="eastAsia"/>
          <w:color w:val="000000" w:themeColor="text1"/>
          <w:kern w:val="0"/>
          <w:szCs w:val="21"/>
        </w:rPr>
        <w:t>、</w:t>
      </w:r>
      <w:r w:rsidRPr="00FE4D4B">
        <w:rPr>
          <w:rFonts w:ascii="宋体" w:eastAsia="宋体" w:hAnsi="宋体" w:cs="宋体" w:hint="eastAsia"/>
          <w:b/>
          <w:color w:val="FF0000"/>
          <w:kern w:val="0"/>
          <w:szCs w:val="21"/>
        </w:rPr>
        <w:t>黄金交易型开放式基金、上市交易的货币市场基金、跨境交易型开放式基金、跨境上市开放式基金</w:t>
      </w:r>
      <w:r w:rsidRPr="00FE4D4B">
        <w:rPr>
          <w:rFonts w:ascii="宋体" w:eastAsia="宋体" w:hAnsi="宋体" w:cs="宋体" w:hint="eastAsia"/>
          <w:color w:val="000000" w:themeColor="text1"/>
          <w:kern w:val="0"/>
          <w:szCs w:val="21"/>
        </w:rPr>
        <w:t>竞价交易实行当日回转交易，B股实行次交易日起回转交易。</w:t>
      </w:r>
    </w:p>
    <w:p w:rsidR="00F274C7" w:rsidRPr="00FE4D4B" w:rsidRDefault="00F274C7" w:rsidP="00FE4D4B">
      <w:pPr>
        <w:widowControl/>
        <w:spacing w:line="360" w:lineRule="auto"/>
        <w:ind w:firstLineChars="200" w:firstLine="420"/>
        <w:jc w:val="left"/>
        <w:rPr>
          <w:rFonts w:ascii="宋体" w:eastAsia="宋体" w:hAnsi="宋体" w:cs="宋体"/>
          <w:color w:val="000000" w:themeColor="text1"/>
          <w:kern w:val="0"/>
          <w:szCs w:val="21"/>
        </w:rPr>
      </w:pPr>
      <w:r w:rsidRPr="00FE4D4B">
        <w:rPr>
          <w:rFonts w:ascii="宋体" w:eastAsia="宋体" w:hAnsi="宋体" w:cs="宋体" w:hint="eastAsia"/>
          <w:color w:val="000000" w:themeColor="text1"/>
          <w:kern w:val="0"/>
          <w:szCs w:val="21"/>
        </w:rPr>
        <w:t>前款所述的跨境交易型开放式基金和跨境上市开放式基金仅限于所跟踪指数成份证券或投资标的实施当日回转交易的开放式基金。</w:t>
      </w:r>
    </w:p>
    <w:p w:rsidR="00F274C7" w:rsidRPr="00FE4D4B" w:rsidRDefault="00F274C7" w:rsidP="00FE4D4B">
      <w:pPr>
        <w:widowControl/>
        <w:spacing w:line="360" w:lineRule="auto"/>
        <w:ind w:firstLineChars="200" w:firstLine="420"/>
        <w:jc w:val="left"/>
        <w:rPr>
          <w:rFonts w:ascii="宋体" w:eastAsia="宋体" w:hAnsi="宋体" w:cs="宋体"/>
          <w:color w:val="000000" w:themeColor="text1"/>
          <w:kern w:val="0"/>
          <w:szCs w:val="21"/>
        </w:rPr>
      </w:pPr>
      <w:r w:rsidRPr="00FE4D4B">
        <w:rPr>
          <w:rFonts w:ascii="宋体" w:eastAsia="宋体" w:hAnsi="宋体" w:cs="宋体" w:hint="eastAsia"/>
          <w:color w:val="000000" w:themeColor="text1"/>
          <w:kern w:val="0"/>
          <w:szCs w:val="21"/>
        </w:rPr>
        <w:t>经证监会批准，本所可以调整实行回转交易的证券品种和回转方式。”</w:t>
      </w:r>
    </w:p>
    <w:p w:rsidR="00F274C7" w:rsidRPr="00FE4D4B" w:rsidRDefault="00F274C7" w:rsidP="00FE4D4B">
      <w:pPr>
        <w:widowControl/>
        <w:spacing w:line="360" w:lineRule="auto"/>
        <w:ind w:firstLineChars="200" w:firstLine="420"/>
        <w:jc w:val="left"/>
        <w:rPr>
          <w:rFonts w:ascii="宋体" w:eastAsia="宋体" w:hAnsi="宋体" w:cs="宋体"/>
          <w:color w:val="000000" w:themeColor="text1"/>
          <w:kern w:val="0"/>
          <w:szCs w:val="21"/>
        </w:rPr>
      </w:pPr>
      <w:r w:rsidRPr="00FE4D4B">
        <w:rPr>
          <w:rFonts w:ascii="宋体" w:eastAsia="宋体" w:hAnsi="宋体" w:cs="宋体" w:hint="eastAsia"/>
          <w:color w:val="000000" w:themeColor="text1"/>
          <w:kern w:val="0"/>
          <w:szCs w:val="21"/>
        </w:rPr>
        <w:t>二、截至本通知发布之日，可实施当日回转交易的跨境交易型开放式基金和跨境上市开放式基金名单详见附件。</w:t>
      </w:r>
    </w:p>
    <w:p w:rsidR="00F274C7" w:rsidRPr="00FE4D4B" w:rsidRDefault="00F274C7" w:rsidP="00FE4D4B">
      <w:pPr>
        <w:widowControl/>
        <w:spacing w:line="360" w:lineRule="auto"/>
        <w:ind w:firstLineChars="200" w:firstLine="420"/>
        <w:jc w:val="left"/>
        <w:rPr>
          <w:rFonts w:ascii="宋体" w:eastAsia="宋体" w:hAnsi="宋体" w:cs="宋体"/>
          <w:color w:val="000000" w:themeColor="text1"/>
          <w:kern w:val="0"/>
          <w:szCs w:val="21"/>
        </w:rPr>
      </w:pPr>
      <w:r w:rsidRPr="00FE4D4B">
        <w:rPr>
          <w:rFonts w:ascii="宋体" w:eastAsia="宋体" w:hAnsi="宋体" w:cs="宋体" w:hint="eastAsia"/>
          <w:color w:val="000000" w:themeColor="text1"/>
          <w:kern w:val="0"/>
          <w:szCs w:val="21"/>
        </w:rPr>
        <w:t>三、本通知自2015年1月19日起正式施行。本所其他规定与本通知不一致的，以本通知为准。</w:t>
      </w:r>
    </w:p>
    <w:p w:rsidR="00F274C7" w:rsidRPr="00FE4D4B" w:rsidRDefault="00F274C7" w:rsidP="00FE4D4B">
      <w:pPr>
        <w:widowControl/>
        <w:spacing w:line="360" w:lineRule="auto"/>
        <w:ind w:firstLineChars="200" w:firstLine="420"/>
        <w:jc w:val="left"/>
        <w:rPr>
          <w:rFonts w:ascii="宋体" w:eastAsia="宋体" w:hAnsi="宋体" w:cs="宋体"/>
          <w:color w:val="000000" w:themeColor="text1"/>
          <w:kern w:val="0"/>
          <w:szCs w:val="21"/>
        </w:rPr>
      </w:pPr>
      <w:r w:rsidRPr="00FE4D4B">
        <w:rPr>
          <w:rFonts w:ascii="宋体" w:eastAsia="宋体" w:hAnsi="宋体" w:cs="宋体" w:hint="eastAsia"/>
          <w:color w:val="000000" w:themeColor="text1"/>
          <w:kern w:val="0"/>
          <w:szCs w:val="21"/>
        </w:rPr>
        <w:t>请各会员单位做好技术实施等相关准备工作。</w:t>
      </w:r>
    </w:p>
    <w:p w:rsidR="00F274C7" w:rsidRPr="00FE4D4B" w:rsidRDefault="00F274C7" w:rsidP="00FE4D4B">
      <w:pPr>
        <w:widowControl/>
        <w:spacing w:line="360" w:lineRule="auto"/>
        <w:ind w:firstLineChars="200" w:firstLine="420"/>
        <w:jc w:val="left"/>
        <w:rPr>
          <w:rFonts w:ascii="宋体" w:eastAsia="宋体" w:hAnsi="宋体" w:cs="宋体"/>
          <w:color w:val="000000" w:themeColor="text1"/>
          <w:kern w:val="0"/>
          <w:szCs w:val="21"/>
        </w:rPr>
      </w:pPr>
      <w:r w:rsidRPr="00FE4D4B">
        <w:rPr>
          <w:rFonts w:ascii="宋体" w:eastAsia="宋体" w:hAnsi="宋体" w:cs="宋体" w:hint="eastAsia"/>
          <w:color w:val="000000" w:themeColor="text1"/>
          <w:kern w:val="0"/>
          <w:szCs w:val="21"/>
        </w:rPr>
        <w:t>特此通知</w:t>
      </w:r>
    </w:p>
    <w:p w:rsidR="008C60DA" w:rsidRPr="00FE4D4B" w:rsidRDefault="008C60DA" w:rsidP="00FE4D4B">
      <w:pPr>
        <w:spacing w:line="360" w:lineRule="auto"/>
        <w:rPr>
          <w:color w:val="000000" w:themeColor="text1"/>
          <w:szCs w:val="21"/>
        </w:rPr>
      </w:pPr>
    </w:p>
    <w:sectPr w:rsidR="008C60DA" w:rsidRPr="00FE4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E20" w:rsidRDefault="00C04E20" w:rsidP="00EB64BA">
      <w:r>
        <w:separator/>
      </w:r>
    </w:p>
  </w:endnote>
  <w:endnote w:type="continuationSeparator" w:id="0">
    <w:p w:rsidR="00C04E20" w:rsidRDefault="00C04E20" w:rsidP="00EB6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E20" w:rsidRDefault="00C04E20" w:rsidP="00EB64BA">
      <w:r>
        <w:separator/>
      </w:r>
    </w:p>
  </w:footnote>
  <w:footnote w:type="continuationSeparator" w:id="0">
    <w:p w:rsidR="00C04E20" w:rsidRDefault="00C04E20" w:rsidP="00EB64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4C7"/>
    <w:rsid w:val="008C60DA"/>
    <w:rsid w:val="00C04E20"/>
    <w:rsid w:val="00EB64BA"/>
    <w:rsid w:val="00F274C7"/>
    <w:rsid w:val="00FD30A9"/>
    <w:rsid w:val="00FE4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4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64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74C7"/>
    <w:pPr>
      <w:widowControl/>
      <w:jc w:val="left"/>
    </w:pPr>
    <w:rPr>
      <w:rFonts w:ascii="宋体" w:eastAsia="宋体" w:hAnsi="宋体" w:cs="宋体"/>
      <w:kern w:val="0"/>
      <w:sz w:val="24"/>
      <w:szCs w:val="24"/>
    </w:rPr>
  </w:style>
  <w:style w:type="paragraph" w:styleId="a4">
    <w:name w:val="header"/>
    <w:basedOn w:val="a"/>
    <w:link w:val="Char"/>
    <w:uiPriority w:val="99"/>
    <w:unhideWhenUsed/>
    <w:rsid w:val="00EB6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B64BA"/>
    <w:rPr>
      <w:sz w:val="18"/>
      <w:szCs w:val="18"/>
    </w:rPr>
  </w:style>
  <w:style w:type="paragraph" w:styleId="a5">
    <w:name w:val="footer"/>
    <w:basedOn w:val="a"/>
    <w:link w:val="Char0"/>
    <w:uiPriority w:val="99"/>
    <w:unhideWhenUsed/>
    <w:rsid w:val="00EB64BA"/>
    <w:pPr>
      <w:tabs>
        <w:tab w:val="center" w:pos="4153"/>
        <w:tab w:val="right" w:pos="8306"/>
      </w:tabs>
      <w:snapToGrid w:val="0"/>
      <w:jc w:val="left"/>
    </w:pPr>
    <w:rPr>
      <w:sz w:val="18"/>
      <w:szCs w:val="18"/>
    </w:rPr>
  </w:style>
  <w:style w:type="character" w:customStyle="1" w:styleId="Char0">
    <w:name w:val="页脚 Char"/>
    <w:basedOn w:val="a0"/>
    <w:link w:val="a5"/>
    <w:uiPriority w:val="99"/>
    <w:rsid w:val="00EB64BA"/>
    <w:rPr>
      <w:sz w:val="18"/>
      <w:szCs w:val="18"/>
    </w:rPr>
  </w:style>
  <w:style w:type="character" w:customStyle="1" w:styleId="1Char">
    <w:name w:val="标题 1 Char"/>
    <w:basedOn w:val="a0"/>
    <w:link w:val="1"/>
    <w:uiPriority w:val="9"/>
    <w:rsid w:val="00EB64BA"/>
    <w:rPr>
      <w:b/>
      <w:bCs/>
      <w:kern w:val="44"/>
      <w:sz w:val="44"/>
      <w:szCs w:val="44"/>
    </w:rPr>
  </w:style>
  <w:style w:type="character" w:customStyle="1" w:styleId="2Char">
    <w:name w:val="标题 2 Char"/>
    <w:basedOn w:val="a0"/>
    <w:link w:val="2"/>
    <w:uiPriority w:val="9"/>
    <w:rsid w:val="00EB64B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4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64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74C7"/>
    <w:pPr>
      <w:widowControl/>
      <w:jc w:val="left"/>
    </w:pPr>
    <w:rPr>
      <w:rFonts w:ascii="宋体" w:eastAsia="宋体" w:hAnsi="宋体" w:cs="宋体"/>
      <w:kern w:val="0"/>
      <w:sz w:val="24"/>
      <w:szCs w:val="24"/>
    </w:rPr>
  </w:style>
  <w:style w:type="paragraph" w:styleId="a4">
    <w:name w:val="header"/>
    <w:basedOn w:val="a"/>
    <w:link w:val="Char"/>
    <w:uiPriority w:val="99"/>
    <w:unhideWhenUsed/>
    <w:rsid w:val="00EB6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B64BA"/>
    <w:rPr>
      <w:sz w:val="18"/>
      <w:szCs w:val="18"/>
    </w:rPr>
  </w:style>
  <w:style w:type="paragraph" w:styleId="a5">
    <w:name w:val="footer"/>
    <w:basedOn w:val="a"/>
    <w:link w:val="Char0"/>
    <w:uiPriority w:val="99"/>
    <w:unhideWhenUsed/>
    <w:rsid w:val="00EB64BA"/>
    <w:pPr>
      <w:tabs>
        <w:tab w:val="center" w:pos="4153"/>
        <w:tab w:val="right" w:pos="8306"/>
      </w:tabs>
      <w:snapToGrid w:val="0"/>
      <w:jc w:val="left"/>
    </w:pPr>
    <w:rPr>
      <w:sz w:val="18"/>
      <w:szCs w:val="18"/>
    </w:rPr>
  </w:style>
  <w:style w:type="character" w:customStyle="1" w:styleId="Char0">
    <w:name w:val="页脚 Char"/>
    <w:basedOn w:val="a0"/>
    <w:link w:val="a5"/>
    <w:uiPriority w:val="99"/>
    <w:rsid w:val="00EB64BA"/>
    <w:rPr>
      <w:sz w:val="18"/>
      <w:szCs w:val="18"/>
    </w:rPr>
  </w:style>
  <w:style w:type="character" w:customStyle="1" w:styleId="1Char">
    <w:name w:val="标题 1 Char"/>
    <w:basedOn w:val="a0"/>
    <w:link w:val="1"/>
    <w:uiPriority w:val="9"/>
    <w:rsid w:val="00EB64BA"/>
    <w:rPr>
      <w:b/>
      <w:bCs/>
      <w:kern w:val="44"/>
      <w:sz w:val="44"/>
      <w:szCs w:val="44"/>
    </w:rPr>
  </w:style>
  <w:style w:type="character" w:customStyle="1" w:styleId="2Char">
    <w:name w:val="标题 2 Char"/>
    <w:basedOn w:val="a0"/>
    <w:link w:val="2"/>
    <w:uiPriority w:val="9"/>
    <w:rsid w:val="00EB64B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659138">
      <w:bodyDiv w:val="1"/>
      <w:marLeft w:val="0"/>
      <w:marRight w:val="0"/>
      <w:marTop w:val="0"/>
      <w:marBottom w:val="0"/>
      <w:divBdr>
        <w:top w:val="none" w:sz="0" w:space="0" w:color="auto"/>
        <w:left w:val="none" w:sz="0" w:space="0" w:color="auto"/>
        <w:bottom w:val="none" w:sz="0" w:space="0" w:color="auto"/>
        <w:right w:val="none" w:sz="0" w:space="0" w:color="auto"/>
      </w:divBdr>
      <w:divsChild>
        <w:div w:id="1832133275">
          <w:marLeft w:val="0"/>
          <w:marRight w:val="0"/>
          <w:marTop w:val="0"/>
          <w:marBottom w:val="0"/>
          <w:divBdr>
            <w:top w:val="none" w:sz="0" w:space="0" w:color="auto"/>
            <w:left w:val="none" w:sz="0" w:space="0" w:color="auto"/>
            <w:bottom w:val="none" w:sz="0" w:space="0" w:color="auto"/>
            <w:right w:val="none" w:sz="0" w:space="0" w:color="auto"/>
          </w:divBdr>
          <w:divsChild>
            <w:div w:id="1606496552">
              <w:marLeft w:val="0"/>
              <w:marRight w:val="0"/>
              <w:marTop w:val="0"/>
              <w:marBottom w:val="0"/>
              <w:divBdr>
                <w:top w:val="none" w:sz="0" w:space="0" w:color="auto"/>
                <w:left w:val="none" w:sz="0" w:space="0" w:color="auto"/>
                <w:bottom w:val="none" w:sz="0" w:space="0" w:color="auto"/>
                <w:right w:val="none" w:sz="0" w:space="0" w:color="auto"/>
              </w:divBdr>
              <w:divsChild>
                <w:div w:id="254359845">
                  <w:marLeft w:val="0"/>
                  <w:marRight w:val="0"/>
                  <w:marTop w:val="0"/>
                  <w:marBottom w:val="0"/>
                  <w:divBdr>
                    <w:top w:val="none" w:sz="0" w:space="0" w:color="auto"/>
                    <w:left w:val="none" w:sz="0" w:space="0" w:color="auto"/>
                    <w:bottom w:val="none" w:sz="0" w:space="0" w:color="auto"/>
                    <w:right w:val="none" w:sz="0" w:space="0" w:color="auto"/>
                  </w:divBdr>
                  <w:divsChild>
                    <w:div w:id="809638707">
                      <w:marLeft w:val="0"/>
                      <w:marRight w:val="0"/>
                      <w:marTop w:val="0"/>
                      <w:marBottom w:val="0"/>
                      <w:divBdr>
                        <w:top w:val="none" w:sz="0" w:space="0" w:color="auto"/>
                        <w:left w:val="none" w:sz="0" w:space="0" w:color="auto"/>
                        <w:bottom w:val="dashed" w:sz="6" w:space="0" w:color="C1DBE8"/>
                        <w:right w:val="none" w:sz="0" w:space="0" w:color="auto"/>
                      </w:divBdr>
                    </w:div>
                    <w:div w:id="391200142">
                      <w:marLeft w:val="0"/>
                      <w:marRight w:val="0"/>
                      <w:marTop w:val="0"/>
                      <w:marBottom w:val="0"/>
                      <w:divBdr>
                        <w:top w:val="none" w:sz="0" w:space="0" w:color="auto"/>
                        <w:left w:val="none" w:sz="0" w:space="0" w:color="auto"/>
                        <w:bottom w:val="none" w:sz="0" w:space="0" w:color="auto"/>
                        <w:right w:val="none" w:sz="0" w:space="0" w:color="auto"/>
                      </w:divBdr>
                      <w:divsChild>
                        <w:div w:id="19175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2016-03-10T02:07:00Z</dcterms:created>
  <dcterms:modified xsi:type="dcterms:W3CDTF">2016-03-21T15:09:00Z</dcterms:modified>
</cp:coreProperties>
</file>