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78A" w:rsidRDefault="003C678A" w:rsidP="008D036C">
      <w:pPr>
        <w:pStyle w:val="a3"/>
        <w:spacing w:before="0" w:beforeAutospacing="0" w:after="0" w:afterAutospacing="0" w:line="360" w:lineRule="auto"/>
        <w:jc w:val="center"/>
      </w:pPr>
      <w:r>
        <w:rPr>
          <w:rStyle w:val="a4"/>
          <w:rFonts w:hint="eastAsia"/>
          <w:color w:val="A52A00"/>
        </w:rPr>
        <w:t>关于证券投资基金宣传推介材料监管事项的补充规定</w:t>
      </w:r>
    </w:p>
    <w:p w:rsidR="003C678A" w:rsidRPr="005F36F8" w:rsidRDefault="003C678A" w:rsidP="008D036C">
      <w:pPr>
        <w:pStyle w:val="a3"/>
        <w:spacing w:before="0" w:beforeAutospacing="0" w:after="0" w:afterAutospacing="0" w:line="360" w:lineRule="auto"/>
        <w:jc w:val="center"/>
        <w:rPr>
          <w:sz w:val="21"/>
          <w:szCs w:val="21"/>
        </w:rPr>
      </w:pPr>
      <w:r w:rsidRPr="005F36F8">
        <w:rPr>
          <w:rFonts w:hint="eastAsia"/>
          <w:sz w:val="21"/>
          <w:szCs w:val="21"/>
        </w:rPr>
        <w:t>中国证券监督管理委员会公告</w:t>
      </w:r>
      <w:r w:rsidRPr="005F36F8">
        <w:rPr>
          <w:rFonts w:hint="eastAsia"/>
          <w:sz w:val="21"/>
          <w:szCs w:val="21"/>
        </w:rPr>
        <w:br/>
        <w:t>[2008]2号</w:t>
      </w:r>
    </w:p>
    <w:p w:rsidR="003C678A" w:rsidRPr="005F36F8" w:rsidRDefault="003C678A" w:rsidP="005F36F8">
      <w:pPr>
        <w:pStyle w:val="a3"/>
        <w:spacing w:line="360" w:lineRule="auto"/>
        <w:rPr>
          <w:sz w:val="21"/>
          <w:szCs w:val="21"/>
        </w:rPr>
      </w:pPr>
      <w:r w:rsidRPr="005F36F8">
        <w:rPr>
          <w:rFonts w:hint="eastAsia"/>
          <w:sz w:val="21"/>
          <w:szCs w:val="21"/>
        </w:rPr>
        <w:t>    根据《国务院关于第四批取消和调整行政审批项目的决定》（国发[2007]33号）的有关精神，我会已正式取消“证券投资基金宣传推介材料”的行政许可项目。为维护基金销售活动秩序，保障基金投资人合法权益，根据《证券投资基金法》和《证券投资基金销售管理办法》的有关规定，我会制定了《关于证券投资基金宣传推介材料监管事项的补充规定》，现予公告，请各基金管理公司、基金代销机构、基金托管银行遵照执行。</w:t>
      </w:r>
    </w:p>
    <w:p w:rsidR="003C678A" w:rsidRPr="005F36F8" w:rsidRDefault="003C678A" w:rsidP="005F36F8">
      <w:pPr>
        <w:pStyle w:val="a3"/>
        <w:spacing w:line="360" w:lineRule="auto"/>
        <w:jc w:val="right"/>
        <w:rPr>
          <w:sz w:val="21"/>
          <w:szCs w:val="21"/>
        </w:rPr>
      </w:pPr>
      <w:r w:rsidRPr="005F36F8">
        <w:rPr>
          <w:rFonts w:hint="eastAsia"/>
          <w:sz w:val="21"/>
          <w:szCs w:val="21"/>
        </w:rPr>
        <w:t>    中国证券监督管理委员会</w:t>
      </w:r>
    </w:p>
    <w:p w:rsidR="003C678A" w:rsidRPr="005F36F8" w:rsidRDefault="003C678A" w:rsidP="005F36F8">
      <w:pPr>
        <w:pStyle w:val="a3"/>
        <w:spacing w:line="360" w:lineRule="auto"/>
        <w:jc w:val="right"/>
        <w:rPr>
          <w:sz w:val="21"/>
          <w:szCs w:val="21"/>
        </w:rPr>
      </w:pPr>
      <w:r w:rsidRPr="005F36F8">
        <w:rPr>
          <w:rFonts w:hint="eastAsia"/>
          <w:sz w:val="21"/>
          <w:szCs w:val="21"/>
        </w:rPr>
        <w:t>    二○○八年一月二十一日</w:t>
      </w:r>
    </w:p>
    <w:p w:rsidR="003C678A" w:rsidRPr="005F36F8" w:rsidRDefault="003C678A" w:rsidP="005F36F8">
      <w:pPr>
        <w:pStyle w:val="a3"/>
        <w:spacing w:line="360" w:lineRule="auto"/>
        <w:jc w:val="center"/>
        <w:rPr>
          <w:sz w:val="21"/>
          <w:szCs w:val="21"/>
        </w:rPr>
      </w:pPr>
      <w:r w:rsidRPr="005F36F8">
        <w:rPr>
          <w:rStyle w:val="a4"/>
          <w:rFonts w:hint="eastAsia"/>
          <w:color w:val="0000FF"/>
          <w:sz w:val="21"/>
          <w:szCs w:val="21"/>
        </w:rPr>
        <w:t>关于证券投资基金宣传推介材料监管事项的补充规定</w:t>
      </w:r>
    </w:p>
    <w:p w:rsidR="003C678A" w:rsidRPr="005F36F8" w:rsidRDefault="003C678A" w:rsidP="005F36F8">
      <w:pPr>
        <w:pStyle w:val="a3"/>
        <w:spacing w:before="0" w:beforeAutospacing="0" w:after="0" w:afterAutospacing="0" w:line="360" w:lineRule="auto"/>
        <w:rPr>
          <w:b/>
          <w:sz w:val="21"/>
          <w:szCs w:val="21"/>
        </w:rPr>
      </w:pPr>
      <w:r w:rsidRPr="005F36F8">
        <w:rPr>
          <w:rFonts w:hint="eastAsia"/>
          <w:sz w:val="21"/>
          <w:szCs w:val="21"/>
        </w:rPr>
        <w:t>  </w:t>
      </w:r>
      <w:r w:rsidRPr="005F36F8">
        <w:rPr>
          <w:rStyle w:val="a4"/>
          <w:rFonts w:hint="eastAsia"/>
          <w:b w:val="0"/>
          <w:sz w:val="21"/>
          <w:szCs w:val="21"/>
        </w:rPr>
        <w:t>第一条 基金管理公司和基金代销机构制作、分发或公布证券投资基金宣传推介材料（以下简称“基金宣传推介材料”），除应当遵守《证券投资基金销售管理办法》（以下简称《销售管理办法》）第三章的各项规定外，还应当遵循以下规范性标准：</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（一）基金宣传推介材料除《销售管理办法》第十七条（一）至（四）项定义的形式外，还包括通过</w:t>
      </w:r>
      <w:r w:rsidRPr="005F36F8">
        <w:rPr>
          <w:rFonts w:hint="eastAsia"/>
          <w:color w:val="FF0000"/>
          <w:sz w:val="21"/>
          <w:szCs w:val="21"/>
          <w:highlight w:val="yellow"/>
        </w:rPr>
        <w:t>报眼及报花广告、公共网站链接广告、传真、短信、非指定信息披露媒体上刊发的与基金分红、销售相关的公告等可以使公众普遍获得的、带有广告性质的基金销售信息。</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（二）基金管理公司和基金代销机构应当在基金宣传推介材料中加强对投资人的教育和引导，积极培养投资人的长期投资理念，注重对行业公信力及公司品牌、形象的宣传，避免</w:t>
      </w:r>
      <w:r w:rsidRPr="005F36F8">
        <w:rPr>
          <w:rFonts w:hint="eastAsia"/>
          <w:color w:val="FF0000"/>
          <w:sz w:val="21"/>
          <w:szCs w:val="21"/>
          <w:highlight w:val="yellow"/>
        </w:rPr>
        <w:t>对利用大比例分红等通过降低基金单位净值来吸引基金投资人购买基金的营销手段、或对有</w:t>
      </w:r>
      <w:proofErr w:type="gramStart"/>
      <w:r w:rsidRPr="005F36F8">
        <w:rPr>
          <w:rFonts w:hint="eastAsia"/>
          <w:color w:val="FF0000"/>
          <w:sz w:val="21"/>
          <w:szCs w:val="21"/>
          <w:highlight w:val="yellow"/>
        </w:rPr>
        <w:t>悖基金</w:t>
      </w:r>
      <w:proofErr w:type="gramEnd"/>
      <w:r w:rsidRPr="005F36F8">
        <w:rPr>
          <w:rFonts w:hint="eastAsia"/>
          <w:color w:val="FF0000"/>
          <w:sz w:val="21"/>
          <w:szCs w:val="21"/>
          <w:highlight w:val="yellow"/>
        </w:rPr>
        <w:t>合同约定的暂停、打开申购等营销手段进行宣传。</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（三）基金宣传推介材料登载基金过往业绩的，应当同时登载基金业绩比较基准的表现，并提示基金投资人我国基金运作时间较短，不能反映股市发展的所有阶段。由第三</w:t>
      </w:r>
      <w:proofErr w:type="gramStart"/>
      <w:r w:rsidRPr="005F36F8">
        <w:rPr>
          <w:rFonts w:hint="eastAsia"/>
          <w:sz w:val="21"/>
          <w:szCs w:val="21"/>
        </w:rPr>
        <w:t>方专业</w:t>
      </w:r>
      <w:proofErr w:type="gramEnd"/>
      <w:r w:rsidRPr="005F36F8">
        <w:rPr>
          <w:rFonts w:hint="eastAsia"/>
          <w:sz w:val="21"/>
          <w:szCs w:val="21"/>
        </w:rPr>
        <w:t>机构出具的业绩证明并不能替代基金托管银行的基金业绩复核函。</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（四）有足够平面空间的基金宣传推介材料应当参照《风险提示函的必备内容》在材料中加入</w:t>
      </w:r>
      <w:r w:rsidRPr="00D45C89">
        <w:rPr>
          <w:rFonts w:hint="eastAsia"/>
          <w:sz w:val="21"/>
          <w:szCs w:val="21"/>
          <w:highlight w:val="yellow"/>
        </w:rPr>
        <w:t>完整的风险提示函</w:t>
      </w:r>
      <w:r w:rsidRPr="005F36F8">
        <w:rPr>
          <w:rFonts w:hint="eastAsia"/>
          <w:sz w:val="21"/>
          <w:szCs w:val="21"/>
        </w:rPr>
        <w:t>。其他情况下，基金宣传推介材料的风险提示和警示性文字必</w:t>
      </w:r>
      <w:r w:rsidRPr="005F36F8">
        <w:rPr>
          <w:rFonts w:hint="eastAsia"/>
          <w:sz w:val="21"/>
          <w:szCs w:val="21"/>
        </w:rPr>
        <w:lastRenderedPageBreak/>
        <w:t>须醒目、方便投资者阅读。对于营销活动承诺限定基金销售规模的，基金宣传推介材料应当明确说明采取的规模控制措施。</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五）基金宣传推介材料不得模拟基金未来投资业绩。对于推介定期定额投资业务等需要模拟历史业绩的，应当采用我国证券市场或境外成熟证券市场具有代表性的指数，对其过往足够长时间的实际收益率进行模拟，同时注明相应的复合年平均收益率。此外，还应当说明模拟数据的来源、模拟方法及主要计算公式，并进行相应的风险提示。</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（六）基金宣传推介材料所使用的语言表述应当准确清晰,应当特别注意:</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1．在缺乏足够证据支持的情况下，不得使用“业绩稳健”、“业绩优良”、“名列前茅”、“位居前列”、“首只”、“最大”、“最好”、“最强”、“唯一”等表述；</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2．不得使用“坐享财富增长”、“安心享受成长”、“尽享牛市”等易使基金投资人忽视风险的表述；</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3．不得使用“欲购从速”、“申购良机”等片面强调集中营销时间限制的表述；</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4．不得使用“净值归一”等误导基金投资人的表述。</w:t>
      </w:r>
    </w:p>
    <w:p w:rsidR="003C678A" w:rsidRPr="005F36F8" w:rsidRDefault="003C678A" w:rsidP="005F36F8">
      <w:pPr>
        <w:pStyle w:val="a3"/>
        <w:spacing w:before="0" w:beforeAutospacing="0" w:after="0" w:afterAutospacing="0" w:line="360" w:lineRule="auto"/>
        <w:rPr>
          <w:b/>
          <w:color w:val="FF0000"/>
          <w:sz w:val="21"/>
          <w:szCs w:val="21"/>
        </w:rPr>
      </w:pPr>
      <w:r w:rsidRPr="005F36F8">
        <w:rPr>
          <w:rFonts w:hint="eastAsia"/>
          <w:sz w:val="21"/>
          <w:szCs w:val="21"/>
        </w:rPr>
        <w:t>    （七）基金管理公司或旗下基金产品获得奖项的，应当引用业界公认比较权威的奖项，</w:t>
      </w:r>
      <w:r w:rsidRPr="005F36F8">
        <w:rPr>
          <w:rFonts w:hint="eastAsia"/>
          <w:b/>
          <w:color w:val="FF0000"/>
          <w:sz w:val="21"/>
          <w:szCs w:val="21"/>
          <w:highlight w:val="yellow"/>
        </w:rPr>
        <w:t>且应当避免引用两年前的奖项。</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w:t>
      </w:r>
      <w:r w:rsidRPr="005F36F8">
        <w:rPr>
          <w:rStyle w:val="a4"/>
          <w:rFonts w:hint="eastAsia"/>
          <w:sz w:val="21"/>
          <w:szCs w:val="21"/>
        </w:rPr>
        <w:t> 第二条 基金管理公司和基金代销机构制作、分发或公布基金宣传推介材料，应当按照本规定的要求报送报告材料。报送报告材料的具体安排如下：</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（一）报送内容：包括基金宣传推介材料的形式和用途说明、基金宣传推介材料、基金管理公司督察长出具的合</w:t>
      </w:r>
      <w:proofErr w:type="gramStart"/>
      <w:r w:rsidRPr="005F36F8">
        <w:rPr>
          <w:rFonts w:hint="eastAsia"/>
          <w:sz w:val="21"/>
          <w:szCs w:val="21"/>
        </w:rPr>
        <w:t>规</w:t>
      </w:r>
      <w:proofErr w:type="gramEnd"/>
      <w:r w:rsidRPr="005F36F8">
        <w:rPr>
          <w:rFonts w:hint="eastAsia"/>
          <w:sz w:val="21"/>
          <w:szCs w:val="21"/>
        </w:rPr>
        <w:t>意见书、基金托管银行出具的基金业绩复核函或基金定期报告中相关内容的复印件以及有关获奖证明的复印件。</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基金管理公司或基金代销机构负责基金营销业务的高级管理人员也应当对基金宣传推介材料的合</w:t>
      </w:r>
      <w:proofErr w:type="gramStart"/>
      <w:r w:rsidRPr="005F36F8">
        <w:rPr>
          <w:rFonts w:hint="eastAsia"/>
          <w:sz w:val="21"/>
          <w:szCs w:val="21"/>
        </w:rPr>
        <w:t>规</w:t>
      </w:r>
      <w:proofErr w:type="gramEnd"/>
      <w:r w:rsidRPr="005F36F8">
        <w:rPr>
          <w:rFonts w:hint="eastAsia"/>
          <w:sz w:val="21"/>
          <w:szCs w:val="21"/>
        </w:rPr>
        <w:t>性进行复核并出具复核意见。</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（二）报送形式：书面报告报送基金管理公司或基金代销机构主要办公场所所在地证监局。</w:t>
      </w:r>
      <w:proofErr w:type="gramStart"/>
      <w:r w:rsidRPr="005F36F8">
        <w:rPr>
          <w:rFonts w:hint="eastAsia"/>
          <w:sz w:val="21"/>
          <w:szCs w:val="21"/>
        </w:rPr>
        <w:t>报证监</w:t>
      </w:r>
      <w:proofErr w:type="gramEnd"/>
      <w:r w:rsidRPr="005F36F8">
        <w:rPr>
          <w:rFonts w:hint="eastAsia"/>
          <w:sz w:val="21"/>
          <w:szCs w:val="21"/>
        </w:rPr>
        <w:t>局时随附电子文档。</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（三）报送流程：基金管理公司或基金代销机构应当在分发或公布基金宣传推介材料之日起</w:t>
      </w:r>
      <w:r w:rsidRPr="005F36F8">
        <w:rPr>
          <w:rFonts w:hint="eastAsia"/>
          <w:b/>
          <w:color w:val="FF0000"/>
          <w:sz w:val="21"/>
          <w:szCs w:val="21"/>
        </w:rPr>
        <w:t>5个工作日内递交报告材料。</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w:t>
      </w:r>
      <w:r w:rsidRPr="005F36F8">
        <w:rPr>
          <w:rStyle w:val="a4"/>
          <w:rFonts w:hint="eastAsia"/>
          <w:sz w:val="21"/>
          <w:szCs w:val="21"/>
        </w:rPr>
        <w:t> 第三条 违规情形和相应的监管处罚措施：</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（一）基金管理公司或基金代销机构使用基金宣传推介材料的违规情形主要包括以下3种：</w:t>
      </w:r>
    </w:p>
    <w:p w:rsidR="003C678A" w:rsidRPr="005F36F8" w:rsidRDefault="003C678A" w:rsidP="005F36F8">
      <w:pPr>
        <w:pStyle w:val="a3"/>
        <w:spacing w:before="0" w:beforeAutospacing="0" w:after="0" w:afterAutospacing="0" w:line="360" w:lineRule="auto"/>
        <w:rPr>
          <w:b/>
          <w:color w:val="FF0000"/>
          <w:sz w:val="21"/>
          <w:szCs w:val="21"/>
        </w:rPr>
      </w:pPr>
      <w:r w:rsidRPr="005F36F8">
        <w:rPr>
          <w:rFonts w:hint="eastAsia"/>
          <w:sz w:val="21"/>
          <w:szCs w:val="21"/>
        </w:rPr>
        <w:t>    </w:t>
      </w:r>
      <w:r w:rsidRPr="005F36F8">
        <w:rPr>
          <w:rFonts w:hint="eastAsia"/>
          <w:b/>
          <w:color w:val="FF0000"/>
          <w:sz w:val="21"/>
          <w:szCs w:val="21"/>
        </w:rPr>
        <w:t>1．未履行报送手续；</w:t>
      </w:r>
    </w:p>
    <w:p w:rsidR="003C678A" w:rsidRPr="005F36F8" w:rsidRDefault="003C678A" w:rsidP="005F36F8">
      <w:pPr>
        <w:pStyle w:val="a3"/>
        <w:spacing w:before="0" w:beforeAutospacing="0" w:after="0" w:afterAutospacing="0" w:line="360" w:lineRule="auto"/>
        <w:rPr>
          <w:b/>
          <w:color w:val="FF0000"/>
          <w:sz w:val="21"/>
          <w:szCs w:val="21"/>
        </w:rPr>
      </w:pPr>
      <w:r w:rsidRPr="005F36F8">
        <w:rPr>
          <w:rFonts w:hint="eastAsia"/>
          <w:b/>
          <w:color w:val="FF0000"/>
          <w:sz w:val="21"/>
          <w:szCs w:val="21"/>
        </w:rPr>
        <w:lastRenderedPageBreak/>
        <w:t>    2．基金宣传推介材料和上报的材料不一致；</w:t>
      </w:r>
    </w:p>
    <w:p w:rsidR="003C678A" w:rsidRPr="005F36F8" w:rsidRDefault="003C678A" w:rsidP="005F36F8">
      <w:pPr>
        <w:pStyle w:val="a3"/>
        <w:spacing w:before="0" w:beforeAutospacing="0" w:after="0" w:afterAutospacing="0" w:line="360" w:lineRule="auto"/>
        <w:rPr>
          <w:sz w:val="21"/>
          <w:szCs w:val="21"/>
        </w:rPr>
      </w:pPr>
      <w:r w:rsidRPr="005F36F8">
        <w:rPr>
          <w:rFonts w:hint="eastAsia"/>
          <w:b/>
          <w:color w:val="FF0000"/>
          <w:sz w:val="21"/>
          <w:szCs w:val="21"/>
        </w:rPr>
        <w:t>    3．基金宣传推介材料违反《销售管理办法》及本规定的其他情形。</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（二）出现上述情形的，将视违规程度由中国证监会或证监局依法采取以下行政监管或行政处罚措施：</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1．提示基金管理公司或基金代销机构进行改正；</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2．对基金管理公司或基金代销机构出具监管警示函；</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3．对在</w:t>
      </w:r>
      <w:r w:rsidRPr="00D45C89">
        <w:rPr>
          <w:rFonts w:hint="eastAsia"/>
          <w:sz w:val="21"/>
          <w:szCs w:val="21"/>
          <w:highlight w:val="yellow"/>
        </w:rPr>
        <w:t>6个月内连续两次被出具监管警示函仍未改正</w:t>
      </w:r>
      <w:r w:rsidRPr="005F36F8">
        <w:rPr>
          <w:rFonts w:hint="eastAsia"/>
          <w:sz w:val="21"/>
          <w:szCs w:val="21"/>
        </w:rPr>
        <w:t>的基金管理公司或基金代销机构，该公司或机构在分发或公布基金宣传推介材料前，应当</w:t>
      </w:r>
      <w:r w:rsidRPr="00D45C89">
        <w:rPr>
          <w:rFonts w:hint="eastAsia"/>
          <w:sz w:val="21"/>
          <w:szCs w:val="21"/>
          <w:highlight w:val="yellow"/>
        </w:rPr>
        <w:t>事先</w:t>
      </w:r>
      <w:bookmarkStart w:id="0" w:name="_GoBack"/>
      <w:bookmarkEnd w:id="0"/>
      <w:r w:rsidRPr="005F36F8">
        <w:rPr>
          <w:rFonts w:hint="eastAsia"/>
          <w:sz w:val="21"/>
          <w:szCs w:val="21"/>
        </w:rPr>
        <w:t>将材料报送中国证监会。基金宣传推介材料自报送中国证监会之日</w:t>
      </w:r>
      <w:r w:rsidRPr="005F36F8">
        <w:rPr>
          <w:rFonts w:hint="eastAsia"/>
          <w:b/>
          <w:color w:val="FF0000"/>
          <w:sz w:val="21"/>
          <w:szCs w:val="21"/>
        </w:rPr>
        <w:t>起10日后，方可使用。</w:t>
      </w:r>
      <w:r w:rsidRPr="005F36F8">
        <w:rPr>
          <w:rFonts w:hint="eastAsia"/>
          <w:sz w:val="21"/>
          <w:szCs w:val="21"/>
        </w:rPr>
        <w:t>在上述期限内，中国证监会发现基金宣传推介材料不符合有关规定的，可及时告知该公司或机构进行修改，材料未经修改的，该公司或机构不得使用；</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4．责令基金管理公司或基金代销机构进行整改、暂停办理相关业务、立案调查；</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5．对直接负责的基金管理公司或基金代销机构高级管理人员和其他直接责任人员，采取监管谈话、出具警示函、记入诚信档案、暂停履行职务、认定为不适宜担任相关职务者等行政监管措施，或建议公司或机构免除有关高管人员的职务。</w:t>
      </w:r>
    </w:p>
    <w:p w:rsidR="003C678A" w:rsidRPr="005F36F8" w:rsidRDefault="003C678A" w:rsidP="005F36F8">
      <w:pPr>
        <w:pStyle w:val="a3"/>
        <w:spacing w:before="0" w:beforeAutospacing="0" w:after="0" w:afterAutospacing="0" w:line="360" w:lineRule="auto"/>
        <w:rPr>
          <w:sz w:val="21"/>
          <w:szCs w:val="21"/>
        </w:rPr>
      </w:pPr>
      <w:r w:rsidRPr="005F36F8">
        <w:rPr>
          <w:rFonts w:hint="eastAsia"/>
          <w:sz w:val="21"/>
          <w:szCs w:val="21"/>
        </w:rPr>
        <w:t>  </w:t>
      </w:r>
      <w:r w:rsidRPr="005F36F8">
        <w:rPr>
          <w:rStyle w:val="a4"/>
          <w:rFonts w:hint="eastAsia"/>
          <w:sz w:val="21"/>
          <w:szCs w:val="21"/>
        </w:rPr>
        <w:t>  第四条 本规定自发布之日起施行。</w:t>
      </w:r>
    </w:p>
    <w:p w:rsidR="003C678A" w:rsidRPr="005F36F8" w:rsidRDefault="003C678A" w:rsidP="005F36F8">
      <w:pPr>
        <w:pStyle w:val="a3"/>
        <w:spacing w:before="0" w:beforeAutospacing="0" w:after="0" w:afterAutospacing="0" w:line="360" w:lineRule="auto"/>
        <w:jc w:val="center"/>
        <w:rPr>
          <w:sz w:val="21"/>
          <w:szCs w:val="21"/>
        </w:rPr>
      </w:pPr>
      <w:r w:rsidRPr="005F36F8">
        <w:rPr>
          <w:rStyle w:val="a4"/>
          <w:rFonts w:hint="eastAsia"/>
          <w:color w:val="0000FF"/>
          <w:sz w:val="21"/>
          <w:szCs w:val="21"/>
        </w:rPr>
        <w:t>风险提示函的必备内容</w:t>
      </w:r>
      <w:r w:rsidRPr="005F36F8">
        <w:rPr>
          <w:rFonts w:hint="eastAsia"/>
          <w:sz w:val="21"/>
          <w:szCs w:val="21"/>
        </w:rPr>
        <w:t> </w:t>
      </w:r>
    </w:p>
    <w:p w:rsidR="003C678A" w:rsidRPr="005F36F8" w:rsidRDefault="003C678A" w:rsidP="005F36F8">
      <w:pPr>
        <w:pStyle w:val="a3"/>
        <w:spacing w:before="0" w:beforeAutospacing="0" w:after="0" w:afterAutospacing="0" w:line="360" w:lineRule="auto"/>
        <w:ind w:firstLine="624"/>
        <w:rPr>
          <w:sz w:val="21"/>
          <w:szCs w:val="21"/>
        </w:rPr>
      </w:pPr>
      <w:r w:rsidRPr="005F36F8">
        <w:rPr>
          <w:rFonts w:hint="eastAsia"/>
          <w:sz w:val="21"/>
          <w:szCs w:val="21"/>
        </w:rPr>
        <w:t>一、证券投资基金（以下简称“基金”）是一种长期投资工具，其主要功能是分散投资，降低投资单一证券所带来的个别风险。基金不同于银行储蓄和债券等能够提供固定收益预期的金融工具，投资人购买基金，既可能按其持有份额分享基金投资所产生的收益，也可能承担基金投资所带来的损失。</w:t>
      </w:r>
    </w:p>
    <w:p w:rsidR="003C678A" w:rsidRPr="005F36F8" w:rsidRDefault="003C678A" w:rsidP="005F36F8">
      <w:pPr>
        <w:pStyle w:val="a3"/>
        <w:spacing w:before="0" w:beforeAutospacing="0" w:after="0" w:afterAutospacing="0" w:line="360" w:lineRule="auto"/>
        <w:ind w:firstLine="624"/>
        <w:rPr>
          <w:sz w:val="21"/>
          <w:szCs w:val="21"/>
        </w:rPr>
      </w:pPr>
      <w:r w:rsidRPr="005F36F8">
        <w:rPr>
          <w:rFonts w:hint="eastAsia"/>
          <w:sz w:val="21"/>
          <w:szCs w:val="21"/>
        </w:rPr>
        <w:t>二、基金在投资运作过程中可能面临各种风险，既包括市场风险，也包括基金自身的管理风险、技术风险和合</w:t>
      </w:r>
      <w:proofErr w:type="gramStart"/>
      <w:r w:rsidRPr="005F36F8">
        <w:rPr>
          <w:rFonts w:hint="eastAsia"/>
          <w:sz w:val="21"/>
          <w:szCs w:val="21"/>
        </w:rPr>
        <w:t>规</w:t>
      </w:r>
      <w:proofErr w:type="gramEnd"/>
      <w:r w:rsidRPr="005F36F8">
        <w:rPr>
          <w:rFonts w:hint="eastAsia"/>
          <w:sz w:val="21"/>
          <w:szCs w:val="21"/>
        </w:rPr>
        <w:t>风险等。巨额赎回风险是开放式基金所特有的一种风险，即当单个交易日基金的净赎回申请超过基金总份额的百分之十时，投资人将可能无法及时赎回持有的全部基金份额。</w:t>
      </w:r>
    </w:p>
    <w:p w:rsidR="003C678A" w:rsidRPr="005F36F8" w:rsidRDefault="003C678A" w:rsidP="005F36F8">
      <w:pPr>
        <w:pStyle w:val="a3"/>
        <w:spacing w:before="0" w:beforeAutospacing="0" w:after="0" w:afterAutospacing="0" w:line="360" w:lineRule="auto"/>
        <w:ind w:firstLine="624"/>
        <w:rPr>
          <w:sz w:val="21"/>
          <w:szCs w:val="21"/>
        </w:rPr>
      </w:pPr>
      <w:r w:rsidRPr="005F36F8">
        <w:rPr>
          <w:rFonts w:hint="eastAsia"/>
          <w:sz w:val="21"/>
          <w:szCs w:val="21"/>
        </w:rPr>
        <w:t>三、基金分为股票基金、混合基金、债券基金、货币市场基金等不同类型，投资人投资不同类型的基金将获得不同的收益预期，也将承担不同程度的风险。一般来说，基金的收益预期越高，投资人承担的风险也越大。</w:t>
      </w:r>
    </w:p>
    <w:p w:rsidR="003C678A" w:rsidRPr="005F36F8" w:rsidRDefault="003C678A" w:rsidP="005F36F8">
      <w:pPr>
        <w:pStyle w:val="a3"/>
        <w:spacing w:before="0" w:beforeAutospacing="0" w:after="0" w:afterAutospacing="0" w:line="360" w:lineRule="auto"/>
        <w:ind w:firstLine="624"/>
        <w:rPr>
          <w:sz w:val="21"/>
          <w:szCs w:val="21"/>
        </w:rPr>
      </w:pPr>
      <w:r w:rsidRPr="005F36F8">
        <w:rPr>
          <w:rFonts w:hint="eastAsia"/>
          <w:sz w:val="21"/>
          <w:szCs w:val="21"/>
        </w:rPr>
        <w:lastRenderedPageBreak/>
        <w:t>四、投资人应当认真阅读《基金合同》、《招募说明书》等基金法律文件，了解基金的风险收益特征，并根据自身的投资目的、投资期限、投资经验、资产状况</w:t>
      </w:r>
      <w:proofErr w:type="gramStart"/>
      <w:r w:rsidRPr="005F36F8">
        <w:rPr>
          <w:rFonts w:hint="eastAsia"/>
          <w:sz w:val="21"/>
          <w:szCs w:val="21"/>
        </w:rPr>
        <w:t>等判断</w:t>
      </w:r>
      <w:proofErr w:type="gramEnd"/>
      <w:r w:rsidRPr="005F36F8">
        <w:rPr>
          <w:rFonts w:hint="eastAsia"/>
          <w:sz w:val="21"/>
          <w:szCs w:val="21"/>
        </w:rPr>
        <w:t>基金是否和投资人的风险承受能力相适应。</w:t>
      </w:r>
    </w:p>
    <w:p w:rsidR="003C678A" w:rsidRPr="005F36F8" w:rsidRDefault="003C678A" w:rsidP="005F36F8">
      <w:pPr>
        <w:pStyle w:val="a3"/>
        <w:spacing w:before="0" w:beforeAutospacing="0" w:after="0" w:afterAutospacing="0" w:line="360" w:lineRule="auto"/>
        <w:ind w:firstLine="624"/>
        <w:rPr>
          <w:sz w:val="21"/>
          <w:szCs w:val="21"/>
        </w:rPr>
      </w:pPr>
      <w:r w:rsidRPr="005F36F8">
        <w:rPr>
          <w:rFonts w:hint="eastAsia"/>
          <w:sz w:val="21"/>
          <w:szCs w:val="21"/>
        </w:rPr>
        <w:t>五、投资人应当充分了解基金定期定额投资和零存整取等储蓄方式的区别。定期定额投资是引导投资人进行长期投资、平均投资成本的一种简单易行的投资方式。但是定期定额投资并不能规避基金投资所固有的风险，不能保证投资人获得收益，也不是替代储蓄的等效理财方式。</w:t>
      </w:r>
    </w:p>
    <w:p w:rsidR="003C678A" w:rsidRPr="005F36F8" w:rsidRDefault="003C678A" w:rsidP="005F36F8">
      <w:pPr>
        <w:pStyle w:val="a3"/>
        <w:spacing w:before="0" w:beforeAutospacing="0" w:after="0" w:afterAutospacing="0" w:line="360" w:lineRule="auto"/>
        <w:ind w:firstLine="624"/>
        <w:rPr>
          <w:sz w:val="21"/>
          <w:szCs w:val="21"/>
        </w:rPr>
      </w:pPr>
      <w:r w:rsidRPr="005F36F8">
        <w:rPr>
          <w:rFonts w:hint="eastAsia"/>
          <w:sz w:val="21"/>
          <w:szCs w:val="21"/>
        </w:rPr>
        <w:t>六、&lt;基金全称&gt;（以下简称“本基金”）由&lt;基金管理人全称&gt;（以下简称“基金管理人”）依照有关法律法规及约定发起，并经中国证券监督管理委员会证</w:t>
      </w:r>
      <w:proofErr w:type="gramStart"/>
      <w:r w:rsidRPr="005F36F8">
        <w:rPr>
          <w:rFonts w:hint="eastAsia"/>
          <w:sz w:val="21"/>
          <w:szCs w:val="21"/>
        </w:rPr>
        <w:t>监基金字</w:t>
      </w:r>
      <w:proofErr w:type="gramEnd"/>
      <w:r w:rsidRPr="005F36F8">
        <w:rPr>
          <w:rFonts w:hint="eastAsia"/>
          <w:sz w:val="21"/>
          <w:szCs w:val="21"/>
        </w:rPr>
        <w:t>[XXXX]XX号文核准。本基金的《基金合同》和《招募说明书》已通过&lt;指定报刊全称&gt;和基金管理人的互联网网站&lt;网站链接地址&gt;进行了公开披露。</w:t>
      </w:r>
    </w:p>
    <w:p w:rsidR="003C678A" w:rsidRPr="005F36F8" w:rsidRDefault="003C678A" w:rsidP="005F36F8">
      <w:pPr>
        <w:pStyle w:val="a3"/>
        <w:spacing w:before="0" w:beforeAutospacing="0" w:after="0" w:afterAutospacing="0" w:line="360" w:lineRule="auto"/>
        <w:ind w:firstLine="624"/>
        <w:rPr>
          <w:sz w:val="21"/>
          <w:szCs w:val="21"/>
        </w:rPr>
      </w:pPr>
      <w:r w:rsidRPr="005F36F8">
        <w:rPr>
          <w:rFonts w:hint="eastAsia"/>
          <w:sz w:val="21"/>
          <w:szCs w:val="21"/>
        </w:rPr>
        <w:t>七、基金管理人承诺以诚实信用、勤勉尽责的原则管理和运用基金资产，但不保证本基金一定盈利，也不保证最低收益。本基金的过往业绩及其净值高低并不预示其未来业绩表现（或“基金管理人管理的其他基金的业绩不构成对本基金业绩表现的保证”）。基金管理人提醒投资人基金投资的“买者自负”原则，在做出投资决策后，基金运营状况与基金净值变化引致的投资风险，由投资人自行负担。</w:t>
      </w:r>
    </w:p>
    <w:p w:rsidR="003C678A" w:rsidRPr="005F36F8" w:rsidRDefault="003C678A" w:rsidP="005F36F8">
      <w:pPr>
        <w:pStyle w:val="a3"/>
        <w:spacing w:before="0" w:beforeAutospacing="0" w:after="0" w:afterAutospacing="0" w:line="360" w:lineRule="auto"/>
        <w:ind w:firstLine="624"/>
        <w:rPr>
          <w:sz w:val="21"/>
          <w:szCs w:val="21"/>
        </w:rPr>
      </w:pPr>
      <w:r w:rsidRPr="005F36F8">
        <w:rPr>
          <w:rFonts w:hint="eastAsia"/>
          <w:sz w:val="21"/>
          <w:szCs w:val="21"/>
        </w:rPr>
        <w:t>八、投资人应当通过基金管理人或具有基金代销业务资格的其他机构购买和赎回基金，基金代销机构名单详见本基金《招募说明书》以及相关公告。</w:t>
      </w:r>
    </w:p>
    <w:p w:rsidR="00544585" w:rsidRPr="005F36F8" w:rsidRDefault="00544585" w:rsidP="005F36F8">
      <w:pPr>
        <w:spacing w:line="360" w:lineRule="auto"/>
        <w:rPr>
          <w:szCs w:val="21"/>
        </w:rPr>
      </w:pPr>
    </w:p>
    <w:sectPr w:rsidR="00544585" w:rsidRPr="005F36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D8C" w:rsidRDefault="00C77D8C" w:rsidP="005F36F8">
      <w:r>
        <w:separator/>
      </w:r>
    </w:p>
  </w:endnote>
  <w:endnote w:type="continuationSeparator" w:id="0">
    <w:p w:rsidR="00C77D8C" w:rsidRDefault="00C77D8C" w:rsidP="005F3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D8C" w:rsidRDefault="00C77D8C" w:rsidP="005F36F8">
      <w:r>
        <w:separator/>
      </w:r>
    </w:p>
  </w:footnote>
  <w:footnote w:type="continuationSeparator" w:id="0">
    <w:p w:rsidR="00C77D8C" w:rsidRDefault="00C77D8C" w:rsidP="005F36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78A"/>
    <w:rsid w:val="00261930"/>
    <w:rsid w:val="00294E0B"/>
    <w:rsid w:val="003C678A"/>
    <w:rsid w:val="005428C0"/>
    <w:rsid w:val="00544585"/>
    <w:rsid w:val="005F36F8"/>
    <w:rsid w:val="008D036C"/>
    <w:rsid w:val="00A9139B"/>
    <w:rsid w:val="00C77D8C"/>
    <w:rsid w:val="00D45C89"/>
    <w:rsid w:val="00F36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678A"/>
    <w:pPr>
      <w:widowControl/>
      <w:spacing w:before="100" w:beforeAutospacing="1" w:after="100" w:afterAutospacing="1"/>
      <w:jc w:val="left"/>
    </w:pPr>
    <w:rPr>
      <w:rFonts w:ascii="宋体" w:eastAsia="宋体" w:hAnsi="宋体" w:cs="宋体"/>
      <w:color w:val="000000"/>
      <w:kern w:val="0"/>
      <w:sz w:val="24"/>
      <w:szCs w:val="24"/>
    </w:rPr>
  </w:style>
  <w:style w:type="character" w:styleId="a4">
    <w:name w:val="Strong"/>
    <w:basedOn w:val="a0"/>
    <w:uiPriority w:val="22"/>
    <w:qFormat/>
    <w:rsid w:val="003C678A"/>
    <w:rPr>
      <w:b/>
      <w:bCs/>
    </w:rPr>
  </w:style>
  <w:style w:type="paragraph" w:styleId="a5">
    <w:name w:val="header"/>
    <w:basedOn w:val="a"/>
    <w:link w:val="Char"/>
    <w:uiPriority w:val="99"/>
    <w:unhideWhenUsed/>
    <w:rsid w:val="005F36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36F8"/>
    <w:rPr>
      <w:sz w:val="18"/>
      <w:szCs w:val="18"/>
    </w:rPr>
  </w:style>
  <w:style w:type="paragraph" w:styleId="a6">
    <w:name w:val="footer"/>
    <w:basedOn w:val="a"/>
    <w:link w:val="Char0"/>
    <w:uiPriority w:val="99"/>
    <w:unhideWhenUsed/>
    <w:rsid w:val="005F36F8"/>
    <w:pPr>
      <w:tabs>
        <w:tab w:val="center" w:pos="4153"/>
        <w:tab w:val="right" w:pos="8306"/>
      </w:tabs>
      <w:snapToGrid w:val="0"/>
      <w:jc w:val="left"/>
    </w:pPr>
    <w:rPr>
      <w:sz w:val="18"/>
      <w:szCs w:val="18"/>
    </w:rPr>
  </w:style>
  <w:style w:type="character" w:customStyle="1" w:styleId="Char0">
    <w:name w:val="页脚 Char"/>
    <w:basedOn w:val="a0"/>
    <w:link w:val="a6"/>
    <w:uiPriority w:val="99"/>
    <w:rsid w:val="005F36F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678A"/>
    <w:pPr>
      <w:widowControl/>
      <w:spacing w:before="100" w:beforeAutospacing="1" w:after="100" w:afterAutospacing="1"/>
      <w:jc w:val="left"/>
    </w:pPr>
    <w:rPr>
      <w:rFonts w:ascii="宋体" w:eastAsia="宋体" w:hAnsi="宋体" w:cs="宋体"/>
      <w:color w:val="000000"/>
      <w:kern w:val="0"/>
      <w:sz w:val="24"/>
      <w:szCs w:val="24"/>
    </w:rPr>
  </w:style>
  <w:style w:type="character" w:styleId="a4">
    <w:name w:val="Strong"/>
    <w:basedOn w:val="a0"/>
    <w:uiPriority w:val="22"/>
    <w:qFormat/>
    <w:rsid w:val="003C678A"/>
    <w:rPr>
      <w:b/>
      <w:bCs/>
    </w:rPr>
  </w:style>
  <w:style w:type="paragraph" w:styleId="a5">
    <w:name w:val="header"/>
    <w:basedOn w:val="a"/>
    <w:link w:val="Char"/>
    <w:uiPriority w:val="99"/>
    <w:unhideWhenUsed/>
    <w:rsid w:val="005F36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36F8"/>
    <w:rPr>
      <w:sz w:val="18"/>
      <w:szCs w:val="18"/>
    </w:rPr>
  </w:style>
  <w:style w:type="paragraph" w:styleId="a6">
    <w:name w:val="footer"/>
    <w:basedOn w:val="a"/>
    <w:link w:val="Char0"/>
    <w:uiPriority w:val="99"/>
    <w:unhideWhenUsed/>
    <w:rsid w:val="005F36F8"/>
    <w:pPr>
      <w:tabs>
        <w:tab w:val="center" w:pos="4153"/>
        <w:tab w:val="right" w:pos="8306"/>
      </w:tabs>
      <w:snapToGrid w:val="0"/>
      <w:jc w:val="left"/>
    </w:pPr>
    <w:rPr>
      <w:sz w:val="18"/>
      <w:szCs w:val="18"/>
    </w:rPr>
  </w:style>
  <w:style w:type="character" w:customStyle="1" w:styleId="Char0">
    <w:name w:val="页脚 Char"/>
    <w:basedOn w:val="a0"/>
    <w:link w:val="a6"/>
    <w:uiPriority w:val="99"/>
    <w:rsid w:val="005F36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5</cp:revision>
  <dcterms:created xsi:type="dcterms:W3CDTF">2016-03-14T05:59:00Z</dcterms:created>
  <dcterms:modified xsi:type="dcterms:W3CDTF">2017-09-05T23:09:00Z</dcterms:modified>
</cp:coreProperties>
</file>