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306"/>
      </w:tblGrid>
      <w:tr w:rsidR="007F13FD" w:rsidRPr="007F13FD">
        <w:trPr>
          <w:tblCellSpacing w:w="0" w:type="dxa"/>
        </w:trPr>
        <w:tc>
          <w:tcPr>
            <w:tcW w:w="0" w:type="auto"/>
            <w:vAlign w:val="center"/>
            <w:hideMark/>
          </w:tcPr>
          <w:tbl>
            <w:tblPr>
              <w:tblW w:w="5000" w:type="pct"/>
              <w:tblCellSpacing w:w="0" w:type="dxa"/>
              <w:tblCellMar>
                <w:left w:w="0" w:type="dxa"/>
                <w:right w:w="0" w:type="dxa"/>
              </w:tblCellMar>
              <w:tblLook w:val="0600" w:firstRow="0" w:lastRow="0" w:firstColumn="0" w:lastColumn="0" w:noHBand="1" w:noVBand="1"/>
            </w:tblPr>
            <w:tblGrid>
              <w:gridCol w:w="8306"/>
            </w:tblGrid>
            <w:tr w:rsidR="007F13FD" w:rsidRPr="007F13FD" w:rsidTr="0052360E">
              <w:trPr>
                <w:trHeight w:val="450"/>
                <w:tblCellSpacing w:w="0" w:type="dxa"/>
              </w:trPr>
              <w:tc>
                <w:tcPr>
                  <w:tcW w:w="0" w:type="auto"/>
                  <w:vAlign w:val="center"/>
                  <w:hideMark/>
                </w:tcPr>
                <w:p w:rsidR="007F13FD" w:rsidRPr="007F13FD" w:rsidRDefault="007F13FD" w:rsidP="0052360E">
                  <w:pPr>
                    <w:pStyle w:val="2"/>
                    <w:jc w:val="center"/>
                  </w:pPr>
                  <w:r w:rsidRPr="007F13FD">
                    <w:t>深圳证券交易所上市开放式基金主交易</w:t>
                  </w:r>
                  <w:proofErr w:type="gramStart"/>
                  <w:r w:rsidRPr="007F13FD">
                    <w:t>商业务</w:t>
                  </w:r>
                  <w:proofErr w:type="gramEnd"/>
                  <w:r w:rsidRPr="007F13FD">
                    <w:t>指引</w:t>
                  </w:r>
                </w:p>
              </w:tc>
            </w:tr>
            <w:tr w:rsidR="007F13FD" w:rsidRPr="007F13FD" w:rsidTr="0052360E">
              <w:trPr>
                <w:trHeight w:val="450"/>
                <w:tblCellSpacing w:w="0" w:type="dxa"/>
              </w:trPr>
              <w:tc>
                <w:tcPr>
                  <w:tcW w:w="0" w:type="auto"/>
                  <w:tcBorders>
                    <w:bottom w:val="dashed" w:sz="6" w:space="0" w:color="C1DBE8"/>
                  </w:tcBorders>
                  <w:vAlign w:val="center"/>
                  <w:hideMark/>
                </w:tcPr>
                <w:p w:rsidR="007F13FD" w:rsidRPr="007F13FD" w:rsidRDefault="007F13FD" w:rsidP="007F13FD">
                  <w:pPr>
                    <w:widowControl/>
                    <w:spacing w:line="300" w:lineRule="atLeast"/>
                    <w:jc w:val="center"/>
                    <w:rPr>
                      <w:rFonts w:ascii="Arial" w:eastAsia="宋体" w:hAnsi="Arial" w:cs="Arial"/>
                      <w:color w:val="777777"/>
                      <w:kern w:val="0"/>
                      <w:sz w:val="18"/>
                      <w:szCs w:val="18"/>
                    </w:rPr>
                  </w:pPr>
                  <w:r w:rsidRPr="007F13FD">
                    <w:rPr>
                      <w:rFonts w:ascii="Arial" w:eastAsia="宋体" w:hAnsi="Arial" w:cs="Arial"/>
                      <w:color w:val="777777"/>
                      <w:kern w:val="0"/>
                      <w:sz w:val="18"/>
                      <w:szCs w:val="18"/>
                    </w:rPr>
                    <w:t>日期：</w:t>
                  </w:r>
                  <w:r w:rsidRPr="007F13FD">
                    <w:rPr>
                      <w:rFonts w:ascii="Arial" w:eastAsia="宋体" w:hAnsi="Arial" w:cs="Arial"/>
                      <w:color w:val="777777"/>
                      <w:kern w:val="0"/>
                      <w:sz w:val="18"/>
                      <w:szCs w:val="18"/>
                    </w:rPr>
                    <w:t>2004-12-3</w:t>
                  </w:r>
                </w:p>
              </w:tc>
            </w:tr>
          </w:tbl>
          <w:p w:rsidR="007F13FD" w:rsidRPr="007F13FD" w:rsidRDefault="007F13FD" w:rsidP="007F13FD">
            <w:pPr>
              <w:widowControl/>
              <w:spacing w:line="300" w:lineRule="atLeast"/>
              <w:jc w:val="left"/>
              <w:rPr>
                <w:rFonts w:ascii="Arial" w:eastAsia="宋体" w:hAnsi="Arial" w:cs="Arial"/>
                <w:kern w:val="0"/>
                <w:sz w:val="18"/>
                <w:szCs w:val="18"/>
              </w:rPr>
            </w:pPr>
          </w:p>
        </w:tc>
      </w:tr>
      <w:tr w:rsidR="007F13FD" w:rsidRPr="007F13FD">
        <w:trPr>
          <w:tblCellSpacing w:w="0" w:type="dxa"/>
        </w:trPr>
        <w:tc>
          <w:tcPr>
            <w:tcW w:w="0" w:type="auto"/>
            <w:tcMar>
              <w:top w:w="150" w:type="dxa"/>
              <w:left w:w="0" w:type="dxa"/>
              <w:bottom w:w="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7F13FD" w:rsidRPr="007F13FD">
              <w:trPr>
                <w:tblCellSpacing w:w="0" w:type="dxa"/>
                <w:jc w:val="center"/>
              </w:trPr>
              <w:tc>
                <w:tcPr>
                  <w:tcW w:w="0" w:type="auto"/>
                  <w:hideMark/>
                </w:tcPr>
                <w:tbl>
                  <w:tblPr>
                    <w:tblpPr w:leftFromText="45" w:rightFromText="45" w:vertAnchor="text" w:tblpXSpec="right" w:tblpYSpec="center"/>
                    <w:tblW w:w="4900" w:type="pct"/>
                    <w:tblCellSpacing w:w="0" w:type="dxa"/>
                    <w:tblCellMar>
                      <w:left w:w="0" w:type="dxa"/>
                      <w:right w:w="0" w:type="dxa"/>
                    </w:tblCellMar>
                    <w:tblLook w:val="04A0" w:firstRow="1" w:lastRow="0" w:firstColumn="1" w:lastColumn="0" w:noHBand="0" w:noVBand="1"/>
                  </w:tblPr>
                  <w:tblGrid>
                    <w:gridCol w:w="6"/>
                    <w:gridCol w:w="8134"/>
                  </w:tblGrid>
                  <w:tr w:rsidR="007F13FD" w:rsidRPr="007F13FD">
                    <w:trPr>
                      <w:tblCellSpacing w:w="0" w:type="dxa"/>
                    </w:trPr>
                    <w:tc>
                      <w:tcPr>
                        <w:tcW w:w="6" w:type="dxa"/>
                        <w:vAlign w:val="center"/>
                        <w:hideMark/>
                      </w:tcPr>
                      <w:p w:rsidR="007F13FD" w:rsidRPr="007F13FD" w:rsidRDefault="007F13FD" w:rsidP="0052360E">
                        <w:pPr>
                          <w:widowControl/>
                          <w:spacing w:line="360" w:lineRule="auto"/>
                          <w:jc w:val="left"/>
                          <w:rPr>
                            <w:rFonts w:ascii="Arial" w:eastAsia="宋体" w:hAnsi="Arial" w:cs="Arial"/>
                            <w:kern w:val="0"/>
                            <w:szCs w:val="21"/>
                          </w:rPr>
                        </w:pPr>
                      </w:p>
                    </w:tc>
                    <w:tc>
                      <w:tcPr>
                        <w:tcW w:w="0" w:type="auto"/>
                        <w:vAlign w:val="center"/>
                      </w:tcPr>
                      <w:p w:rsidR="007F13FD" w:rsidRPr="007F13FD" w:rsidRDefault="007F13FD" w:rsidP="0052360E">
                        <w:pPr>
                          <w:widowControl/>
                          <w:spacing w:line="360" w:lineRule="auto"/>
                          <w:ind w:firstLineChars="200" w:firstLine="420"/>
                          <w:jc w:val="center"/>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（2004年12月3日  </w:t>
                        </w:r>
                        <w:proofErr w:type="gramStart"/>
                        <w:r w:rsidRPr="007F13FD">
                          <w:rPr>
                            <w:rFonts w:ascii="宋体" w:eastAsia="宋体" w:hAnsi="宋体" w:cs="宋体" w:hint="eastAsia"/>
                            <w:color w:val="2E2E2E"/>
                            <w:kern w:val="0"/>
                            <w:szCs w:val="21"/>
                          </w:rPr>
                          <w:t>深证会〔2004〕</w:t>
                        </w:r>
                        <w:proofErr w:type="gramEnd"/>
                        <w:r w:rsidRPr="007F13FD">
                          <w:rPr>
                            <w:rFonts w:ascii="宋体" w:eastAsia="宋体" w:hAnsi="宋体" w:cs="宋体" w:hint="eastAsia"/>
                            <w:color w:val="2E2E2E"/>
                            <w:kern w:val="0"/>
                            <w:szCs w:val="21"/>
                          </w:rPr>
                          <w:t>187号）</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第一条  为促进深圳证券交易所（以下简称本所）上市开放式基金业务发展，保护投资者合法权益，根据《深圳、上海证券交易所交易规则》、《深圳证券交易所上市开放式基金业务规则》及本所其它相关规定，制定本业务指引。</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第二条  本所实行上市开放式基金</w:t>
                        </w:r>
                        <w:r w:rsidRPr="007F13FD">
                          <w:rPr>
                            <w:rFonts w:ascii="宋体" w:eastAsia="宋体" w:hAnsi="宋体" w:cs="宋体" w:hint="eastAsia"/>
                            <w:b/>
                            <w:color w:val="FF0000"/>
                            <w:kern w:val="0"/>
                            <w:szCs w:val="21"/>
                          </w:rPr>
                          <w:t>主交易商制度</w:t>
                        </w:r>
                        <w:r w:rsidRPr="007F13FD">
                          <w:rPr>
                            <w:rFonts w:ascii="宋体" w:eastAsia="宋体" w:hAnsi="宋体" w:cs="宋体" w:hint="eastAsia"/>
                            <w:color w:val="2E2E2E"/>
                            <w:kern w:val="0"/>
                            <w:szCs w:val="21"/>
                          </w:rPr>
                          <w:t>。上市开放式基金主交易商（以下简称主交易商）</w:t>
                        </w:r>
                        <w:r w:rsidRPr="007F13FD">
                          <w:rPr>
                            <w:rFonts w:ascii="宋体" w:eastAsia="宋体" w:hAnsi="宋体" w:cs="宋体" w:hint="eastAsia"/>
                            <w:b/>
                            <w:color w:val="FF0000"/>
                            <w:kern w:val="0"/>
                            <w:szCs w:val="21"/>
                          </w:rPr>
                          <w:t>应当持有一定场内托管份额，履行上市开放式基金持续报价的义务。</w:t>
                        </w:r>
                      </w:p>
                      <w:p w:rsidR="007F13FD" w:rsidRPr="007F13FD" w:rsidRDefault="007F13FD" w:rsidP="0052360E">
                        <w:pPr>
                          <w:widowControl/>
                          <w:spacing w:line="360" w:lineRule="auto"/>
                          <w:ind w:firstLineChars="200" w:firstLine="422"/>
                          <w:jc w:val="left"/>
                          <w:rPr>
                            <w:rFonts w:ascii="宋体" w:eastAsia="宋体" w:hAnsi="宋体" w:cs="宋体" w:hint="eastAsia"/>
                            <w:b/>
                            <w:color w:val="FF0000"/>
                            <w:kern w:val="0"/>
                            <w:szCs w:val="21"/>
                          </w:rPr>
                        </w:pPr>
                        <w:r w:rsidRPr="007F13FD">
                          <w:rPr>
                            <w:rFonts w:ascii="宋体" w:eastAsia="宋体" w:hAnsi="宋体" w:cs="宋体" w:hint="eastAsia"/>
                            <w:b/>
                            <w:color w:val="FF0000"/>
                            <w:kern w:val="0"/>
                            <w:szCs w:val="21"/>
                          </w:rPr>
                          <w:t>持续报价是指主交易商根据其与基金管理人签订的《上市开放式基金主交易商服务协议》，在约定的情况下以约定范围内的价格申报买入基金份额。</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第三条  上市开放式基金管理人（以下简称基金管理人）应当选定</w:t>
                        </w:r>
                        <w:r w:rsidRPr="007F13FD">
                          <w:rPr>
                            <w:rFonts w:ascii="宋体" w:eastAsia="宋体" w:hAnsi="宋体" w:cs="宋体" w:hint="eastAsia"/>
                            <w:b/>
                            <w:color w:val="FF0000"/>
                            <w:kern w:val="0"/>
                            <w:szCs w:val="21"/>
                          </w:rPr>
                          <w:t>一名或多名本所会员担任主交易商，</w:t>
                        </w:r>
                        <w:r w:rsidRPr="007F13FD">
                          <w:rPr>
                            <w:rFonts w:ascii="宋体" w:eastAsia="宋体" w:hAnsi="宋体" w:cs="宋体" w:hint="eastAsia"/>
                            <w:color w:val="2E2E2E"/>
                            <w:kern w:val="0"/>
                            <w:szCs w:val="21"/>
                          </w:rPr>
                          <w:t>并从中选定一至三名作为主交易</w:t>
                        </w:r>
                        <w:proofErr w:type="gramStart"/>
                        <w:r w:rsidRPr="007F13FD">
                          <w:rPr>
                            <w:rFonts w:ascii="宋体" w:eastAsia="宋体" w:hAnsi="宋体" w:cs="宋体" w:hint="eastAsia"/>
                            <w:color w:val="2E2E2E"/>
                            <w:kern w:val="0"/>
                            <w:szCs w:val="21"/>
                          </w:rPr>
                          <w:t>商业务</w:t>
                        </w:r>
                        <w:proofErr w:type="gramEnd"/>
                        <w:r w:rsidRPr="007F13FD">
                          <w:rPr>
                            <w:rFonts w:ascii="宋体" w:eastAsia="宋体" w:hAnsi="宋体" w:cs="宋体" w:hint="eastAsia"/>
                            <w:color w:val="2E2E2E"/>
                            <w:kern w:val="0"/>
                            <w:szCs w:val="21"/>
                          </w:rPr>
                          <w:t>协调人。</w:t>
                        </w:r>
                      </w:p>
                      <w:p w:rsidR="007F13FD" w:rsidRPr="007F13FD" w:rsidRDefault="007F13FD" w:rsidP="0052360E">
                        <w:pPr>
                          <w:widowControl/>
                          <w:spacing w:line="360" w:lineRule="auto"/>
                          <w:ind w:firstLineChars="200" w:firstLine="422"/>
                          <w:jc w:val="left"/>
                          <w:rPr>
                            <w:rFonts w:ascii="宋体" w:eastAsia="宋体" w:hAnsi="宋体" w:cs="宋体" w:hint="eastAsia"/>
                            <w:b/>
                            <w:color w:val="FF0000"/>
                            <w:kern w:val="0"/>
                            <w:szCs w:val="21"/>
                          </w:rPr>
                        </w:pPr>
                        <w:r w:rsidRPr="007F13FD">
                          <w:rPr>
                            <w:rFonts w:ascii="宋体" w:eastAsia="宋体" w:hAnsi="宋体" w:cs="宋体" w:hint="eastAsia"/>
                            <w:b/>
                            <w:color w:val="FF0000"/>
                            <w:kern w:val="0"/>
                            <w:szCs w:val="21"/>
                          </w:rPr>
                          <w:t>持有基金管理人股份的会员不得担任该基金管理人所管理基金的主交易商。</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本所会员成为主交易商，应当同时具备下列条件：</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（一）具有基金代销业务资格；</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（二）经中国证券监督管理委员会批准</w:t>
                        </w:r>
                        <w:r w:rsidRPr="007F13FD">
                          <w:rPr>
                            <w:rFonts w:ascii="宋体" w:eastAsia="宋体" w:hAnsi="宋体" w:cs="宋体" w:hint="eastAsia"/>
                            <w:b/>
                            <w:color w:val="FF0000"/>
                            <w:kern w:val="0"/>
                            <w:szCs w:val="21"/>
                          </w:rPr>
                          <w:t>为综合类证券公司或</w:t>
                        </w:r>
                        <w:bookmarkStart w:id="0" w:name="_GoBack"/>
                        <w:bookmarkEnd w:id="0"/>
                        <w:r w:rsidRPr="007F13FD">
                          <w:rPr>
                            <w:rFonts w:ascii="宋体" w:eastAsia="宋体" w:hAnsi="宋体" w:cs="宋体" w:hint="eastAsia"/>
                            <w:b/>
                            <w:color w:val="FF0000"/>
                            <w:kern w:val="0"/>
                            <w:szCs w:val="21"/>
                          </w:rPr>
                          <w:t>比照综合类证券公司；</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（三）具有健全的内部控制制度和风险防范机制；</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（四）本所要求的其他条件。</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第五条  基金管理人应当在基金份额发售前与拟定的主交易商签订《上市开放式基金主交易商服务协议》，明确双方的权利、义务和有关事项。协议的内容必须遵守本所相关规则及本指引。</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第六条  基金管理人应当在基金份额发售前向本所提交下列文件和资料：</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（一）《上市开放式基金主交易商登记表》；</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（二）《上市开放式基金主交易商服务协议》；</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（三）本所认为需要提交的其他文件和资料。</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基金合同生效后五个工作日内，本所对上述文件和资料向基金管理人发出备案确认函。上述文件和资料发生变更的，基金管理人应当在变更后的三个工作日内向本所备案。</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第七条  主交易商发生变更的，基金管理人应当在三个工作日内向本所备案。</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lastRenderedPageBreak/>
                          <w:t>第八条  主交易商应当指定已向本所报备的自营账户和自营席位作为履行持续报价义务的账户和席位。</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 xml:space="preserve">第九条  </w:t>
                        </w:r>
                        <w:r w:rsidRPr="007F13FD">
                          <w:rPr>
                            <w:rFonts w:ascii="宋体" w:eastAsia="宋体" w:hAnsi="宋体" w:cs="宋体" w:hint="eastAsia"/>
                            <w:b/>
                            <w:color w:val="FF0000"/>
                            <w:kern w:val="0"/>
                            <w:szCs w:val="21"/>
                          </w:rPr>
                          <w:t>主交易商从事上市开放式基金交易活动应当遵守法律、法规、规章和本所有关规定，不得进行内幕交易、市场操纵等违法、违规行为。</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本所依法对主交易商的交易活动进行监管。</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第十条  本所</w:t>
                        </w:r>
                        <w:proofErr w:type="gramStart"/>
                        <w:r w:rsidRPr="007F13FD">
                          <w:rPr>
                            <w:rFonts w:ascii="宋体" w:eastAsia="宋体" w:hAnsi="宋体" w:cs="宋体" w:hint="eastAsia"/>
                            <w:color w:val="2E2E2E"/>
                            <w:kern w:val="0"/>
                            <w:szCs w:val="21"/>
                          </w:rPr>
                          <w:t>视主交易商履行</w:t>
                        </w:r>
                        <w:proofErr w:type="gramEnd"/>
                        <w:r w:rsidRPr="007F13FD">
                          <w:rPr>
                            <w:rFonts w:ascii="宋体" w:eastAsia="宋体" w:hAnsi="宋体" w:cs="宋体" w:hint="eastAsia"/>
                            <w:color w:val="2E2E2E"/>
                            <w:kern w:val="0"/>
                            <w:szCs w:val="21"/>
                          </w:rPr>
                          <w:t>义务的情况，给予其相关优惠。</w:t>
                        </w:r>
                      </w:p>
                      <w:p w:rsidR="007F13FD" w:rsidRPr="007F13FD" w:rsidRDefault="007F13FD" w:rsidP="0052360E">
                        <w:pPr>
                          <w:widowControl/>
                          <w:spacing w:line="360" w:lineRule="auto"/>
                          <w:ind w:firstLineChars="200" w:firstLine="420"/>
                          <w:jc w:val="left"/>
                          <w:rPr>
                            <w:rFonts w:ascii="宋体" w:eastAsia="宋体" w:hAnsi="宋体" w:cs="宋体" w:hint="eastAsia"/>
                            <w:color w:val="2E2E2E"/>
                            <w:kern w:val="0"/>
                            <w:szCs w:val="21"/>
                          </w:rPr>
                        </w:pPr>
                        <w:r w:rsidRPr="007F13FD">
                          <w:rPr>
                            <w:rFonts w:ascii="宋体" w:eastAsia="宋体" w:hAnsi="宋体" w:cs="宋体" w:hint="eastAsia"/>
                            <w:color w:val="2E2E2E"/>
                            <w:kern w:val="0"/>
                            <w:szCs w:val="21"/>
                          </w:rPr>
                          <w:t>第十一条  本指引由本所负责修订和解释。</w:t>
                        </w:r>
                      </w:p>
                      <w:p w:rsidR="007F13FD" w:rsidRPr="007F13FD" w:rsidRDefault="007F13FD" w:rsidP="0052360E">
                        <w:pPr>
                          <w:widowControl/>
                          <w:spacing w:line="360" w:lineRule="auto"/>
                          <w:ind w:firstLineChars="200" w:firstLine="420"/>
                          <w:jc w:val="left"/>
                          <w:rPr>
                            <w:rFonts w:ascii="宋体" w:eastAsia="宋体" w:hAnsi="宋体" w:cs="宋体"/>
                            <w:color w:val="2E2E2E"/>
                            <w:kern w:val="0"/>
                            <w:szCs w:val="21"/>
                          </w:rPr>
                        </w:pPr>
                        <w:r w:rsidRPr="007F13FD">
                          <w:rPr>
                            <w:rFonts w:ascii="宋体" w:eastAsia="宋体" w:hAnsi="宋体" w:cs="宋体" w:hint="eastAsia"/>
                            <w:color w:val="2E2E2E"/>
                            <w:kern w:val="0"/>
                            <w:szCs w:val="21"/>
                          </w:rPr>
                          <w:t>第十二条  本指引自发布之日起施行。</w:t>
                        </w:r>
                      </w:p>
                    </w:tc>
                  </w:tr>
                </w:tbl>
                <w:p w:rsidR="007F13FD" w:rsidRPr="007F13FD" w:rsidRDefault="007F13FD" w:rsidP="0052360E">
                  <w:pPr>
                    <w:widowControl/>
                    <w:spacing w:line="360" w:lineRule="auto"/>
                    <w:jc w:val="left"/>
                    <w:rPr>
                      <w:rFonts w:ascii="Arial" w:eastAsia="宋体" w:hAnsi="Arial" w:cs="Arial"/>
                      <w:kern w:val="0"/>
                      <w:szCs w:val="21"/>
                    </w:rPr>
                  </w:pPr>
                </w:p>
              </w:tc>
            </w:tr>
          </w:tbl>
          <w:p w:rsidR="007F13FD" w:rsidRPr="007F13FD" w:rsidRDefault="007F13FD" w:rsidP="0052360E">
            <w:pPr>
              <w:widowControl/>
              <w:spacing w:line="360" w:lineRule="auto"/>
              <w:jc w:val="center"/>
              <w:rPr>
                <w:rFonts w:ascii="Arial" w:eastAsia="宋体" w:hAnsi="Arial" w:cs="Arial"/>
                <w:kern w:val="0"/>
                <w:szCs w:val="21"/>
              </w:rPr>
            </w:pPr>
          </w:p>
        </w:tc>
      </w:tr>
    </w:tbl>
    <w:p w:rsidR="009D1EC7" w:rsidRPr="0052360E" w:rsidRDefault="009D1EC7" w:rsidP="0052360E">
      <w:pPr>
        <w:spacing w:line="360" w:lineRule="auto"/>
        <w:rPr>
          <w:szCs w:val="21"/>
        </w:rPr>
      </w:pPr>
    </w:p>
    <w:sectPr w:rsidR="009D1EC7" w:rsidRPr="005236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FD"/>
    <w:rsid w:val="003A53F9"/>
    <w:rsid w:val="0048212A"/>
    <w:rsid w:val="0052360E"/>
    <w:rsid w:val="007A7FDB"/>
    <w:rsid w:val="007F13FD"/>
    <w:rsid w:val="009D1EC7"/>
    <w:rsid w:val="00C0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236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13FD"/>
    <w:pPr>
      <w:widowControl/>
      <w:jc w:val="left"/>
    </w:pPr>
    <w:rPr>
      <w:rFonts w:ascii="宋体" w:eastAsia="宋体" w:hAnsi="宋体" w:cs="宋体"/>
      <w:kern w:val="0"/>
      <w:sz w:val="24"/>
      <w:szCs w:val="24"/>
    </w:rPr>
  </w:style>
  <w:style w:type="character" w:customStyle="1" w:styleId="2Char">
    <w:name w:val="标题 2 Char"/>
    <w:basedOn w:val="a0"/>
    <w:link w:val="2"/>
    <w:uiPriority w:val="9"/>
    <w:rsid w:val="0052360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236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13FD"/>
    <w:pPr>
      <w:widowControl/>
      <w:jc w:val="left"/>
    </w:pPr>
    <w:rPr>
      <w:rFonts w:ascii="宋体" w:eastAsia="宋体" w:hAnsi="宋体" w:cs="宋体"/>
      <w:kern w:val="0"/>
      <w:sz w:val="24"/>
      <w:szCs w:val="24"/>
    </w:rPr>
  </w:style>
  <w:style w:type="character" w:customStyle="1" w:styleId="2Char">
    <w:name w:val="标题 2 Char"/>
    <w:basedOn w:val="a0"/>
    <w:link w:val="2"/>
    <w:uiPriority w:val="9"/>
    <w:rsid w:val="0052360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888714">
      <w:bodyDiv w:val="1"/>
      <w:marLeft w:val="0"/>
      <w:marRight w:val="0"/>
      <w:marTop w:val="0"/>
      <w:marBottom w:val="0"/>
      <w:divBdr>
        <w:top w:val="none" w:sz="0" w:space="0" w:color="auto"/>
        <w:left w:val="none" w:sz="0" w:space="0" w:color="auto"/>
        <w:bottom w:val="none" w:sz="0" w:space="0" w:color="auto"/>
        <w:right w:val="none" w:sz="0" w:space="0" w:color="auto"/>
      </w:divBdr>
      <w:divsChild>
        <w:div w:id="68238866">
          <w:marLeft w:val="0"/>
          <w:marRight w:val="0"/>
          <w:marTop w:val="0"/>
          <w:marBottom w:val="0"/>
          <w:divBdr>
            <w:top w:val="none" w:sz="0" w:space="0" w:color="auto"/>
            <w:left w:val="none" w:sz="0" w:space="0" w:color="auto"/>
            <w:bottom w:val="none" w:sz="0" w:space="0" w:color="auto"/>
            <w:right w:val="none" w:sz="0" w:space="0" w:color="auto"/>
          </w:divBdr>
          <w:divsChild>
            <w:div w:id="1586499789">
              <w:marLeft w:val="0"/>
              <w:marRight w:val="0"/>
              <w:marTop w:val="0"/>
              <w:marBottom w:val="0"/>
              <w:divBdr>
                <w:top w:val="none" w:sz="0" w:space="0" w:color="auto"/>
                <w:left w:val="none" w:sz="0" w:space="0" w:color="auto"/>
                <w:bottom w:val="none" w:sz="0" w:space="0" w:color="auto"/>
                <w:right w:val="none" w:sz="0" w:space="0" w:color="auto"/>
              </w:divBdr>
              <w:divsChild>
                <w:div w:id="1089693679">
                  <w:marLeft w:val="300"/>
                  <w:marRight w:val="0"/>
                  <w:marTop w:val="0"/>
                  <w:marBottom w:val="0"/>
                  <w:divBdr>
                    <w:top w:val="none" w:sz="0" w:space="0" w:color="auto"/>
                    <w:left w:val="none" w:sz="0" w:space="0" w:color="auto"/>
                    <w:bottom w:val="none" w:sz="0" w:space="0" w:color="auto"/>
                    <w:right w:val="none" w:sz="0" w:space="0" w:color="auto"/>
                  </w:divBdr>
                  <w:divsChild>
                    <w:div w:id="13315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2</cp:revision>
  <dcterms:created xsi:type="dcterms:W3CDTF">2016-03-19T15:18:00Z</dcterms:created>
  <dcterms:modified xsi:type="dcterms:W3CDTF">2016-03-19T15:25:00Z</dcterms:modified>
</cp:coreProperties>
</file>