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6F7" w:rsidRPr="00AB66F7" w:rsidRDefault="00AB66F7" w:rsidP="00AB66F7">
      <w:pPr>
        <w:widowControl/>
        <w:shd w:val="clear" w:color="auto" w:fill="FFFFFF"/>
        <w:spacing w:line="525" w:lineRule="atLeast"/>
        <w:jc w:val="center"/>
        <w:rPr>
          <w:rFonts w:ascii="宋体" w:eastAsia="宋体" w:hAnsi="宋体" w:cs="宋体"/>
          <w:color w:val="333333"/>
          <w:kern w:val="0"/>
          <w:szCs w:val="21"/>
        </w:rPr>
      </w:pPr>
      <w:r w:rsidRPr="00AB66F7">
        <w:rPr>
          <w:rFonts w:ascii="微软雅黑" w:eastAsia="微软雅黑" w:hAnsi="微软雅黑" w:cs="宋体" w:hint="eastAsia"/>
          <w:b/>
          <w:bCs/>
          <w:color w:val="0C5CB1"/>
          <w:kern w:val="0"/>
          <w:sz w:val="30"/>
          <w:szCs w:val="30"/>
        </w:rPr>
        <w:t>最高人民法院印发《关于审理证券行政处罚案件证据若干问题的座谈会纪要》的通知</w:t>
      </w:r>
    </w:p>
    <w:p w:rsidR="00AB66F7" w:rsidRPr="00AB66F7" w:rsidRDefault="00AB66F7" w:rsidP="00AB66F7">
      <w:pPr>
        <w:widowControl/>
        <w:shd w:val="clear" w:color="auto" w:fill="FFFFFF"/>
        <w:snapToGrid w:val="0"/>
        <w:spacing w:line="480" w:lineRule="auto"/>
        <w:jc w:val="left"/>
        <w:rPr>
          <w:rFonts w:ascii="宋体" w:eastAsia="宋体" w:hAnsi="宋体" w:cs="宋体"/>
          <w:color w:val="333333"/>
          <w:kern w:val="0"/>
          <w:szCs w:val="21"/>
        </w:rPr>
      </w:pPr>
      <w:r w:rsidRPr="00AB66F7">
        <w:rPr>
          <w:rFonts w:ascii="宋体" w:eastAsia="宋体" w:hAnsi="宋体" w:cs="宋体" w:hint="eastAsia"/>
          <w:color w:val="333333"/>
          <w:kern w:val="0"/>
          <w:szCs w:val="21"/>
        </w:rPr>
        <w:t xml:space="preserve"> </w:t>
      </w:r>
    </w:p>
    <w:p w:rsidR="00AB66F7" w:rsidRPr="00AB66F7" w:rsidRDefault="00AB66F7" w:rsidP="00AB66F7">
      <w:pPr>
        <w:widowControl/>
        <w:shd w:val="clear" w:color="auto" w:fill="FFFFFF"/>
        <w:snapToGrid w:val="0"/>
        <w:spacing w:line="480" w:lineRule="auto"/>
        <w:jc w:val="left"/>
        <w:rPr>
          <w:rFonts w:ascii="Times New Roman" w:eastAsia="宋体" w:hAnsi="Times New Roman" w:cs="Times New Roman" w:hint="eastAsia"/>
          <w:color w:val="333333"/>
          <w:kern w:val="0"/>
          <w:szCs w:val="21"/>
        </w:rPr>
      </w:pPr>
    </w:p>
    <w:p w:rsidR="00AB66F7" w:rsidRPr="00AB66F7" w:rsidRDefault="00AB66F7" w:rsidP="00AB66F7">
      <w:pPr>
        <w:widowControl/>
        <w:shd w:val="clear" w:color="auto" w:fill="FFFFFF"/>
        <w:snapToGrid w:val="0"/>
        <w:spacing w:line="480" w:lineRule="auto"/>
        <w:ind w:firstLineChars="200" w:firstLine="420"/>
        <w:jc w:val="left"/>
        <w:rPr>
          <w:rFonts w:ascii="宋体" w:eastAsia="宋体" w:hAnsi="宋体" w:cs="宋体"/>
          <w:color w:val="333333"/>
          <w:kern w:val="0"/>
          <w:szCs w:val="21"/>
        </w:rPr>
      </w:pPr>
      <w:r w:rsidRPr="00AB66F7">
        <w:rPr>
          <w:rFonts w:ascii="宋体" w:eastAsia="宋体" w:hAnsi="宋体" w:cs="宋体" w:hint="eastAsia"/>
          <w:color w:val="333333"/>
          <w:kern w:val="0"/>
          <w:szCs w:val="21"/>
        </w:rPr>
        <w:t xml:space="preserve">为进一步完善证券行政处罚案件的证据规则，推动证券监管机构依法行政，保护广大投资者合法权益，促进资本市场健康发展，最高人民法院对证券行政处罚案件证据运用中存在的突出问题进行了专题调研，在充分听取有关法院和部门意见并反复论证的基础上，根据《中华人民共和国行政诉讼法》、《中华人民共和国行政处罚法》和《中华人民共和国证券法》等法律规定，起草了证券行政处罚案件中有关证据问题的意见。2011年6月23日，最高人民法院会同有关部门在北京召开专题座谈会，对证券行政处罚案件中有关证据审查认定等问题形成共识。现将有关内容纪要如下： </w:t>
      </w:r>
    </w:p>
    <w:p w:rsidR="00AB66F7" w:rsidRPr="00AB66F7" w:rsidRDefault="00AB66F7" w:rsidP="00AB66F7">
      <w:pPr>
        <w:widowControl/>
        <w:shd w:val="clear" w:color="auto" w:fill="FFFFFF"/>
        <w:snapToGrid w:val="0"/>
        <w:spacing w:line="360" w:lineRule="auto"/>
        <w:jc w:val="left"/>
        <w:rPr>
          <w:rFonts w:ascii="Times New Roman" w:eastAsia="宋体" w:hAnsi="Times New Roman" w:cs="Times New Roman" w:hint="eastAsia"/>
          <w:color w:val="333333"/>
          <w:kern w:val="0"/>
          <w:sz w:val="24"/>
          <w:szCs w:val="24"/>
        </w:rPr>
      </w:pPr>
    </w:p>
    <w:p w:rsidR="00AB66F7" w:rsidRPr="000266BA" w:rsidRDefault="00AB66F7" w:rsidP="000266BA">
      <w:pPr>
        <w:pStyle w:val="a3"/>
        <w:widowControl/>
        <w:numPr>
          <w:ilvl w:val="0"/>
          <w:numId w:val="1"/>
        </w:numPr>
        <w:shd w:val="clear" w:color="auto" w:fill="FFFFFF"/>
        <w:snapToGrid w:val="0"/>
        <w:spacing w:line="360" w:lineRule="auto"/>
        <w:ind w:firstLineChars="0"/>
        <w:jc w:val="center"/>
        <w:rPr>
          <w:rFonts w:ascii="宋体" w:eastAsia="宋体" w:hAnsi="宋体" w:cs="宋体" w:hint="eastAsia"/>
          <w:b/>
          <w:color w:val="333333"/>
          <w:kern w:val="0"/>
          <w:sz w:val="24"/>
          <w:szCs w:val="24"/>
        </w:rPr>
      </w:pPr>
      <w:r w:rsidRPr="000266BA">
        <w:rPr>
          <w:rFonts w:ascii="宋体" w:eastAsia="宋体" w:hAnsi="宋体" w:cs="宋体" w:hint="eastAsia"/>
          <w:b/>
          <w:color w:val="333333"/>
          <w:kern w:val="0"/>
          <w:sz w:val="24"/>
          <w:szCs w:val="24"/>
        </w:rPr>
        <w:t xml:space="preserve">关于证券行政处罚案件的举证问题 </w:t>
      </w:r>
    </w:p>
    <w:p w:rsidR="000266BA" w:rsidRPr="000266BA" w:rsidRDefault="000266BA" w:rsidP="000266BA">
      <w:pPr>
        <w:pStyle w:val="a3"/>
        <w:widowControl/>
        <w:shd w:val="clear" w:color="auto" w:fill="FFFFFF"/>
        <w:snapToGrid w:val="0"/>
        <w:spacing w:line="360" w:lineRule="auto"/>
        <w:ind w:left="720" w:firstLineChars="0" w:firstLine="0"/>
        <w:rPr>
          <w:rFonts w:ascii="宋体" w:eastAsia="宋体" w:hAnsi="宋体" w:cs="宋体"/>
          <w:b/>
          <w:color w:val="333333"/>
          <w:kern w:val="0"/>
          <w:sz w:val="24"/>
          <w:szCs w:val="24"/>
        </w:rPr>
      </w:pPr>
    </w:p>
    <w:p w:rsidR="00AB66F7" w:rsidRDefault="00AB66F7" w:rsidP="000266BA">
      <w:pPr>
        <w:widowControl/>
        <w:shd w:val="clear" w:color="auto" w:fill="FFFFFF"/>
        <w:snapToGrid w:val="0"/>
        <w:spacing w:line="360" w:lineRule="auto"/>
        <w:ind w:firstLineChars="200" w:firstLine="480"/>
        <w:jc w:val="left"/>
        <w:rPr>
          <w:rFonts w:ascii="宋体" w:eastAsia="宋体" w:hAnsi="宋体" w:cs="宋体" w:hint="eastAsia"/>
          <w:color w:val="333333"/>
          <w:kern w:val="0"/>
          <w:sz w:val="24"/>
          <w:szCs w:val="24"/>
        </w:rPr>
      </w:pPr>
      <w:r w:rsidRPr="00AB66F7">
        <w:rPr>
          <w:rFonts w:ascii="宋体" w:eastAsia="宋体" w:hAnsi="宋体" w:cs="宋体" w:hint="eastAsia"/>
          <w:color w:val="333333"/>
          <w:kern w:val="0"/>
          <w:sz w:val="24"/>
          <w:szCs w:val="24"/>
        </w:rPr>
        <w:t>会议认为，监管机构根据行政诉讼法第三十二条、最高人民法院《关于行政诉讼证据若干问题的规定》第一条的规定，对</w:t>
      </w:r>
      <w:proofErr w:type="gramStart"/>
      <w:r w:rsidRPr="00AB66F7">
        <w:rPr>
          <w:rFonts w:ascii="宋体" w:eastAsia="宋体" w:hAnsi="宋体" w:cs="宋体" w:hint="eastAsia"/>
          <w:color w:val="333333"/>
          <w:kern w:val="0"/>
          <w:sz w:val="24"/>
          <w:szCs w:val="24"/>
        </w:rPr>
        <w:t>作出</w:t>
      </w:r>
      <w:proofErr w:type="gramEnd"/>
      <w:r w:rsidRPr="00AB66F7">
        <w:rPr>
          <w:rFonts w:ascii="宋体" w:eastAsia="宋体" w:hAnsi="宋体" w:cs="宋体" w:hint="eastAsia"/>
          <w:color w:val="333333"/>
          <w:kern w:val="0"/>
          <w:sz w:val="24"/>
          <w:szCs w:val="24"/>
        </w:rPr>
        <w:t xml:space="preserve">的被诉行政处罚决定承担举证责任。人民法院在审理证券行政处罚案件时，也应当考虑到部分类型的证券违法行为的特殊性，由监管机构承担主要违法事实的证明责任，通过推定的方式适当向原告、第三人转移部分特定事实的证明责任。 </w:t>
      </w:r>
    </w:p>
    <w:p w:rsidR="00AB66F7" w:rsidRDefault="00AB66F7" w:rsidP="000266BA">
      <w:pPr>
        <w:widowControl/>
        <w:shd w:val="clear" w:color="auto" w:fill="FFFFFF"/>
        <w:snapToGrid w:val="0"/>
        <w:spacing w:line="360" w:lineRule="auto"/>
        <w:ind w:firstLineChars="200" w:firstLine="480"/>
        <w:jc w:val="left"/>
        <w:rPr>
          <w:rFonts w:ascii="宋体" w:eastAsia="宋体" w:hAnsi="宋体" w:cs="宋体" w:hint="eastAsia"/>
          <w:color w:val="333333"/>
          <w:kern w:val="0"/>
          <w:sz w:val="24"/>
          <w:szCs w:val="24"/>
        </w:rPr>
      </w:pPr>
      <w:r w:rsidRPr="00AB66F7">
        <w:rPr>
          <w:rFonts w:ascii="宋体" w:eastAsia="宋体" w:hAnsi="宋体" w:cs="宋体" w:hint="eastAsia"/>
          <w:color w:val="333333"/>
          <w:kern w:val="0"/>
          <w:sz w:val="24"/>
          <w:szCs w:val="24"/>
        </w:rPr>
        <w:t xml:space="preserve">监管机构在听证程序中书面明确告知行政相对人享有提供排除其涉嫌违法行为证据的权利，行政相对人能够提供但无正当理由拒不提供，后又在诉讼中提供的，人民法院一般不予采纳。行政处罚相对人在行政程序中未提供但有正当理由，在诉讼中依照最高人民法院《关于行政诉讼证据若干问题的规定》提供的证据，人民法院应当采纳。 </w:t>
      </w:r>
    </w:p>
    <w:p w:rsidR="00AB66F7" w:rsidRPr="00AB66F7" w:rsidRDefault="00AB66F7" w:rsidP="00AB66F7">
      <w:pPr>
        <w:widowControl/>
        <w:shd w:val="clear" w:color="auto" w:fill="FFFFFF"/>
        <w:snapToGrid w:val="0"/>
        <w:spacing w:line="360" w:lineRule="auto"/>
        <w:ind w:firstLineChars="200" w:firstLine="480"/>
        <w:jc w:val="left"/>
        <w:rPr>
          <w:rFonts w:ascii="宋体" w:eastAsia="宋体" w:hAnsi="宋体" w:cs="宋体"/>
          <w:color w:val="333333"/>
          <w:kern w:val="0"/>
          <w:sz w:val="24"/>
          <w:szCs w:val="24"/>
        </w:rPr>
      </w:pPr>
      <w:r w:rsidRPr="00AB66F7">
        <w:rPr>
          <w:rFonts w:ascii="宋体" w:eastAsia="宋体" w:hAnsi="宋体" w:cs="宋体" w:hint="eastAsia"/>
          <w:color w:val="333333"/>
          <w:kern w:val="0"/>
          <w:sz w:val="24"/>
          <w:szCs w:val="24"/>
        </w:rPr>
        <w:t>监管机构除依法向人民法院提供据以</w:t>
      </w:r>
      <w:proofErr w:type="gramStart"/>
      <w:r w:rsidRPr="00AB66F7">
        <w:rPr>
          <w:rFonts w:ascii="宋体" w:eastAsia="宋体" w:hAnsi="宋体" w:cs="宋体" w:hint="eastAsia"/>
          <w:color w:val="333333"/>
          <w:kern w:val="0"/>
          <w:sz w:val="24"/>
          <w:szCs w:val="24"/>
        </w:rPr>
        <w:t>作出</w:t>
      </w:r>
      <w:proofErr w:type="gramEnd"/>
      <w:r w:rsidRPr="00AB66F7">
        <w:rPr>
          <w:rFonts w:ascii="宋体" w:eastAsia="宋体" w:hAnsi="宋体" w:cs="宋体" w:hint="eastAsia"/>
          <w:color w:val="333333"/>
          <w:kern w:val="0"/>
          <w:sz w:val="24"/>
          <w:szCs w:val="24"/>
        </w:rPr>
        <w:t xml:space="preserve">被诉行政处罚决定的证据和依据外，还应当提交原告、第三人在行政程序中提供的证据材料。 </w:t>
      </w:r>
    </w:p>
    <w:p w:rsidR="00AB66F7" w:rsidRPr="00AB66F7" w:rsidRDefault="00AB66F7" w:rsidP="00AB66F7">
      <w:pPr>
        <w:widowControl/>
        <w:shd w:val="clear" w:color="auto" w:fill="FFFFFF"/>
        <w:snapToGrid w:val="0"/>
        <w:spacing w:line="360" w:lineRule="auto"/>
        <w:jc w:val="left"/>
        <w:rPr>
          <w:rFonts w:ascii="Times New Roman" w:eastAsia="宋体" w:hAnsi="Times New Roman" w:cs="Times New Roman" w:hint="eastAsia"/>
          <w:color w:val="333333"/>
          <w:kern w:val="0"/>
          <w:sz w:val="24"/>
          <w:szCs w:val="24"/>
        </w:rPr>
      </w:pPr>
    </w:p>
    <w:p w:rsidR="00AB66F7" w:rsidRPr="00AB66F7" w:rsidRDefault="00AB66F7" w:rsidP="00AB66F7">
      <w:pPr>
        <w:widowControl/>
        <w:shd w:val="clear" w:color="auto" w:fill="FFFFFF"/>
        <w:snapToGrid w:val="0"/>
        <w:spacing w:line="360" w:lineRule="auto"/>
        <w:jc w:val="center"/>
        <w:rPr>
          <w:rFonts w:ascii="宋体" w:eastAsia="宋体" w:hAnsi="宋体" w:cs="宋体"/>
          <w:color w:val="333333"/>
          <w:kern w:val="0"/>
          <w:sz w:val="24"/>
          <w:szCs w:val="24"/>
        </w:rPr>
      </w:pPr>
      <w:r w:rsidRPr="00AB66F7">
        <w:rPr>
          <w:rFonts w:ascii="黑体" w:eastAsia="黑体" w:hAnsi="黑体" w:cs="宋体" w:hint="eastAsia"/>
          <w:color w:val="333333"/>
          <w:kern w:val="0"/>
          <w:sz w:val="24"/>
          <w:szCs w:val="24"/>
        </w:rPr>
        <w:t>二、关于电子数据证据</w:t>
      </w:r>
      <w:r w:rsidRPr="00AB66F7">
        <w:rPr>
          <w:rFonts w:ascii="宋体" w:eastAsia="宋体" w:hAnsi="宋体" w:cs="宋体" w:hint="eastAsia"/>
          <w:color w:val="333333"/>
          <w:kern w:val="0"/>
          <w:sz w:val="24"/>
          <w:szCs w:val="24"/>
        </w:rPr>
        <w:t xml:space="preserve"> </w:t>
      </w:r>
    </w:p>
    <w:p w:rsidR="00AB66F7" w:rsidRPr="00AB66F7" w:rsidRDefault="00AB66F7" w:rsidP="000266BA">
      <w:pPr>
        <w:widowControl/>
        <w:shd w:val="clear" w:color="auto" w:fill="FFFFFF"/>
        <w:snapToGrid w:val="0"/>
        <w:spacing w:line="360" w:lineRule="auto"/>
        <w:ind w:firstLineChars="200" w:firstLine="480"/>
        <w:jc w:val="left"/>
        <w:rPr>
          <w:rFonts w:ascii="宋体" w:eastAsia="宋体" w:hAnsi="宋体" w:cs="宋体"/>
          <w:color w:val="333333"/>
          <w:kern w:val="0"/>
          <w:sz w:val="24"/>
          <w:szCs w:val="24"/>
        </w:rPr>
      </w:pPr>
      <w:r w:rsidRPr="00AB66F7">
        <w:rPr>
          <w:rFonts w:ascii="宋体" w:eastAsia="宋体" w:hAnsi="宋体" w:cs="宋体" w:hint="eastAsia"/>
          <w:color w:val="333333"/>
          <w:kern w:val="0"/>
          <w:sz w:val="24"/>
          <w:szCs w:val="24"/>
        </w:rPr>
        <w:lastRenderedPageBreak/>
        <w:t>会议认为，证券交易和信息传递电子化、网络化、无线化等特点决定电子交易信息、网络IP地址、通讯记录、电子邮件等电子数据证据在证券行政案件中至关重要。但由于电子数据证据具有载体多样，复制简单、容易被删改和伪造等特点，对电子数据证据的证据形式要求和审核认定应较其他证据方法更为严格。根据行政诉讼法第三十一条第一款第（三）项的规定，最高人民法院《关于行政诉讼证据若干问题的规定》第十二条、第六十四条的规定，当事人可以向人民法院提供电子数据证据</w:t>
      </w:r>
      <w:proofErr w:type="gramStart"/>
      <w:r w:rsidRPr="00AB66F7">
        <w:rPr>
          <w:rFonts w:ascii="宋体" w:eastAsia="宋体" w:hAnsi="宋体" w:cs="宋体" w:hint="eastAsia"/>
          <w:color w:val="333333"/>
          <w:kern w:val="0"/>
          <w:sz w:val="24"/>
          <w:szCs w:val="24"/>
        </w:rPr>
        <w:t>证明待证事实</w:t>
      </w:r>
      <w:proofErr w:type="gramEnd"/>
      <w:r w:rsidRPr="00AB66F7">
        <w:rPr>
          <w:rFonts w:ascii="宋体" w:eastAsia="宋体" w:hAnsi="宋体" w:cs="宋体" w:hint="eastAsia"/>
          <w:color w:val="333333"/>
          <w:kern w:val="0"/>
          <w:sz w:val="24"/>
          <w:szCs w:val="24"/>
        </w:rPr>
        <w:t xml:space="preserve">，相关电子数据证据应当符合下列要求： </w:t>
      </w:r>
    </w:p>
    <w:p w:rsidR="000266BA" w:rsidRDefault="00AB66F7" w:rsidP="000266BA">
      <w:pPr>
        <w:widowControl/>
        <w:shd w:val="clear" w:color="auto" w:fill="FFFFFF"/>
        <w:snapToGrid w:val="0"/>
        <w:spacing w:line="360" w:lineRule="auto"/>
        <w:ind w:firstLineChars="200" w:firstLine="480"/>
        <w:jc w:val="left"/>
        <w:rPr>
          <w:rFonts w:ascii="宋体" w:eastAsia="宋体" w:hAnsi="宋体" w:cs="宋体" w:hint="eastAsia"/>
          <w:color w:val="333333"/>
          <w:kern w:val="0"/>
          <w:sz w:val="24"/>
          <w:szCs w:val="24"/>
        </w:rPr>
      </w:pPr>
      <w:r w:rsidRPr="00AB66F7">
        <w:rPr>
          <w:rFonts w:ascii="宋体" w:eastAsia="宋体" w:hAnsi="宋体" w:cs="宋体" w:hint="eastAsia"/>
          <w:color w:val="333333"/>
          <w:kern w:val="0"/>
          <w:sz w:val="24"/>
          <w:szCs w:val="24"/>
        </w:rPr>
        <w:t xml:space="preserve">（一）无法提取电子数据原始载体或者提取确有困难的，可以提供电子数据复制件，但必须附有不能或者难以提取原始载体的原因、复制过程以及原始载体存放地点或者电子数据网络地址的说明，并由复制件制作人和原始电子数据持有人签名或者盖章，或者以公证等其他有效形式证明电子数据与原始载体的一致性和完整性。 </w:t>
      </w:r>
    </w:p>
    <w:p w:rsidR="000266BA" w:rsidRDefault="00AB66F7" w:rsidP="000266BA">
      <w:pPr>
        <w:widowControl/>
        <w:shd w:val="clear" w:color="auto" w:fill="FFFFFF"/>
        <w:snapToGrid w:val="0"/>
        <w:spacing w:line="360" w:lineRule="auto"/>
        <w:ind w:firstLineChars="200" w:firstLine="480"/>
        <w:jc w:val="left"/>
        <w:rPr>
          <w:rFonts w:ascii="宋体" w:eastAsia="宋体" w:hAnsi="宋体" w:cs="宋体" w:hint="eastAsia"/>
          <w:color w:val="333333"/>
          <w:kern w:val="0"/>
          <w:sz w:val="24"/>
          <w:szCs w:val="24"/>
        </w:rPr>
      </w:pPr>
      <w:r w:rsidRPr="00AB66F7">
        <w:rPr>
          <w:rFonts w:ascii="宋体" w:eastAsia="宋体" w:hAnsi="宋体" w:cs="宋体" w:hint="eastAsia"/>
          <w:color w:val="333333"/>
          <w:kern w:val="0"/>
          <w:sz w:val="24"/>
          <w:szCs w:val="24"/>
        </w:rPr>
        <w:t xml:space="preserve">（二）收集电子数据应当依法制作笔录，详细记载取证的参与人员、技术方法、步骤和过程，记录收集对象的事项名称、内容、规格、类别以及时间、地点等，或者将收集电子数据的过程拍照或录像。 </w:t>
      </w:r>
    </w:p>
    <w:p w:rsidR="000266BA" w:rsidRDefault="00AB66F7" w:rsidP="000266BA">
      <w:pPr>
        <w:widowControl/>
        <w:shd w:val="clear" w:color="auto" w:fill="FFFFFF"/>
        <w:snapToGrid w:val="0"/>
        <w:spacing w:line="360" w:lineRule="auto"/>
        <w:ind w:firstLineChars="200" w:firstLine="480"/>
        <w:jc w:val="left"/>
        <w:rPr>
          <w:rFonts w:ascii="宋体" w:eastAsia="宋体" w:hAnsi="宋体" w:cs="宋体" w:hint="eastAsia"/>
          <w:color w:val="333333"/>
          <w:kern w:val="0"/>
          <w:sz w:val="24"/>
          <w:szCs w:val="24"/>
        </w:rPr>
      </w:pPr>
      <w:r w:rsidRPr="00AB66F7">
        <w:rPr>
          <w:rFonts w:ascii="宋体" w:eastAsia="宋体" w:hAnsi="宋体" w:cs="宋体" w:hint="eastAsia"/>
          <w:color w:val="333333"/>
          <w:kern w:val="0"/>
          <w:sz w:val="24"/>
          <w:szCs w:val="24"/>
        </w:rPr>
        <w:t xml:space="preserve">（三）收集的电子数据应当使用光盘或者其他数字存储介质备份。监管机构为取证人时，应当妥善保存至少一份封存状态的电子数据备份件，并随案移送，以备法庭质证和认证使用。 </w:t>
      </w:r>
    </w:p>
    <w:p w:rsidR="00AB66F7" w:rsidRPr="00AB66F7" w:rsidRDefault="00AB66F7" w:rsidP="000266BA">
      <w:pPr>
        <w:widowControl/>
        <w:shd w:val="clear" w:color="auto" w:fill="FFFFFF"/>
        <w:snapToGrid w:val="0"/>
        <w:spacing w:line="360" w:lineRule="auto"/>
        <w:ind w:firstLineChars="200" w:firstLine="480"/>
        <w:jc w:val="left"/>
        <w:rPr>
          <w:rFonts w:ascii="宋体" w:eastAsia="宋体" w:hAnsi="宋体" w:cs="宋体"/>
          <w:color w:val="333333"/>
          <w:kern w:val="0"/>
          <w:sz w:val="24"/>
          <w:szCs w:val="24"/>
        </w:rPr>
      </w:pPr>
      <w:r w:rsidRPr="00AB66F7">
        <w:rPr>
          <w:rFonts w:ascii="宋体" w:eastAsia="宋体" w:hAnsi="宋体" w:cs="宋体" w:hint="eastAsia"/>
          <w:color w:val="333333"/>
          <w:kern w:val="0"/>
          <w:sz w:val="24"/>
          <w:szCs w:val="24"/>
        </w:rPr>
        <w:t xml:space="preserve">（四）提供通过技术手段恢复或者破解的与案件有关的光盘或者其他数字存储介质、电子设备中被删除的数据、隐藏或者加密的电子数据，必须附有恢复或破解对象、过程、方法和结果的专业说明。对方当事人对该专业说明持异议，并且有证据表明上述方式获取的电子数据存在篡改、剪裁、删除和添加等不真实情况的，可以向人民法院申请鉴定，人民法院应予准许。 </w:t>
      </w:r>
    </w:p>
    <w:p w:rsidR="00AB66F7" w:rsidRPr="00AB66F7" w:rsidRDefault="00AB66F7" w:rsidP="00AB66F7">
      <w:pPr>
        <w:widowControl/>
        <w:shd w:val="clear" w:color="auto" w:fill="FFFFFF"/>
        <w:snapToGrid w:val="0"/>
        <w:spacing w:line="360" w:lineRule="auto"/>
        <w:jc w:val="left"/>
        <w:rPr>
          <w:rFonts w:ascii="Times New Roman" w:eastAsia="宋体" w:hAnsi="Times New Roman" w:cs="Times New Roman" w:hint="eastAsia"/>
          <w:color w:val="333333"/>
          <w:kern w:val="0"/>
          <w:sz w:val="24"/>
          <w:szCs w:val="24"/>
        </w:rPr>
      </w:pPr>
    </w:p>
    <w:p w:rsidR="00AB66F7" w:rsidRPr="000266BA" w:rsidRDefault="00AB66F7" w:rsidP="000266BA">
      <w:pPr>
        <w:pStyle w:val="a3"/>
        <w:widowControl/>
        <w:numPr>
          <w:ilvl w:val="0"/>
          <w:numId w:val="1"/>
        </w:numPr>
        <w:shd w:val="clear" w:color="auto" w:fill="FFFFFF"/>
        <w:snapToGrid w:val="0"/>
        <w:spacing w:line="360" w:lineRule="auto"/>
        <w:ind w:firstLineChars="0"/>
        <w:jc w:val="center"/>
        <w:rPr>
          <w:rFonts w:ascii="宋体" w:eastAsia="宋体" w:hAnsi="宋体" w:cs="宋体" w:hint="eastAsia"/>
          <w:color w:val="333333"/>
          <w:kern w:val="0"/>
          <w:sz w:val="24"/>
          <w:szCs w:val="24"/>
        </w:rPr>
      </w:pPr>
      <w:r w:rsidRPr="000266BA">
        <w:rPr>
          <w:rFonts w:ascii="黑体" w:eastAsia="黑体" w:hAnsi="黑体" w:cs="宋体" w:hint="eastAsia"/>
          <w:color w:val="333333"/>
          <w:kern w:val="0"/>
          <w:sz w:val="24"/>
          <w:szCs w:val="24"/>
        </w:rPr>
        <w:t>关于专业意见</w:t>
      </w:r>
      <w:r w:rsidRPr="000266BA">
        <w:rPr>
          <w:rFonts w:ascii="宋体" w:eastAsia="宋体" w:hAnsi="宋体" w:cs="宋体" w:hint="eastAsia"/>
          <w:color w:val="333333"/>
          <w:kern w:val="0"/>
          <w:sz w:val="24"/>
          <w:szCs w:val="24"/>
        </w:rPr>
        <w:t xml:space="preserve"> </w:t>
      </w:r>
    </w:p>
    <w:p w:rsidR="000266BA" w:rsidRPr="000266BA" w:rsidRDefault="000266BA" w:rsidP="000266BA">
      <w:pPr>
        <w:pStyle w:val="a3"/>
        <w:widowControl/>
        <w:shd w:val="clear" w:color="auto" w:fill="FFFFFF"/>
        <w:snapToGrid w:val="0"/>
        <w:spacing w:line="360" w:lineRule="auto"/>
        <w:ind w:left="720" w:firstLineChars="0" w:firstLine="0"/>
        <w:rPr>
          <w:rFonts w:ascii="Times New Roman" w:eastAsia="宋体" w:hAnsi="Times New Roman" w:cs="Times New Roman" w:hint="eastAsia"/>
          <w:color w:val="333333"/>
          <w:kern w:val="0"/>
          <w:sz w:val="24"/>
          <w:szCs w:val="24"/>
        </w:rPr>
      </w:pPr>
    </w:p>
    <w:p w:rsidR="00AB66F7" w:rsidRPr="00AB66F7" w:rsidRDefault="00AB66F7" w:rsidP="000266BA">
      <w:pPr>
        <w:widowControl/>
        <w:shd w:val="clear" w:color="auto" w:fill="FFFFFF"/>
        <w:snapToGrid w:val="0"/>
        <w:spacing w:line="360" w:lineRule="auto"/>
        <w:ind w:firstLineChars="200" w:firstLine="480"/>
        <w:jc w:val="left"/>
        <w:rPr>
          <w:rFonts w:ascii="宋体" w:eastAsia="宋体" w:hAnsi="宋体" w:cs="宋体"/>
          <w:color w:val="333333"/>
          <w:kern w:val="0"/>
          <w:sz w:val="24"/>
          <w:szCs w:val="24"/>
        </w:rPr>
      </w:pPr>
      <w:r w:rsidRPr="00AB66F7">
        <w:rPr>
          <w:rFonts w:ascii="宋体" w:eastAsia="宋体" w:hAnsi="宋体" w:cs="宋体" w:hint="eastAsia"/>
          <w:color w:val="333333"/>
          <w:kern w:val="0"/>
          <w:sz w:val="24"/>
          <w:szCs w:val="24"/>
        </w:rPr>
        <w:t xml:space="preserve">会议认为，对被诉行政处罚决定涉及的专门性问题，当事人可以向人民法院提供其聘请的专业机构、特定行业专家出具的统计分析意见和规则解释意见；人民法院认为有必要的，也可以聘请相关专业机构、专家出具意见。 </w:t>
      </w:r>
    </w:p>
    <w:p w:rsidR="00AB66F7" w:rsidRPr="00AB66F7" w:rsidRDefault="00AB66F7" w:rsidP="00AB66F7">
      <w:pPr>
        <w:widowControl/>
        <w:shd w:val="clear" w:color="auto" w:fill="FFFFFF"/>
        <w:snapToGrid w:val="0"/>
        <w:spacing w:line="360" w:lineRule="auto"/>
        <w:jc w:val="left"/>
        <w:rPr>
          <w:rFonts w:ascii="Times New Roman" w:eastAsia="宋体" w:hAnsi="Times New Roman" w:cs="Times New Roman" w:hint="eastAsia"/>
          <w:color w:val="333333"/>
          <w:kern w:val="0"/>
          <w:sz w:val="24"/>
          <w:szCs w:val="24"/>
        </w:rPr>
      </w:pPr>
    </w:p>
    <w:p w:rsidR="000266BA" w:rsidRDefault="00AB66F7" w:rsidP="000266BA">
      <w:pPr>
        <w:widowControl/>
        <w:shd w:val="clear" w:color="auto" w:fill="FFFFFF"/>
        <w:snapToGrid w:val="0"/>
        <w:spacing w:line="360" w:lineRule="auto"/>
        <w:ind w:firstLineChars="200" w:firstLine="480"/>
        <w:jc w:val="left"/>
        <w:rPr>
          <w:rFonts w:ascii="宋体" w:eastAsia="宋体" w:hAnsi="宋体" w:cs="宋体" w:hint="eastAsia"/>
          <w:color w:val="333333"/>
          <w:kern w:val="0"/>
          <w:sz w:val="24"/>
          <w:szCs w:val="24"/>
        </w:rPr>
      </w:pPr>
      <w:r w:rsidRPr="00AB66F7">
        <w:rPr>
          <w:rFonts w:ascii="宋体" w:eastAsia="宋体" w:hAnsi="宋体" w:cs="宋体" w:hint="eastAsia"/>
          <w:color w:val="333333"/>
          <w:kern w:val="0"/>
          <w:sz w:val="24"/>
          <w:szCs w:val="24"/>
        </w:rPr>
        <w:lastRenderedPageBreak/>
        <w:t xml:space="preserve">专业意见应当在法庭上出示，并经庭审质证。当事人可以申请人民法院通知出具相关意见的专业人员出庭说明，人民法院也可以通知专业人员出庭说明。专业意见之间相互矛盾的，人民法院可以组织专业人员进行对质。 </w:t>
      </w:r>
    </w:p>
    <w:p w:rsidR="00AB66F7" w:rsidRPr="00AB66F7" w:rsidRDefault="00AB66F7" w:rsidP="000266BA">
      <w:pPr>
        <w:widowControl/>
        <w:shd w:val="clear" w:color="auto" w:fill="FFFFFF"/>
        <w:snapToGrid w:val="0"/>
        <w:spacing w:line="360" w:lineRule="auto"/>
        <w:ind w:firstLineChars="200" w:firstLine="480"/>
        <w:jc w:val="left"/>
        <w:rPr>
          <w:rFonts w:ascii="宋体" w:eastAsia="宋体" w:hAnsi="宋体" w:cs="宋体"/>
          <w:color w:val="333333"/>
          <w:kern w:val="0"/>
          <w:sz w:val="24"/>
          <w:szCs w:val="24"/>
        </w:rPr>
      </w:pPr>
      <w:r w:rsidRPr="00AB66F7">
        <w:rPr>
          <w:rFonts w:ascii="宋体" w:eastAsia="宋体" w:hAnsi="宋体" w:cs="宋体" w:hint="eastAsia"/>
          <w:color w:val="333333"/>
          <w:kern w:val="0"/>
          <w:sz w:val="24"/>
          <w:szCs w:val="24"/>
        </w:rPr>
        <w:t xml:space="preserve">人民法院应当根据案件的具体情况，从以下方面审核认定上述专业意见：（一）专业机构或者专家是否与本案有利害关系；（二）专业机构或者专家是否具有合法资质；（三）专业机构或者专家所得出的意见是否超出指定的范围，形式是否规范，内容是否完整，结论是否明确；（四）行政程序中形成的专业意见是否告知对方当事人，并听取对方当事人的质辩意见。 </w:t>
      </w:r>
    </w:p>
    <w:p w:rsidR="00AB66F7" w:rsidRPr="00AB66F7" w:rsidRDefault="00AB66F7" w:rsidP="00AB66F7">
      <w:pPr>
        <w:widowControl/>
        <w:shd w:val="clear" w:color="auto" w:fill="FFFFFF"/>
        <w:snapToGrid w:val="0"/>
        <w:spacing w:line="360" w:lineRule="auto"/>
        <w:jc w:val="left"/>
        <w:rPr>
          <w:rFonts w:ascii="Times New Roman" w:eastAsia="宋体" w:hAnsi="Times New Roman" w:cs="Times New Roman" w:hint="eastAsia"/>
          <w:color w:val="333333"/>
          <w:kern w:val="0"/>
          <w:sz w:val="24"/>
          <w:szCs w:val="24"/>
        </w:rPr>
      </w:pPr>
    </w:p>
    <w:p w:rsidR="00AB66F7" w:rsidRPr="00AB66F7" w:rsidRDefault="00AB66F7" w:rsidP="000266BA">
      <w:pPr>
        <w:widowControl/>
        <w:shd w:val="clear" w:color="auto" w:fill="FFFFFF"/>
        <w:snapToGrid w:val="0"/>
        <w:spacing w:line="360" w:lineRule="auto"/>
        <w:jc w:val="center"/>
        <w:rPr>
          <w:rFonts w:asciiTheme="minorEastAsia" w:hAnsiTheme="minorEastAsia" w:cs="宋体"/>
          <w:b/>
          <w:color w:val="333333"/>
          <w:kern w:val="0"/>
          <w:sz w:val="24"/>
          <w:szCs w:val="24"/>
        </w:rPr>
      </w:pPr>
      <w:r w:rsidRPr="00AB66F7">
        <w:rPr>
          <w:rFonts w:asciiTheme="minorEastAsia" w:hAnsiTheme="minorEastAsia" w:cs="宋体" w:hint="eastAsia"/>
          <w:b/>
          <w:color w:val="333333"/>
          <w:kern w:val="0"/>
          <w:sz w:val="24"/>
          <w:szCs w:val="24"/>
        </w:rPr>
        <w:t xml:space="preserve">四、关于上市公司信息披露违法责任人的证明问题 </w:t>
      </w:r>
    </w:p>
    <w:p w:rsidR="000266BA" w:rsidRDefault="00AB66F7" w:rsidP="000266BA">
      <w:pPr>
        <w:widowControl/>
        <w:shd w:val="clear" w:color="auto" w:fill="FFFFFF"/>
        <w:snapToGrid w:val="0"/>
        <w:spacing w:line="360" w:lineRule="auto"/>
        <w:ind w:firstLineChars="200" w:firstLine="480"/>
        <w:jc w:val="left"/>
        <w:rPr>
          <w:rFonts w:ascii="宋体" w:eastAsia="宋体" w:hAnsi="宋体" w:cs="宋体" w:hint="eastAsia"/>
          <w:color w:val="333333"/>
          <w:kern w:val="0"/>
          <w:sz w:val="24"/>
          <w:szCs w:val="24"/>
        </w:rPr>
      </w:pPr>
      <w:r w:rsidRPr="00AB66F7">
        <w:rPr>
          <w:rFonts w:ascii="宋体" w:eastAsia="宋体" w:hAnsi="宋体" w:cs="宋体" w:hint="eastAsia"/>
          <w:color w:val="333333"/>
          <w:kern w:val="0"/>
          <w:sz w:val="24"/>
          <w:szCs w:val="24"/>
        </w:rPr>
        <w:t xml:space="preserve">会议认为，根据证券法第六十八条规定，上市公司董事、监事、高级管理人员对上市公司信息披露的真实性、准确性和完整性应当承担较其他人员更严格的法定保证责任。人民法院在审理证券法第一百九十三条违反信息披露义务行政处罚案件时，涉及到对直接负责的主管人员和其他直接责任人员处罚的，应当区分证券法第六十八条规定的人员和该范围之外其他人员的不同责任标准与证明方式。 </w:t>
      </w:r>
    </w:p>
    <w:p w:rsidR="000266BA" w:rsidRDefault="00AB66F7" w:rsidP="000266BA">
      <w:pPr>
        <w:widowControl/>
        <w:shd w:val="clear" w:color="auto" w:fill="FFFFFF"/>
        <w:snapToGrid w:val="0"/>
        <w:spacing w:line="360" w:lineRule="auto"/>
        <w:ind w:firstLineChars="200" w:firstLine="480"/>
        <w:jc w:val="left"/>
        <w:rPr>
          <w:rFonts w:ascii="宋体" w:eastAsia="宋体" w:hAnsi="宋体" w:cs="宋体" w:hint="eastAsia"/>
          <w:color w:val="333333"/>
          <w:kern w:val="0"/>
          <w:sz w:val="24"/>
          <w:szCs w:val="24"/>
        </w:rPr>
      </w:pPr>
      <w:r w:rsidRPr="00AB66F7">
        <w:rPr>
          <w:rFonts w:ascii="宋体" w:eastAsia="宋体" w:hAnsi="宋体" w:cs="宋体" w:hint="eastAsia"/>
          <w:color w:val="333333"/>
          <w:kern w:val="0"/>
          <w:sz w:val="24"/>
          <w:szCs w:val="24"/>
        </w:rPr>
        <w:t xml:space="preserve">监管机构根据证券法第六十八条、第一百九十三条规定，结合上市公司董事、监事、高级管理人员与信息披露违法行为之间履行职责的关联程度，认定其为直接负责的主管人员或者其他直接责任人员并给予处罚，被处罚人不服提起诉讼的，应当提供其对该信息披露行为已尽忠实、勤勉义务等证据。 </w:t>
      </w:r>
    </w:p>
    <w:p w:rsidR="00AB66F7" w:rsidRPr="00AB66F7" w:rsidRDefault="00AB66F7" w:rsidP="000266BA">
      <w:pPr>
        <w:widowControl/>
        <w:shd w:val="clear" w:color="auto" w:fill="FFFFFF"/>
        <w:snapToGrid w:val="0"/>
        <w:spacing w:line="360" w:lineRule="auto"/>
        <w:ind w:firstLineChars="200" w:firstLine="480"/>
        <w:jc w:val="left"/>
        <w:rPr>
          <w:rFonts w:ascii="宋体" w:eastAsia="宋体" w:hAnsi="宋体" w:cs="宋体"/>
          <w:color w:val="333333"/>
          <w:kern w:val="0"/>
          <w:sz w:val="24"/>
          <w:szCs w:val="24"/>
        </w:rPr>
      </w:pPr>
      <w:r w:rsidRPr="00AB66F7">
        <w:rPr>
          <w:rFonts w:ascii="宋体" w:eastAsia="宋体" w:hAnsi="宋体" w:cs="宋体" w:hint="eastAsia"/>
          <w:color w:val="333333"/>
          <w:kern w:val="0"/>
          <w:sz w:val="24"/>
          <w:szCs w:val="24"/>
        </w:rPr>
        <w:t xml:space="preserve">对上市公司董事、监事、高级管理人员之外的人员，监管机构认定其为上市公司信息披露违法行为直接负责的主管人员或者其他直接责任人员并给予处罚的，应当证明被处罚人具有下列情形之一：（一）实际履行董事、监事和高级管理人员的职责，并与信息披露违法行为存在直接关联；（二）组织、参与、实施信息披露违法行为或直接导致信息披露违法。 </w:t>
      </w:r>
    </w:p>
    <w:p w:rsidR="00AB66F7" w:rsidRPr="00AB66F7" w:rsidRDefault="00AB66F7" w:rsidP="00AB66F7">
      <w:pPr>
        <w:widowControl/>
        <w:shd w:val="clear" w:color="auto" w:fill="FFFFFF"/>
        <w:snapToGrid w:val="0"/>
        <w:spacing w:line="360" w:lineRule="auto"/>
        <w:jc w:val="left"/>
        <w:rPr>
          <w:rFonts w:ascii="Times New Roman" w:eastAsia="宋体" w:hAnsi="Times New Roman" w:cs="Times New Roman" w:hint="eastAsia"/>
          <w:color w:val="333333"/>
          <w:kern w:val="0"/>
          <w:sz w:val="24"/>
          <w:szCs w:val="24"/>
        </w:rPr>
      </w:pPr>
    </w:p>
    <w:p w:rsidR="00AB66F7" w:rsidRPr="00AB66F7" w:rsidRDefault="00AB66F7" w:rsidP="006811E5">
      <w:pPr>
        <w:widowControl/>
        <w:shd w:val="clear" w:color="auto" w:fill="FFFFFF"/>
        <w:snapToGrid w:val="0"/>
        <w:spacing w:line="360" w:lineRule="auto"/>
        <w:jc w:val="center"/>
        <w:rPr>
          <w:rFonts w:ascii="宋体" w:eastAsia="宋体" w:hAnsi="宋体" w:cs="宋体"/>
          <w:b/>
          <w:color w:val="333333"/>
          <w:kern w:val="0"/>
          <w:sz w:val="24"/>
          <w:szCs w:val="24"/>
        </w:rPr>
      </w:pPr>
      <w:r w:rsidRPr="00AB66F7">
        <w:rPr>
          <w:rFonts w:ascii="黑体" w:eastAsia="黑体" w:hAnsi="黑体" w:cs="宋体" w:hint="eastAsia"/>
          <w:b/>
          <w:color w:val="333333"/>
          <w:kern w:val="0"/>
          <w:sz w:val="24"/>
          <w:szCs w:val="24"/>
        </w:rPr>
        <w:t>五、关于内幕交易行为的</w:t>
      </w:r>
      <w:r w:rsidRPr="00AB66F7">
        <w:rPr>
          <w:rFonts w:ascii="宋体" w:eastAsia="宋体" w:hAnsi="宋体" w:cs="宋体" w:hint="eastAsia"/>
          <w:b/>
          <w:color w:val="333333"/>
          <w:kern w:val="0"/>
          <w:sz w:val="24"/>
          <w:szCs w:val="24"/>
        </w:rPr>
        <w:t xml:space="preserve">认定问题 </w:t>
      </w:r>
    </w:p>
    <w:p w:rsidR="00AB66F7" w:rsidRPr="00AB66F7" w:rsidRDefault="00AB66F7" w:rsidP="00AB66F7">
      <w:pPr>
        <w:widowControl/>
        <w:shd w:val="clear" w:color="auto" w:fill="FFFFFF"/>
        <w:snapToGrid w:val="0"/>
        <w:spacing w:line="360" w:lineRule="auto"/>
        <w:jc w:val="left"/>
        <w:rPr>
          <w:rFonts w:ascii="Times New Roman" w:eastAsia="宋体" w:hAnsi="Times New Roman" w:cs="Times New Roman" w:hint="eastAsia"/>
          <w:color w:val="333333"/>
          <w:kern w:val="0"/>
          <w:sz w:val="24"/>
          <w:szCs w:val="24"/>
        </w:rPr>
      </w:pPr>
    </w:p>
    <w:p w:rsidR="00E64A90" w:rsidRPr="00AB66F7" w:rsidRDefault="00AB66F7" w:rsidP="006811E5">
      <w:pPr>
        <w:widowControl/>
        <w:shd w:val="clear" w:color="auto" w:fill="FFFFFF"/>
        <w:snapToGrid w:val="0"/>
        <w:spacing w:line="360" w:lineRule="auto"/>
        <w:ind w:firstLineChars="200" w:firstLine="480"/>
        <w:jc w:val="left"/>
        <w:rPr>
          <w:sz w:val="24"/>
          <w:szCs w:val="24"/>
        </w:rPr>
      </w:pPr>
      <w:r w:rsidRPr="00AB66F7">
        <w:rPr>
          <w:rFonts w:ascii="宋体" w:eastAsia="宋体" w:hAnsi="宋体" w:cs="宋体" w:hint="eastAsia"/>
          <w:color w:val="333333"/>
          <w:kern w:val="0"/>
          <w:sz w:val="24"/>
          <w:szCs w:val="24"/>
        </w:rPr>
        <w:t>会议认为，监管机构提供的证据能够证明以下情形之一，且被处罚人不能</w:t>
      </w:r>
      <w:proofErr w:type="gramStart"/>
      <w:r w:rsidRPr="00AB66F7">
        <w:rPr>
          <w:rFonts w:ascii="宋体" w:eastAsia="宋体" w:hAnsi="宋体" w:cs="宋体" w:hint="eastAsia"/>
          <w:color w:val="333333"/>
          <w:kern w:val="0"/>
          <w:sz w:val="24"/>
          <w:szCs w:val="24"/>
        </w:rPr>
        <w:t>作出</w:t>
      </w:r>
      <w:proofErr w:type="gramEnd"/>
      <w:r w:rsidRPr="00AB66F7">
        <w:rPr>
          <w:rFonts w:ascii="宋体" w:eastAsia="宋体" w:hAnsi="宋体" w:cs="宋体" w:hint="eastAsia"/>
          <w:color w:val="333333"/>
          <w:kern w:val="0"/>
          <w:sz w:val="24"/>
          <w:szCs w:val="24"/>
        </w:rPr>
        <w:t>合理说明或者提供证据排除其存在利用内幕信息从事相关证券交易活动的，人</w:t>
      </w:r>
      <w:r w:rsidRPr="00AB66F7">
        <w:rPr>
          <w:rFonts w:ascii="宋体" w:eastAsia="宋体" w:hAnsi="宋体" w:cs="宋体" w:hint="eastAsia"/>
          <w:color w:val="333333"/>
          <w:kern w:val="0"/>
          <w:sz w:val="24"/>
          <w:szCs w:val="24"/>
        </w:rPr>
        <w:lastRenderedPageBreak/>
        <w:t>民法院可以确认被</w:t>
      </w:r>
      <w:proofErr w:type="gramStart"/>
      <w:r w:rsidRPr="00AB66F7">
        <w:rPr>
          <w:rFonts w:ascii="宋体" w:eastAsia="宋体" w:hAnsi="宋体" w:cs="宋体" w:hint="eastAsia"/>
          <w:color w:val="333333"/>
          <w:kern w:val="0"/>
          <w:sz w:val="24"/>
          <w:szCs w:val="24"/>
        </w:rPr>
        <w:t>诉处罚</w:t>
      </w:r>
      <w:proofErr w:type="gramEnd"/>
      <w:r w:rsidRPr="00AB66F7">
        <w:rPr>
          <w:rFonts w:ascii="宋体" w:eastAsia="宋体" w:hAnsi="宋体" w:cs="宋体" w:hint="eastAsia"/>
          <w:color w:val="333333"/>
          <w:kern w:val="0"/>
          <w:sz w:val="24"/>
          <w:szCs w:val="24"/>
        </w:rPr>
        <w:t xml:space="preserve">决定认定的内幕交易行为成立：（一）证券法第七十四条规定的证券交易内幕信息知情人，进行了与该内幕信息有关的证券交易活动；（二）证券法第七十四条规定的内幕信息知情人的配偶、父母、子女以及其他有密切关系的人，其证券交易活动与该内幕信息基本吻合；（三）因履行工作职责知悉上述内幕信息并进行了与该信息有关的证券交易活动；（四）非法获取内幕信息，并进行了与该内幕信息有关的证券交易活动；（五）内幕信息公开前与内幕信息知情人或知晓该内幕信息的人联络、接触，其证券交易活动与内幕信息高度吻合。 </w:t>
      </w:r>
      <w:bookmarkStart w:id="0" w:name="_GoBack"/>
      <w:bookmarkEnd w:id="0"/>
    </w:p>
    <w:sectPr w:rsidR="00E64A90" w:rsidRPr="00AB66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C574F"/>
    <w:multiLevelType w:val="hybridMultilevel"/>
    <w:tmpl w:val="663C9252"/>
    <w:lvl w:ilvl="0" w:tplc="BE78AD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6F7"/>
    <w:rsid w:val="000266BA"/>
    <w:rsid w:val="006811E5"/>
    <w:rsid w:val="00AB66F7"/>
    <w:rsid w:val="00E6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6B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6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47492">
      <w:bodyDiv w:val="1"/>
      <w:marLeft w:val="0"/>
      <w:marRight w:val="0"/>
      <w:marTop w:val="0"/>
      <w:marBottom w:val="0"/>
      <w:divBdr>
        <w:top w:val="none" w:sz="0" w:space="0" w:color="auto"/>
        <w:left w:val="none" w:sz="0" w:space="0" w:color="auto"/>
        <w:bottom w:val="none" w:sz="0" w:space="0" w:color="auto"/>
        <w:right w:val="none" w:sz="0" w:space="0" w:color="auto"/>
      </w:divBdr>
      <w:divsChild>
        <w:div w:id="579565536">
          <w:marLeft w:val="0"/>
          <w:marRight w:val="0"/>
          <w:marTop w:val="0"/>
          <w:marBottom w:val="0"/>
          <w:divBdr>
            <w:top w:val="none" w:sz="0" w:space="0" w:color="auto"/>
            <w:left w:val="none" w:sz="0" w:space="0" w:color="auto"/>
            <w:bottom w:val="none" w:sz="0" w:space="0" w:color="auto"/>
            <w:right w:val="none" w:sz="0" w:space="0" w:color="auto"/>
          </w:divBdr>
          <w:divsChild>
            <w:div w:id="1453938305">
              <w:marLeft w:val="0"/>
              <w:marRight w:val="0"/>
              <w:marTop w:val="0"/>
              <w:marBottom w:val="0"/>
              <w:divBdr>
                <w:top w:val="none" w:sz="0" w:space="0" w:color="auto"/>
                <w:left w:val="none" w:sz="0" w:space="0" w:color="auto"/>
                <w:bottom w:val="none" w:sz="0" w:space="0" w:color="auto"/>
                <w:right w:val="none" w:sz="0" w:space="0" w:color="auto"/>
              </w:divBdr>
              <w:divsChild>
                <w:div w:id="281352663">
                  <w:marLeft w:val="105"/>
                  <w:marRight w:val="105"/>
                  <w:marTop w:val="0"/>
                  <w:marBottom w:val="0"/>
                  <w:divBdr>
                    <w:top w:val="none" w:sz="0" w:space="0" w:color="auto"/>
                    <w:left w:val="none" w:sz="0" w:space="0" w:color="auto"/>
                    <w:bottom w:val="none" w:sz="0" w:space="0" w:color="auto"/>
                    <w:right w:val="none" w:sz="0" w:space="0" w:color="auto"/>
                  </w:divBdr>
                  <w:divsChild>
                    <w:div w:id="726026405">
                      <w:marLeft w:val="0"/>
                      <w:marRight w:val="0"/>
                      <w:marTop w:val="0"/>
                      <w:marBottom w:val="0"/>
                      <w:divBdr>
                        <w:top w:val="none" w:sz="0" w:space="0" w:color="auto"/>
                        <w:left w:val="none" w:sz="0" w:space="0" w:color="auto"/>
                        <w:bottom w:val="none" w:sz="0" w:space="0" w:color="auto"/>
                        <w:right w:val="none" w:sz="0" w:space="0" w:color="auto"/>
                      </w:divBdr>
                      <w:divsChild>
                        <w:div w:id="1869373185">
                          <w:marLeft w:val="0"/>
                          <w:marRight w:val="0"/>
                          <w:marTop w:val="0"/>
                          <w:marBottom w:val="0"/>
                          <w:divBdr>
                            <w:top w:val="none" w:sz="0" w:space="0" w:color="auto"/>
                            <w:left w:val="none" w:sz="0" w:space="0" w:color="auto"/>
                            <w:bottom w:val="single" w:sz="12" w:space="11" w:color="CCCCCC"/>
                            <w:right w:val="none" w:sz="0" w:space="0" w:color="auto"/>
                          </w:divBdr>
                        </w:div>
                        <w:div w:id="13088966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2016-03-18T06:13:00Z</dcterms:created>
  <dcterms:modified xsi:type="dcterms:W3CDTF">2016-03-18T06:44:00Z</dcterms:modified>
</cp:coreProperties>
</file>