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DCD" w:rsidRPr="00A27B99" w:rsidRDefault="00AC0DCD" w:rsidP="00F7119C">
      <w:pPr>
        <w:pStyle w:val="1"/>
        <w:numPr>
          <w:ilvl w:val="0"/>
          <w:numId w:val="2"/>
        </w:numPr>
        <w:spacing w:line="276" w:lineRule="auto"/>
        <w:jc w:val="center"/>
        <w:rPr>
          <w:rFonts w:asciiTheme="minorEastAsia" w:eastAsiaTheme="minorEastAsia" w:hAnsiTheme="minorEastAsia"/>
          <w:sz w:val="24"/>
          <w:szCs w:val="20"/>
        </w:rPr>
      </w:pPr>
      <w:r w:rsidRPr="00A27B99">
        <w:rPr>
          <w:rFonts w:asciiTheme="minorEastAsia" w:eastAsiaTheme="minorEastAsia" w:hAnsiTheme="minorEastAsia" w:hint="eastAsia"/>
          <w:sz w:val="24"/>
          <w:szCs w:val="20"/>
        </w:rPr>
        <w:t xml:space="preserve"> 基金信息披露、估值和收益分配</w:t>
      </w:r>
    </w:p>
    <w:p w:rsidR="00AC0DCD" w:rsidRPr="00A27B99" w:rsidRDefault="00AC0DCD" w:rsidP="00F7119C">
      <w:pPr>
        <w:pStyle w:val="a5"/>
        <w:numPr>
          <w:ilvl w:val="0"/>
          <w:numId w:val="3"/>
        </w:numPr>
        <w:spacing w:line="276" w:lineRule="auto"/>
        <w:ind w:firstLineChars="0"/>
        <w:rPr>
          <w:rFonts w:asciiTheme="minorEastAsia" w:eastAsiaTheme="minorEastAsia" w:hAnsiTheme="minorEastAsia"/>
          <w:b/>
          <w:sz w:val="24"/>
          <w:szCs w:val="20"/>
        </w:rPr>
      </w:pPr>
      <w:r w:rsidRPr="00A27B99">
        <w:rPr>
          <w:rFonts w:asciiTheme="minorEastAsia" w:eastAsiaTheme="minorEastAsia" w:hAnsiTheme="minorEastAsia" w:hint="eastAsia"/>
          <w:b/>
          <w:sz w:val="24"/>
          <w:szCs w:val="20"/>
        </w:rPr>
        <w:t>了解公开披露的基金信息的范围；</w:t>
      </w:r>
    </w:p>
    <w:p w:rsidR="00AC0DCD" w:rsidRPr="00A27B99" w:rsidRDefault="001D0ACF" w:rsidP="00A27B99">
      <w:pPr>
        <w:pStyle w:val="a5"/>
        <w:spacing w:line="276" w:lineRule="auto"/>
        <w:ind w:firstLine="482"/>
        <w:rPr>
          <w:rFonts w:asciiTheme="minorEastAsia" w:eastAsiaTheme="minorEastAsia" w:hAnsiTheme="minorEastAsia"/>
          <w:b/>
          <w:sz w:val="24"/>
          <w:szCs w:val="20"/>
        </w:rPr>
      </w:pPr>
      <w:r w:rsidRPr="00A27B99">
        <w:rPr>
          <w:rFonts w:asciiTheme="minorEastAsia" w:eastAsiaTheme="minorEastAsia" w:hAnsiTheme="minorEastAsia" w:hint="eastAsia"/>
          <w:b/>
          <w:sz w:val="24"/>
          <w:szCs w:val="20"/>
        </w:rPr>
        <w:t>《基金法》</w:t>
      </w:r>
    </w:p>
    <w:p w:rsidR="001D0ACF" w:rsidRPr="00A27B99" w:rsidRDefault="001D0ACF"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hint="eastAsia"/>
          <w:sz w:val="24"/>
          <w:szCs w:val="20"/>
        </w:rPr>
        <w:t>第七十七条 公开披露的基金信息包括：</w:t>
      </w:r>
    </w:p>
    <w:p w:rsidR="001D0ACF" w:rsidRPr="00A27B99" w:rsidRDefault="001D0ACF"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hint="eastAsia"/>
          <w:sz w:val="24"/>
          <w:szCs w:val="20"/>
        </w:rPr>
        <w:t xml:space="preserve">　　（一）基金招募说明书、基金合同、基金托管协议；</w:t>
      </w:r>
    </w:p>
    <w:p w:rsidR="001D0ACF" w:rsidRPr="00A27B99" w:rsidRDefault="001D0ACF"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hint="eastAsia"/>
          <w:sz w:val="24"/>
          <w:szCs w:val="20"/>
        </w:rPr>
        <w:t xml:space="preserve">　　（二）基金募集情况；</w:t>
      </w:r>
    </w:p>
    <w:p w:rsidR="001D0ACF" w:rsidRPr="00A27B99" w:rsidRDefault="001D0ACF"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hint="eastAsia"/>
          <w:sz w:val="24"/>
          <w:szCs w:val="20"/>
        </w:rPr>
        <w:t xml:space="preserve">　　（三）基金份额上市交易公告书；</w:t>
      </w:r>
    </w:p>
    <w:p w:rsidR="001D0ACF" w:rsidRPr="00A27B99" w:rsidRDefault="001D0ACF"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hint="eastAsia"/>
          <w:sz w:val="24"/>
          <w:szCs w:val="20"/>
        </w:rPr>
        <w:t xml:space="preserve">　　（四）基金资产净值、基金份额净值；</w:t>
      </w:r>
    </w:p>
    <w:p w:rsidR="001D0ACF" w:rsidRPr="00A27B99" w:rsidRDefault="001D0ACF"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hint="eastAsia"/>
          <w:sz w:val="24"/>
          <w:szCs w:val="20"/>
        </w:rPr>
        <w:t xml:space="preserve">　　（五）基金份额申购、赎回价格；</w:t>
      </w:r>
    </w:p>
    <w:p w:rsidR="001D0ACF" w:rsidRPr="00A27B99" w:rsidRDefault="001D0ACF"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hint="eastAsia"/>
          <w:sz w:val="24"/>
          <w:szCs w:val="20"/>
        </w:rPr>
        <w:t xml:space="preserve">　　（六）基金财产的资产组合季度报告、财务会计报告及中期和年度基金报告；</w:t>
      </w:r>
    </w:p>
    <w:p w:rsidR="001D0ACF" w:rsidRPr="00A27B99" w:rsidRDefault="001D0ACF"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hint="eastAsia"/>
          <w:sz w:val="24"/>
          <w:szCs w:val="20"/>
        </w:rPr>
        <w:t xml:space="preserve">　　（七）临时报告；</w:t>
      </w:r>
    </w:p>
    <w:p w:rsidR="001D0ACF" w:rsidRPr="00A27B99" w:rsidRDefault="001D0ACF"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hint="eastAsia"/>
          <w:sz w:val="24"/>
          <w:szCs w:val="20"/>
        </w:rPr>
        <w:t xml:space="preserve">　　（八）基金份额持有人大会决议；</w:t>
      </w:r>
    </w:p>
    <w:p w:rsidR="001D0ACF" w:rsidRPr="00A27B99" w:rsidRDefault="001D0ACF"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hint="eastAsia"/>
          <w:sz w:val="24"/>
          <w:szCs w:val="20"/>
        </w:rPr>
        <w:t xml:space="preserve">　　（九）基金管理人、基金托管人的专门基金托管部门的重大人事变动；</w:t>
      </w:r>
    </w:p>
    <w:p w:rsidR="001D0ACF" w:rsidRPr="00A27B99" w:rsidRDefault="001D0ACF"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hint="eastAsia"/>
          <w:sz w:val="24"/>
          <w:szCs w:val="20"/>
        </w:rPr>
        <w:t xml:space="preserve">　　（十）涉及基金财产、基金管理业务、基金托管业务的诉讼或者仲裁；</w:t>
      </w:r>
    </w:p>
    <w:p w:rsidR="001D0ACF" w:rsidRPr="00A27B99" w:rsidRDefault="001D0ACF"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hint="eastAsia"/>
          <w:sz w:val="24"/>
          <w:szCs w:val="20"/>
        </w:rPr>
        <w:t xml:space="preserve">　　（十一）国务院证券监督管理机构规定应予披露的其他信息。</w:t>
      </w:r>
    </w:p>
    <w:p w:rsidR="001D0ACF" w:rsidRPr="00A27B99" w:rsidRDefault="001D0ACF" w:rsidP="00A27B99">
      <w:pPr>
        <w:pStyle w:val="a5"/>
        <w:spacing w:line="276" w:lineRule="auto"/>
        <w:ind w:firstLine="482"/>
        <w:rPr>
          <w:rFonts w:asciiTheme="minorEastAsia" w:eastAsiaTheme="minorEastAsia" w:hAnsiTheme="minorEastAsia"/>
          <w:b/>
          <w:sz w:val="24"/>
          <w:szCs w:val="20"/>
        </w:rPr>
      </w:pPr>
      <w:r w:rsidRPr="00A27B99">
        <w:rPr>
          <w:rFonts w:asciiTheme="minorEastAsia" w:eastAsiaTheme="minorEastAsia" w:hAnsiTheme="minorEastAsia" w:hint="eastAsia"/>
          <w:b/>
          <w:sz w:val="24"/>
          <w:szCs w:val="20"/>
        </w:rPr>
        <w:t>《证券投资基金信息披露管理办法》</w:t>
      </w:r>
    </w:p>
    <w:p w:rsidR="001D0ACF" w:rsidRPr="00A27B99" w:rsidRDefault="001D0ACF"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第五条 公开披露的基金信息包括：</w:t>
      </w:r>
    </w:p>
    <w:p w:rsidR="001D0ACF" w:rsidRPr="00A27B99" w:rsidRDefault="001D0ACF"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（一）基金招募说明书；</w:t>
      </w:r>
    </w:p>
    <w:p w:rsidR="001D0ACF" w:rsidRPr="00A27B99" w:rsidRDefault="001D0ACF"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（二）基金合同；</w:t>
      </w:r>
    </w:p>
    <w:p w:rsidR="001D0ACF" w:rsidRPr="00A27B99" w:rsidRDefault="001D0ACF"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（三）基金托管协议；</w:t>
      </w:r>
    </w:p>
    <w:p w:rsidR="001D0ACF" w:rsidRPr="00A27B99" w:rsidRDefault="001D0ACF"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（四）基金份额发售公告；</w:t>
      </w:r>
    </w:p>
    <w:p w:rsidR="001D0ACF" w:rsidRPr="00A27B99" w:rsidRDefault="001D0ACF"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（五）基金募集情况；</w:t>
      </w:r>
    </w:p>
    <w:p w:rsidR="001D0ACF" w:rsidRPr="00A27B99" w:rsidRDefault="001D0ACF"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（六）基金合同生效公告；</w:t>
      </w:r>
    </w:p>
    <w:p w:rsidR="001D0ACF" w:rsidRPr="00A27B99" w:rsidRDefault="001D0ACF"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（七）基金份额上市交易公告书；</w:t>
      </w:r>
    </w:p>
    <w:p w:rsidR="001D0ACF" w:rsidRPr="00A27B99" w:rsidRDefault="001D0ACF"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（八）基金资产净值、基金份额净值；</w:t>
      </w:r>
    </w:p>
    <w:p w:rsidR="001D0ACF" w:rsidRPr="00A27B99" w:rsidRDefault="001D0ACF"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（九）基金份额申购、赎回价格；</w:t>
      </w:r>
    </w:p>
    <w:p w:rsidR="001D0ACF" w:rsidRPr="00A27B99" w:rsidRDefault="001D0ACF"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（十）基金定期报告，包括基金年度报告、基金半年度报告和基金季度报告；</w:t>
      </w:r>
    </w:p>
    <w:p w:rsidR="001D0ACF" w:rsidRPr="00A27B99" w:rsidRDefault="001D0ACF"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（十一）临时报告；</w:t>
      </w:r>
    </w:p>
    <w:p w:rsidR="001D0ACF" w:rsidRPr="00A27B99" w:rsidRDefault="001D0ACF"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（十二）基金份额持有人大会决议；</w:t>
      </w:r>
    </w:p>
    <w:p w:rsidR="001D0ACF" w:rsidRPr="00A27B99" w:rsidRDefault="001D0ACF"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（十三）基金管理人、基金托管人的基金托管部门的重大人事变动；</w:t>
      </w:r>
    </w:p>
    <w:p w:rsidR="001D0ACF" w:rsidRPr="00A27B99" w:rsidRDefault="001D0ACF"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（十四）涉及基金管理人、基金财产、基金托管业务的诉讼；</w:t>
      </w:r>
    </w:p>
    <w:p w:rsidR="001D0ACF" w:rsidRPr="00A27B99" w:rsidRDefault="001D0ACF"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（十五）澄清公告；</w:t>
      </w:r>
    </w:p>
    <w:p w:rsidR="00AC0DCD" w:rsidRPr="00A27B99" w:rsidRDefault="001D0ACF"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（十六）中国证监会规定的其他信息。</w:t>
      </w:r>
    </w:p>
    <w:p w:rsidR="00AC0DCD" w:rsidRPr="00A27B99" w:rsidRDefault="00AC0DCD" w:rsidP="00F7119C">
      <w:pPr>
        <w:pStyle w:val="a5"/>
        <w:spacing w:line="276" w:lineRule="auto"/>
        <w:ind w:left="902" w:firstLineChars="0" w:firstLine="0"/>
        <w:rPr>
          <w:rFonts w:asciiTheme="minorEastAsia" w:eastAsiaTheme="minorEastAsia" w:hAnsiTheme="minorEastAsia"/>
          <w:b/>
          <w:sz w:val="24"/>
          <w:szCs w:val="20"/>
        </w:rPr>
      </w:pPr>
    </w:p>
    <w:p w:rsidR="00AC0DCD" w:rsidRPr="00A27B99" w:rsidRDefault="00AC0DCD" w:rsidP="00F7119C">
      <w:pPr>
        <w:pStyle w:val="a5"/>
        <w:numPr>
          <w:ilvl w:val="0"/>
          <w:numId w:val="3"/>
        </w:numPr>
        <w:spacing w:line="276" w:lineRule="auto"/>
        <w:ind w:firstLineChars="0"/>
        <w:rPr>
          <w:rFonts w:asciiTheme="minorEastAsia" w:eastAsiaTheme="minorEastAsia" w:hAnsiTheme="minorEastAsia"/>
          <w:b/>
          <w:sz w:val="24"/>
          <w:szCs w:val="20"/>
        </w:rPr>
      </w:pPr>
      <w:r w:rsidRPr="00A27B99">
        <w:rPr>
          <w:rFonts w:asciiTheme="minorEastAsia" w:eastAsiaTheme="minorEastAsia" w:hAnsiTheme="minorEastAsia" w:hint="eastAsia"/>
          <w:b/>
          <w:sz w:val="24"/>
          <w:szCs w:val="20"/>
        </w:rPr>
        <w:t>了解公开披露信息的禁止行为；</w:t>
      </w:r>
    </w:p>
    <w:p w:rsidR="001D0ACF" w:rsidRPr="00A27B99" w:rsidRDefault="001D0ACF" w:rsidP="00F7119C">
      <w:pPr>
        <w:pStyle w:val="a5"/>
        <w:spacing w:line="276" w:lineRule="auto"/>
        <w:ind w:left="902" w:firstLineChars="0" w:firstLine="0"/>
        <w:rPr>
          <w:rFonts w:asciiTheme="minorEastAsia" w:eastAsiaTheme="minorEastAsia" w:hAnsiTheme="minorEastAsia"/>
          <w:b/>
          <w:sz w:val="24"/>
          <w:szCs w:val="20"/>
        </w:rPr>
      </w:pPr>
      <w:r w:rsidRPr="00A27B99">
        <w:rPr>
          <w:rFonts w:asciiTheme="minorEastAsia" w:eastAsiaTheme="minorEastAsia" w:hAnsiTheme="minorEastAsia" w:hint="eastAsia"/>
          <w:b/>
          <w:sz w:val="24"/>
          <w:szCs w:val="20"/>
        </w:rPr>
        <w:t>《基金法》</w:t>
      </w:r>
    </w:p>
    <w:p w:rsidR="001D0ACF" w:rsidRPr="00A27B99" w:rsidRDefault="001D0ACF" w:rsidP="00A27B99">
      <w:pPr>
        <w:spacing w:line="276" w:lineRule="auto"/>
        <w:ind w:firstLineChars="210" w:firstLine="504"/>
        <w:rPr>
          <w:rFonts w:asciiTheme="minorEastAsia" w:eastAsiaTheme="minorEastAsia" w:hAnsiTheme="minorEastAsia"/>
          <w:sz w:val="24"/>
          <w:szCs w:val="20"/>
        </w:rPr>
      </w:pPr>
      <w:r w:rsidRPr="00A27B99">
        <w:rPr>
          <w:rFonts w:asciiTheme="minorEastAsia" w:eastAsiaTheme="minorEastAsia" w:hAnsiTheme="minorEastAsia" w:hint="eastAsia"/>
          <w:sz w:val="24"/>
          <w:szCs w:val="20"/>
        </w:rPr>
        <w:t>第七十八条　公开披露基金信息，不得有下列行为：</w:t>
      </w:r>
    </w:p>
    <w:p w:rsidR="001D0ACF" w:rsidRPr="00A27B99" w:rsidRDefault="001D0ACF"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hint="eastAsia"/>
          <w:sz w:val="24"/>
          <w:szCs w:val="20"/>
        </w:rPr>
        <w:lastRenderedPageBreak/>
        <w:t xml:space="preserve">　　（一）虚假记载、误导性陈述或者重大遗漏；</w:t>
      </w:r>
    </w:p>
    <w:p w:rsidR="001D0ACF" w:rsidRPr="00A27B99" w:rsidRDefault="001D0ACF"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hint="eastAsia"/>
          <w:sz w:val="24"/>
          <w:szCs w:val="20"/>
        </w:rPr>
        <w:t xml:space="preserve">　　（二）对证券投资业绩进行预测；</w:t>
      </w:r>
    </w:p>
    <w:p w:rsidR="001D0ACF" w:rsidRPr="00A27B99" w:rsidRDefault="001D0ACF"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hint="eastAsia"/>
          <w:sz w:val="24"/>
          <w:szCs w:val="20"/>
        </w:rPr>
        <w:t xml:space="preserve">　　（三）违规承诺收益或者承担损失；</w:t>
      </w:r>
    </w:p>
    <w:p w:rsidR="001D0ACF" w:rsidRPr="00A27B99" w:rsidRDefault="001D0ACF"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hint="eastAsia"/>
          <w:sz w:val="24"/>
          <w:szCs w:val="20"/>
        </w:rPr>
        <w:t xml:space="preserve">　　（四）诋毁其他基金管理人、基金托管人或者基金销售机构；</w:t>
      </w:r>
    </w:p>
    <w:p w:rsidR="001D0ACF" w:rsidRPr="00A27B99" w:rsidRDefault="001D0ACF"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hint="eastAsia"/>
          <w:sz w:val="24"/>
          <w:szCs w:val="20"/>
        </w:rPr>
        <w:t xml:space="preserve">　　（五）法律、行政法规和国务院证券监督管理机构规定禁止的其他行为。</w:t>
      </w:r>
    </w:p>
    <w:p w:rsidR="00AC0DCD" w:rsidRPr="00A27B99" w:rsidRDefault="001D0ACF" w:rsidP="00F7119C">
      <w:pPr>
        <w:pStyle w:val="a5"/>
        <w:spacing w:line="276" w:lineRule="auto"/>
        <w:ind w:left="902" w:firstLineChars="0" w:firstLine="0"/>
        <w:rPr>
          <w:rFonts w:asciiTheme="minorEastAsia" w:eastAsiaTheme="minorEastAsia" w:hAnsiTheme="minorEastAsia"/>
          <w:b/>
          <w:sz w:val="24"/>
          <w:szCs w:val="20"/>
        </w:rPr>
      </w:pPr>
      <w:r w:rsidRPr="00A27B99">
        <w:rPr>
          <w:rFonts w:asciiTheme="minorEastAsia" w:eastAsiaTheme="minorEastAsia" w:hAnsiTheme="minorEastAsia" w:hint="eastAsia"/>
          <w:b/>
          <w:sz w:val="24"/>
          <w:szCs w:val="20"/>
        </w:rPr>
        <w:t>《证券投资基金信息披露管理办法》</w:t>
      </w:r>
    </w:p>
    <w:p w:rsidR="001D0ACF" w:rsidRPr="00A27B99" w:rsidRDefault="001D0ACF"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第六条 公开披露基金信息，不得有下列行为：</w:t>
      </w:r>
    </w:p>
    <w:p w:rsidR="001D0ACF" w:rsidRPr="00A27B99" w:rsidRDefault="001D0ACF"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（一）虚假记载、误导性陈述或者重大遗漏；</w:t>
      </w:r>
    </w:p>
    <w:p w:rsidR="001D0ACF" w:rsidRPr="00A27B99" w:rsidRDefault="001D0ACF"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（二）对证券投资业绩进行预测；</w:t>
      </w:r>
    </w:p>
    <w:p w:rsidR="001D0ACF" w:rsidRPr="00A27B99" w:rsidRDefault="001D0ACF"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（三）违规承诺收益或者承担损失；</w:t>
      </w:r>
    </w:p>
    <w:p w:rsidR="001D0ACF" w:rsidRPr="00A27B99" w:rsidRDefault="001D0ACF"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（四）诋毁其他基金管理人、基金托管人或者基金份额发售机构；</w:t>
      </w:r>
    </w:p>
    <w:p w:rsidR="001D0ACF" w:rsidRPr="00A27B99" w:rsidRDefault="001D0ACF"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（五）</w:t>
      </w:r>
      <w:r w:rsidRPr="000B34FA">
        <w:rPr>
          <w:rFonts w:asciiTheme="minorEastAsia" w:eastAsiaTheme="minorEastAsia" w:hAnsiTheme="minorEastAsia"/>
          <w:b/>
          <w:color w:val="FF0000"/>
          <w:sz w:val="24"/>
          <w:szCs w:val="20"/>
        </w:rPr>
        <w:t>登载任何自然人、法人或者其他组织的祝贺性、恭维性或推荐性的文字</w:t>
      </w:r>
      <w:r w:rsidRPr="00A27B99">
        <w:rPr>
          <w:rFonts w:asciiTheme="minorEastAsia" w:eastAsiaTheme="minorEastAsia" w:hAnsiTheme="minorEastAsia"/>
          <w:sz w:val="24"/>
          <w:szCs w:val="20"/>
        </w:rPr>
        <w:t>；</w:t>
      </w:r>
    </w:p>
    <w:p w:rsidR="00AC0DCD" w:rsidRPr="00A27B99" w:rsidRDefault="001D0ACF"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（六）中国证监会禁止的其他行为。</w:t>
      </w:r>
    </w:p>
    <w:p w:rsidR="00AC0DCD" w:rsidRPr="00A27B99" w:rsidRDefault="00AC0DCD" w:rsidP="00F7119C">
      <w:pPr>
        <w:pStyle w:val="a5"/>
        <w:spacing w:line="276" w:lineRule="auto"/>
        <w:ind w:left="902" w:firstLineChars="0" w:firstLine="0"/>
        <w:rPr>
          <w:rFonts w:asciiTheme="minorEastAsia" w:eastAsiaTheme="minorEastAsia" w:hAnsiTheme="minorEastAsia"/>
          <w:b/>
          <w:sz w:val="24"/>
          <w:szCs w:val="20"/>
        </w:rPr>
      </w:pPr>
    </w:p>
    <w:p w:rsidR="00AC0DCD" w:rsidRPr="00A27B99" w:rsidRDefault="00AC0DCD" w:rsidP="00F7119C">
      <w:pPr>
        <w:pStyle w:val="a5"/>
        <w:numPr>
          <w:ilvl w:val="0"/>
          <w:numId w:val="3"/>
        </w:numPr>
        <w:spacing w:line="276" w:lineRule="auto"/>
        <w:ind w:firstLineChars="0"/>
        <w:rPr>
          <w:rFonts w:asciiTheme="minorEastAsia" w:eastAsiaTheme="minorEastAsia" w:hAnsiTheme="minorEastAsia"/>
          <w:b/>
          <w:sz w:val="24"/>
          <w:szCs w:val="20"/>
        </w:rPr>
      </w:pPr>
      <w:r w:rsidRPr="00A27B99">
        <w:rPr>
          <w:rFonts w:asciiTheme="minorEastAsia" w:eastAsiaTheme="minorEastAsia" w:hAnsiTheme="minorEastAsia" w:hint="eastAsia"/>
          <w:b/>
          <w:sz w:val="24"/>
          <w:szCs w:val="20"/>
        </w:rPr>
        <w:t>了解基金资产净值、基金份额净值等基金运作信息披露的规定；</w:t>
      </w:r>
    </w:p>
    <w:p w:rsidR="00AC0DCD" w:rsidRPr="00A27B99" w:rsidRDefault="003C4846" w:rsidP="00A27B99">
      <w:pPr>
        <w:pStyle w:val="a5"/>
        <w:spacing w:line="276" w:lineRule="auto"/>
        <w:ind w:firstLine="482"/>
        <w:rPr>
          <w:rFonts w:asciiTheme="minorEastAsia" w:eastAsiaTheme="minorEastAsia" w:hAnsiTheme="minorEastAsia"/>
          <w:b/>
          <w:sz w:val="24"/>
          <w:szCs w:val="20"/>
        </w:rPr>
      </w:pPr>
      <w:r w:rsidRPr="00A27B99">
        <w:rPr>
          <w:rFonts w:asciiTheme="minorEastAsia" w:eastAsiaTheme="minorEastAsia" w:hAnsiTheme="minorEastAsia" w:hint="eastAsia"/>
          <w:b/>
          <w:sz w:val="24"/>
          <w:szCs w:val="20"/>
        </w:rPr>
        <w:t>《证券投资基金信息披露管理办法》</w:t>
      </w:r>
    </w:p>
    <w:p w:rsidR="003C4846" w:rsidRPr="00A27B99" w:rsidRDefault="003C4846"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第十三条 基金份额获准在证券交易所</w:t>
      </w:r>
      <w:r w:rsidRPr="000B34FA">
        <w:rPr>
          <w:rFonts w:asciiTheme="minorEastAsia" w:eastAsiaTheme="minorEastAsia" w:hAnsiTheme="minorEastAsia"/>
          <w:color w:val="FF0000"/>
          <w:sz w:val="24"/>
          <w:szCs w:val="20"/>
        </w:rPr>
        <w:t>上市交易</w:t>
      </w:r>
      <w:r w:rsidRPr="00A27B99">
        <w:rPr>
          <w:rFonts w:asciiTheme="minorEastAsia" w:eastAsiaTheme="minorEastAsia" w:hAnsiTheme="minorEastAsia"/>
          <w:sz w:val="24"/>
          <w:szCs w:val="20"/>
        </w:rPr>
        <w:t>的，基金管理人应当在基金份额上市交易的</w:t>
      </w:r>
      <w:r w:rsidRPr="000B34FA">
        <w:rPr>
          <w:rFonts w:asciiTheme="minorEastAsia" w:eastAsiaTheme="minorEastAsia" w:hAnsiTheme="minorEastAsia"/>
          <w:b/>
          <w:color w:val="FF0000"/>
          <w:sz w:val="24"/>
          <w:szCs w:val="20"/>
        </w:rPr>
        <w:t>三个工作日前</w:t>
      </w:r>
      <w:r w:rsidRPr="00A27B99">
        <w:rPr>
          <w:rFonts w:asciiTheme="minorEastAsia" w:eastAsiaTheme="minorEastAsia" w:hAnsiTheme="minorEastAsia"/>
          <w:sz w:val="24"/>
          <w:szCs w:val="20"/>
        </w:rPr>
        <w:t xml:space="preserve">，将基金份额上市交易公告书登载在指定报刊和网站上。 </w:t>
      </w:r>
    </w:p>
    <w:p w:rsidR="003C4846" w:rsidRPr="00A27B99" w:rsidRDefault="003C4846"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第十四条 基金管理人应当至</w:t>
      </w:r>
      <w:r w:rsidRPr="000B34FA">
        <w:rPr>
          <w:rFonts w:asciiTheme="minorEastAsia" w:eastAsiaTheme="minorEastAsia" w:hAnsiTheme="minorEastAsia"/>
          <w:color w:val="FF0000"/>
          <w:sz w:val="24"/>
          <w:szCs w:val="20"/>
        </w:rPr>
        <w:t>少每周公告一次封闭式基金的资产净值和份额净值。</w:t>
      </w:r>
      <w:r w:rsidRPr="00A27B99">
        <w:rPr>
          <w:rFonts w:asciiTheme="minorEastAsia" w:eastAsiaTheme="minorEastAsia" w:hAnsiTheme="minorEastAsia"/>
          <w:sz w:val="24"/>
          <w:szCs w:val="20"/>
        </w:rPr>
        <w:t xml:space="preserve"> </w:t>
      </w:r>
    </w:p>
    <w:p w:rsidR="003C4846" w:rsidRPr="00A27B99" w:rsidRDefault="003C4846"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第十五条 开放式基金的基金合同生效后，在开始办理基金份额申购</w:t>
      </w:r>
      <w:r w:rsidRPr="000B34FA">
        <w:rPr>
          <w:rFonts w:asciiTheme="minorEastAsia" w:eastAsiaTheme="minorEastAsia" w:hAnsiTheme="minorEastAsia"/>
          <w:color w:val="FF0000"/>
          <w:sz w:val="24"/>
          <w:szCs w:val="20"/>
        </w:rPr>
        <w:t>或者赎回前，基</w:t>
      </w:r>
      <w:r w:rsidRPr="00A27B99">
        <w:rPr>
          <w:rFonts w:asciiTheme="minorEastAsia" w:eastAsiaTheme="minorEastAsia" w:hAnsiTheme="minorEastAsia"/>
          <w:sz w:val="24"/>
          <w:szCs w:val="20"/>
        </w:rPr>
        <w:t>金管理人应当至少每周公告一次基金资产净值和基金份额净值。</w:t>
      </w:r>
    </w:p>
    <w:p w:rsidR="003C4846" w:rsidRPr="00A27B99" w:rsidRDefault="003C4846"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基金管理人</w:t>
      </w:r>
      <w:r w:rsidRPr="000B34FA">
        <w:rPr>
          <w:rFonts w:asciiTheme="minorEastAsia" w:eastAsiaTheme="minorEastAsia" w:hAnsiTheme="minorEastAsia"/>
          <w:color w:val="FF0000"/>
          <w:sz w:val="24"/>
          <w:szCs w:val="20"/>
        </w:rPr>
        <w:t>应当在每个开放日的次日</w:t>
      </w:r>
      <w:r w:rsidRPr="00A27B99">
        <w:rPr>
          <w:rFonts w:asciiTheme="minorEastAsia" w:eastAsiaTheme="minorEastAsia" w:hAnsiTheme="minorEastAsia"/>
          <w:sz w:val="24"/>
          <w:szCs w:val="20"/>
        </w:rPr>
        <w:t xml:space="preserve">，通过网站、基金份额发售网点以及其他媒介，披露开放日的基金份额净值和基金份额累计净值。 </w:t>
      </w:r>
    </w:p>
    <w:p w:rsidR="003C4846" w:rsidRPr="000B34FA" w:rsidRDefault="003C4846" w:rsidP="00A27B99">
      <w:pPr>
        <w:pStyle w:val="a5"/>
        <w:spacing w:line="276" w:lineRule="auto"/>
        <w:ind w:firstLine="480"/>
        <w:rPr>
          <w:rFonts w:asciiTheme="minorEastAsia" w:eastAsiaTheme="minorEastAsia" w:hAnsiTheme="minorEastAsia"/>
          <w:color w:val="FF0000"/>
          <w:sz w:val="24"/>
          <w:szCs w:val="20"/>
        </w:rPr>
      </w:pPr>
      <w:r w:rsidRPr="00A27B99">
        <w:rPr>
          <w:rFonts w:asciiTheme="minorEastAsia" w:eastAsiaTheme="minorEastAsia" w:hAnsiTheme="minorEastAsia"/>
          <w:sz w:val="24"/>
          <w:szCs w:val="20"/>
        </w:rPr>
        <w:t>第十六条 基金管理人应当公告</w:t>
      </w:r>
      <w:r w:rsidRPr="000B34FA">
        <w:rPr>
          <w:rFonts w:asciiTheme="minorEastAsia" w:eastAsiaTheme="minorEastAsia" w:hAnsiTheme="minorEastAsia"/>
          <w:color w:val="FF0000"/>
          <w:sz w:val="24"/>
          <w:szCs w:val="20"/>
        </w:rPr>
        <w:t>半年度和年度最后一个市场交易日基金资产净值和基金份额净值。</w:t>
      </w:r>
    </w:p>
    <w:p w:rsidR="003C4846" w:rsidRPr="00A27B99" w:rsidRDefault="003C4846"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 xml:space="preserve">基金管理人应当在前款规定的市场交易日的次日，将基金资产净值、基金份额净值和基金份额累计净值登载在指定报刊和网站上。 </w:t>
      </w:r>
    </w:p>
    <w:p w:rsidR="003C4846" w:rsidRPr="00A27B99" w:rsidRDefault="003C4846"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第十七条 基金管理人应当在开放式基金的基金合同、招募说明书等信息披露文件上载</w:t>
      </w:r>
      <w:proofErr w:type="gramStart"/>
      <w:r w:rsidRPr="00A27B99">
        <w:rPr>
          <w:rFonts w:asciiTheme="minorEastAsia" w:eastAsiaTheme="minorEastAsia" w:hAnsiTheme="minorEastAsia"/>
          <w:sz w:val="24"/>
          <w:szCs w:val="20"/>
        </w:rPr>
        <w:t>明基金</w:t>
      </w:r>
      <w:proofErr w:type="gramEnd"/>
      <w:r w:rsidRPr="00A27B99">
        <w:rPr>
          <w:rFonts w:asciiTheme="minorEastAsia" w:eastAsiaTheme="minorEastAsia" w:hAnsiTheme="minorEastAsia"/>
          <w:sz w:val="24"/>
          <w:szCs w:val="20"/>
        </w:rPr>
        <w:t xml:space="preserve">份额申购、赎回价格的计算方式及有关申购、赎回费率，并保证投资人能够在基金份额发售网点查阅或者复制前述信息资料。 </w:t>
      </w:r>
    </w:p>
    <w:p w:rsidR="003C4846" w:rsidRPr="00A27B99" w:rsidRDefault="003C4846"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第十八条 基金管理人应当在</w:t>
      </w:r>
      <w:r w:rsidRPr="000B34FA">
        <w:rPr>
          <w:rFonts w:asciiTheme="minorEastAsia" w:eastAsiaTheme="minorEastAsia" w:hAnsiTheme="minorEastAsia"/>
          <w:b/>
          <w:color w:val="FF0000"/>
          <w:sz w:val="24"/>
          <w:szCs w:val="20"/>
        </w:rPr>
        <w:t>每年结束之日起九十日</w:t>
      </w:r>
      <w:r w:rsidRPr="00A27B99">
        <w:rPr>
          <w:rFonts w:asciiTheme="minorEastAsia" w:eastAsiaTheme="minorEastAsia" w:hAnsiTheme="minorEastAsia"/>
          <w:sz w:val="24"/>
          <w:szCs w:val="20"/>
        </w:rPr>
        <w:t>内，编制完成基金</w:t>
      </w:r>
      <w:r w:rsidRPr="00C3121F">
        <w:rPr>
          <w:rFonts w:asciiTheme="minorEastAsia" w:eastAsiaTheme="minorEastAsia" w:hAnsiTheme="minorEastAsia"/>
          <w:color w:val="FF0000"/>
          <w:sz w:val="24"/>
          <w:szCs w:val="20"/>
        </w:rPr>
        <w:t>年度报</w:t>
      </w:r>
      <w:r w:rsidRPr="00A27B99">
        <w:rPr>
          <w:rFonts w:asciiTheme="minorEastAsia" w:eastAsiaTheme="minorEastAsia" w:hAnsiTheme="minorEastAsia"/>
          <w:sz w:val="24"/>
          <w:szCs w:val="20"/>
        </w:rPr>
        <w:t>告，并将年度报告正文登载于网站上，将年度报告摘要登载在指定报刊上。</w:t>
      </w:r>
    </w:p>
    <w:p w:rsidR="003C4846" w:rsidRPr="00A27B99" w:rsidRDefault="003C4846"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 xml:space="preserve">基金年度报告的财务会计报告应当经过审计。 </w:t>
      </w:r>
    </w:p>
    <w:p w:rsidR="003C4846" w:rsidRPr="00A27B99" w:rsidRDefault="003C4846"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第十九条 基金管理人应当在上半年结束之日</w:t>
      </w:r>
      <w:r w:rsidRPr="00C3121F">
        <w:rPr>
          <w:rFonts w:asciiTheme="minorEastAsia" w:eastAsiaTheme="minorEastAsia" w:hAnsiTheme="minorEastAsia"/>
          <w:b/>
          <w:color w:val="FF0000"/>
          <w:sz w:val="24"/>
          <w:szCs w:val="20"/>
        </w:rPr>
        <w:t>起六十日内</w:t>
      </w:r>
      <w:r w:rsidRPr="00A27B99">
        <w:rPr>
          <w:rFonts w:asciiTheme="minorEastAsia" w:eastAsiaTheme="minorEastAsia" w:hAnsiTheme="minorEastAsia"/>
          <w:sz w:val="24"/>
          <w:szCs w:val="20"/>
        </w:rPr>
        <w:t>，编制完成基金半</w:t>
      </w:r>
      <w:r w:rsidRPr="00C3121F">
        <w:rPr>
          <w:rFonts w:asciiTheme="minorEastAsia" w:eastAsiaTheme="minorEastAsia" w:hAnsiTheme="minorEastAsia"/>
          <w:color w:val="FF0000"/>
          <w:sz w:val="24"/>
          <w:szCs w:val="20"/>
        </w:rPr>
        <w:t>年度报告</w:t>
      </w:r>
      <w:r w:rsidRPr="00A27B99">
        <w:rPr>
          <w:rFonts w:asciiTheme="minorEastAsia" w:eastAsiaTheme="minorEastAsia" w:hAnsiTheme="minorEastAsia"/>
          <w:sz w:val="24"/>
          <w:szCs w:val="20"/>
        </w:rPr>
        <w:t xml:space="preserve">，并将半年度报告正文登载在网站上，将半年度报告摘要登载在指定报刊上。 </w:t>
      </w:r>
    </w:p>
    <w:p w:rsidR="003C4846" w:rsidRPr="00A27B99" w:rsidRDefault="003C4846"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第二十条 基金管理人应当在每个季度结束之日</w:t>
      </w:r>
      <w:r w:rsidRPr="00C3121F">
        <w:rPr>
          <w:rFonts w:asciiTheme="minorEastAsia" w:eastAsiaTheme="minorEastAsia" w:hAnsiTheme="minorEastAsia"/>
          <w:b/>
          <w:color w:val="FF0000"/>
          <w:sz w:val="24"/>
          <w:szCs w:val="20"/>
        </w:rPr>
        <w:t>起十五个工作日</w:t>
      </w:r>
      <w:r w:rsidRPr="00C3121F">
        <w:rPr>
          <w:rFonts w:asciiTheme="minorEastAsia" w:eastAsiaTheme="minorEastAsia" w:hAnsiTheme="minorEastAsia"/>
          <w:color w:val="FF0000"/>
          <w:sz w:val="24"/>
          <w:szCs w:val="20"/>
        </w:rPr>
        <w:t>内</w:t>
      </w:r>
      <w:r w:rsidRPr="00A27B99">
        <w:rPr>
          <w:rFonts w:asciiTheme="minorEastAsia" w:eastAsiaTheme="minorEastAsia" w:hAnsiTheme="minorEastAsia"/>
          <w:sz w:val="24"/>
          <w:szCs w:val="20"/>
        </w:rPr>
        <w:t>，编制完成基金</w:t>
      </w:r>
      <w:r w:rsidRPr="00C3121F">
        <w:rPr>
          <w:rFonts w:asciiTheme="minorEastAsia" w:eastAsiaTheme="minorEastAsia" w:hAnsiTheme="minorEastAsia"/>
          <w:color w:val="FF0000"/>
          <w:sz w:val="24"/>
          <w:szCs w:val="20"/>
        </w:rPr>
        <w:t>季度报</w:t>
      </w:r>
      <w:r w:rsidRPr="00A27B99">
        <w:rPr>
          <w:rFonts w:asciiTheme="minorEastAsia" w:eastAsiaTheme="minorEastAsia" w:hAnsiTheme="minorEastAsia"/>
          <w:sz w:val="24"/>
          <w:szCs w:val="20"/>
        </w:rPr>
        <w:t xml:space="preserve">告，并将季度报告登载在指定报刊和网站上。 </w:t>
      </w:r>
    </w:p>
    <w:p w:rsidR="003C4846" w:rsidRPr="00A27B99" w:rsidRDefault="003C4846"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第二十一条 基金合同生效不足两个月的，基金管理人可以不编制当期季度报告、半年度</w:t>
      </w:r>
      <w:r w:rsidRPr="00A27B99">
        <w:rPr>
          <w:rFonts w:asciiTheme="minorEastAsia" w:eastAsiaTheme="minorEastAsia" w:hAnsiTheme="minorEastAsia"/>
          <w:sz w:val="24"/>
          <w:szCs w:val="20"/>
        </w:rPr>
        <w:lastRenderedPageBreak/>
        <w:t xml:space="preserve">报告或者年度报告。 </w:t>
      </w:r>
    </w:p>
    <w:p w:rsidR="003C4846" w:rsidRPr="00A27B99" w:rsidRDefault="003C4846"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第二十二条 基金定期报告应当在公开披露的第二个工作日，分别报中国证监会和基金管理人主要办公场所所在地中国证监会派出机构备案。</w:t>
      </w:r>
    </w:p>
    <w:p w:rsidR="00AC0DCD" w:rsidRPr="00A27B99" w:rsidRDefault="003C4846"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报备应当采用电子文本和书面报告两种方式。</w:t>
      </w:r>
    </w:p>
    <w:p w:rsidR="00AC0DCD" w:rsidRPr="00A27B99" w:rsidRDefault="00AC0DCD" w:rsidP="00F7119C">
      <w:pPr>
        <w:pStyle w:val="a5"/>
        <w:spacing w:line="276" w:lineRule="auto"/>
        <w:ind w:left="902" w:firstLineChars="0" w:firstLine="0"/>
        <w:rPr>
          <w:rFonts w:asciiTheme="minorEastAsia" w:eastAsiaTheme="minorEastAsia" w:hAnsiTheme="minorEastAsia"/>
          <w:b/>
          <w:sz w:val="24"/>
          <w:szCs w:val="20"/>
        </w:rPr>
      </w:pPr>
    </w:p>
    <w:p w:rsidR="00AC0DCD" w:rsidRPr="00A27B99" w:rsidRDefault="00AC0DCD" w:rsidP="00F7119C">
      <w:pPr>
        <w:pStyle w:val="a5"/>
        <w:numPr>
          <w:ilvl w:val="0"/>
          <w:numId w:val="3"/>
        </w:numPr>
        <w:spacing w:line="276" w:lineRule="auto"/>
        <w:ind w:firstLineChars="0"/>
        <w:rPr>
          <w:rFonts w:asciiTheme="minorEastAsia" w:eastAsiaTheme="minorEastAsia" w:hAnsiTheme="minorEastAsia"/>
          <w:b/>
          <w:sz w:val="24"/>
          <w:szCs w:val="20"/>
        </w:rPr>
      </w:pPr>
      <w:r w:rsidRPr="00A27B99">
        <w:rPr>
          <w:rFonts w:asciiTheme="minorEastAsia" w:eastAsiaTheme="minorEastAsia" w:hAnsiTheme="minorEastAsia" w:hint="eastAsia"/>
          <w:b/>
          <w:sz w:val="24"/>
          <w:szCs w:val="20"/>
        </w:rPr>
        <w:t>了解基金份额净值计价错误、基金重大关联交易、基金收益分配等临时信息披露要求；</w:t>
      </w:r>
    </w:p>
    <w:p w:rsidR="00AC0DCD" w:rsidRPr="00A27B99" w:rsidRDefault="003C4846" w:rsidP="00F7119C">
      <w:pPr>
        <w:pStyle w:val="a5"/>
        <w:spacing w:line="276" w:lineRule="auto"/>
        <w:ind w:left="902" w:firstLineChars="0" w:firstLine="0"/>
        <w:rPr>
          <w:rFonts w:asciiTheme="minorEastAsia" w:eastAsiaTheme="minorEastAsia" w:hAnsiTheme="minorEastAsia"/>
          <w:b/>
          <w:sz w:val="24"/>
          <w:szCs w:val="20"/>
        </w:rPr>
      </w:pPr>
      <w:r w:rsidRPr="00A27B99">
        <w:rPr>
          <w:rFonts w:asciiTheme="minorEastAsia" w:eastAsiaTheme="minorEastAsia" w:hAnsiTheme="minorEastAsia" w:hint="eastAsia"/>
          <w:b/>
          <w:sz w:val="24"/>
          <w:szCs w:val="20"/>
        </w:rPr>
        <w:t>《证券投资基金信息披露管理办法》</w:t>
      </w:r>
    </w:p>
    <w:p w:rsidR="003C4846" w:rsidRPr="00A27B99" w:rsidRDefault="003C4846"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第二十三条 基金发生重大事件，有关信息披露义务人应</w:t>
      </w:r>
      <w:r w:rsidRPr="00C3121F">
        <w:rPr>
          <w:rFonts w:asciiTheme="minorEastAsia" w:eastAsiaTheme="minorEastAsia" w:hAnsiTheme="minorEastAsia"/>
          <w:color w:val="FF0000"/>
          <w:sz w:val="24"/>
          <w:szCs w:val="20"/>
        </w:rPr>
        <w:t>当在</w:t>
      </w:r>
      <w:r w:rsidRPr="00C3121F">
        <w:rPr>
          <w:rFonts w:asciiTheme="minorEastAsia" w:eastAsiaTheme="minorEastAsia" w:hAnsiTheme="minorEastAsia"/>
          <w:b/>
          <w:color w:val="FF0000"/>
          <w:sz w:val="24"/>
          <w:szCs w:val="20"/>
        </w:rPr>
        <w:t>两日内</w:t>
      </w:r>
      <w:r w:rsidRPr="00C3121F">
        <w:rPr>
          <w:rFonts w:asciiTheme="minorEastAsia" w:eastAsiaTheme="minorEastAsia" w:hAnsiTheme="minorEastAsia"/>
          <w:color w:val="FF0000"/>
          <w:sz w:val="24"/>
          <w:szCs w:val="20"/>
        </w:rPr>
        <w:t>编制临时报告书</w:t>
      </w:r>
      <w:r w:rsidRPr="00A27B99">
        <w:rPr>
          <w:rFonts w:asciiTheme="minorEastAsia" w:eastAsiaTheme="minorEastAsia" w:hAnsiTheme="minorEastAsia"/>
          <w:sz w:val="24"/>
          <w:szCs w:val="20"/>
        </w:rPr>
        <w:t>，予以公告，并在</w:t>
      </w:r>
      <w:r w:rsidRPr="00C3121F">
        <w:rPr>
          <w:rFonts w:asciiTheme="minorEastAsia" w:eastAsiaTheme="minorEastAsia" w:hAnsiTheme="minorEastAsia"/>
          <w:b/>
          <w:color w:val="FF0000"/>
          <w:sz w:val="24"/>
          <w:szCs w:val="20"/>
        </w:rPr>
        <w:t>公开披露日</w:t>
      </w:r>
      <w:r w:rsidRPr="00C3121F">
        <w:rPr>
          <w:rFonts w:asciiTheme="minorEastAsia" w:eastAsiaTheme="minorEastAsia" w:hAnsiTheme="minorEastAsia"/>
          <w:color w:val="FF0000"/>
          <w:sz w:val="24"/>
          <w:szCs w:val="20"/>
        </w:rPr>
        <w:t>分别报</w:t>
      </w:r>
      <w:r w:rsidRPr="00A27B99">
        <w:rPr>
          <w:rFonts w:asciiTheme="minorEastAsia" w:eastAsiaTheme="minorEastAsia" w:hAnsiTheme="minorEastAsia"/>
          <w:sz w:val="24"/>
          <w:szCs w:val="20"/>
        </w:rPr>
        <w:t>中国证监会和基金管理人主要办公场所所在地中国证监会派出机构备案。</w:t>
      </w:r>
    </w:p>
    <w:p w:rsidR="003C4846" w:rsidRPr="00A27B99" w:rsidRDefault="003C4846"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前款所称重大事件，是指可能对基金份额持有人权益或者基金份额的价格产生重大影响的下列事件：</w:t>
      </w:r>
    </w:p>
    <w:p w:rsidR="003C4846" w:rsidRPr="00A27B99" w:rsidRDefault="003C4846"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（一）基金份额持有人大会的召开；</w:t>
      </w:r>
    </w:p>
    <w:p w:rsidR="003C4846" w:rsidRPr="00A27B99" w:rsidRDefault="003C4846"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（二）提前终止基金合同；</w:t>
      </w:r>
    </w:p>
    <w:p w:rsidR="003C4846" w:rsidRPr="00A27B99" w:rsidRDefault="003C4846"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（三）基金扩募；</w:t>
      </w:r>
    </w:p>
    <w:p w:rsidR="003C4846" w:rsidRPr="00A27B99" w:rsidRDefault="003C4846"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（四）延长基金合同期限；</w:t>
      </w:r>
    </w:p>
    <w:p w:rsidR="003C4846" w:rsidRPr="00A27B99" w:rsidRDefault="003C4846"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（五）转换基金运作方式；</w:t>
      </w:r>
    </w:p>
    <w:p w:rsidR="003C4846" w:rsidRPr="00A27B99" w:rsidRDefault="003C4846"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（六）更换基金管理人、基金托管人；</w:t>
      </w:r>
    </w:p>
    <w:p w:rsidR="003C4846" w:rsidRPr="00A27B99" w:rsidRDefault="003C4846"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（七）基金管理人、基金托管人的法定名称、住所发生变更；</w:t>
      </w:r>
    </w:p>
    <w:p w:rsidR="003C4846" w:rsidRPr="00A27B99" w:rsidRDefault="003C4846"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（八）基金管理</w:t>
      </w:r>
      <w:proofErr w:type="gramStart"/>
      <w:r w:rsidRPr="00A27B99">
        <w:rPr>
          <w:rFonts w:asciiTheme="minorEastAsia" w:eastAsiaTheme="minorEastAsia" w:hAnsiTheme="minorEastAsia"/>
          <w:sz w:val="24"/>
          <w:szCs w:val="20"/>
        </w:rPr>
        <w:t>人股东</w:t>
      </w:r>
      <w:proofErr w:type="gramEnd"/>
      <w:r w:rsidRPr="00A27B99">
        <w:rPr>
          <w:rFonts w:asciiTheme="minorEastAsia" w:eastAsiaTheme="minorEastAsia" w:hAnsiTheme="minorEastAsia"/>
          <w:sz w:val="24"/>
          <w:szCs w:val="20"/>
        </w:rPr>
        <w:t>及其出资比例发生变更；</w:t>
      </w:r>
    </w:p>
    <w:p w:rsidR="003C4846" w:rsidRPr="00A27B99" w:rsidRDefault="003C4846"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（九）基金募集期延长；</w:t>
      </w:r>
    </w:p>
    <w:p w:rsidR="003C4846" w:rsidRPr="00A27B99" w:rsidRDefault="003C4846"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（十）基金管理人的董事长、总经理及其他高级管理人员、基金经理和基金托管人基金托管部门负责人发生变动；</w:t>
      </w:r>
    </w:p>
    <w:p w:rsidR="003C4846" w:rsidRPr="00A27B99" w:rsidRDefault="003C4846"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（十一）基金管理人的</w:t>
      </w:r>
      <w:r w:rsidRPr="00C3121F">
        <w:rPr>
          <w:rFonts w:asciiTheme="minorEastAsia" w:eastAsiaTheme="minorEastAsia" w:hAnsiTheme="minorEastAsia"/>
          <w:color w:val="FF0000"/>
          <w:sz w:val="24"/>
          <w:szCs w:val="20"/>
        </w:rPr>
        <w:t>董事在一年内变更超过百分之五十</w:t>
      </w:r>
      <w:r w:rsidRPr="00A27B99">
        <w:rPr>
          <w:rFonts w:asciiTheme="minorEastAsia" w:eastAsiaTheme="minorEastAsia" w:hAnsiTheme="minorEastAsia"/>
          <w:sz w:val="24"/>
          <w:szCs w:val="20"/>
        </w:rPr>
        <w:t>；</w:t>
      </w:r>
    </w:p>
    <w:p w:rsidR="003C4846" w:rsidRPr="00C3121F" w:rsidRDefault="003C4846" w:rsidP="00A27B99">
      <w:pPr>
        <w:pStyle w:val="a5"/>
        <w:spacing w:line="276" w:lineRule="auto"/>
        <w:ind w:firstLine="480"/>
        <w:rPr>
          <w:rFonts w:asciiTheme="minorEastAsia" w:eastAsiaTheme="minorEastAsia" w:hAnsiTheme="minorEastAsia"/>
          <w:color w:val="FF0000"/>
          <w:sz w:val="24"/>
          <w:szCs w:val="20"/>
        </w:rPr>
      </w:pPr>
      <w:r w:rsidRPr="00A27B99">
        <w:rPr>
          <w:rFonts w:asciiTheme="minorEastAsia" w:eastAsiaTheme="minorEastAsia" w:hAnsiTheme="minorEastAsia"/>
          <w:sz w:val="24"/>
          <w:szCs w:val="20"/>
        </w:rPr>
        <w:t>（十二）基金管理人、基金托管人基金托管部门的</w:t>
      </w:r>
      <w:r w:rsidRPr="00C3121F">
        <w:rPr>
          <w:rFonts w:asciiTheme="minorEastAsia" w:eastAsiaTheme="minorEastAsia" w:hAnsiTheme="minorEastAsia"/>
          <w:color w:val="FF0000"/>
          <w:sz w:val="24"/>
          <w:szCs w:val="20"/>
        </w:rPr>
        <w:t>主要业务人员在一年内变动超过百分之三十；</w:t>
      </w:r>
    </w:p>
    <w:p w:rsidR="003C4846" w:rsidRPr="00A27B99" w:rsidRDefault="003C4846"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（十三）涉及基金管理人、基金财产、基金托管业务的诉讼；</w:t>
      </w:r>
    </w:p>
    <w:p w:rsidR="003C4846" w:rsidRPr="00A27B99" w:rsidRDefault="003C4846"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（十四）基金管理人、基金托管人受</w:t>
      </w:r>
      <w:r w:rsidRPr="00C3121F">
        <w:rPr>
          <w:rFonts w:asciiTheme="minorEastAsia" w:eastAsiaTheme="minorEastAsia" w:hAnsiTheme="minorEastAsia"/>
          <w:color w:val="FF0000"/>
          <w:sz w:val="24"/>
          <w:szCs w:val="20"/>
        </w:rPr>
        <w:t>到监管部门的调查</w:t>
      </w:r>
      <w:r w:rsidRPr="00A27B99">
        <w:rPr>
          <w:rFonts w:asciiTheme="minorEastAsia" w:eastAsiaTheme="minorEastAsia" w:hAnsiTheme="minorEastAsia"/>
          <w:sz w:val="24"/>
          <w:szCs w:val="20"/>
        </w:rPr>
        <w:t>；</w:t>
      </w:r>
    </w:p>
    <w:p w:rsidR="003C4846" w:rsidRPr="00A27B99" w:rsidRDefault="003C4846"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（十五）基金管理人及其董事、总经理及</w:t>
      </w:r>
      <w:r w:rsidRPr="00C3121F">
        <w:rPr>
          <w:rFonts w:asciiTheme="minorEastAsia" w:eastAsiaTheme="minorEastAsia" w:hAnsiTheme="minorEastAsia"/>
          <w:b/>
          <w:color w:val="FF0000"/>
          <w:sz w:val="24"/>
          <w:szCs w:val="20"/>
        </w:rPr>
        <w:t>其他高级管理人员、基金经理受到严重行政处罚</w:t>
      </w:r>
      <w:r w:rsidRPr="00A27B99">
        <w:rPr>
          <w:rFonts w:asciiTheme="minorEastAsia" w:eastAsiaTheme="minorEastAsia" w:hAnsiTheme="minorEastAsia"/>
          <w:sz w:val="24"/>
          <w:szCs w:val="20"/>
        </w:rPr>
        <w:t>，基金托管人及其基金托管部门负责人受到严重行政处罚；</w:t>
      </w:r>
    </w:p>
    <w:p w:rsidR="003C4846" w:rsidRPr="00A27B99" w:rsidRDefault="003C4846"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（十六</w:t>
      </w:r>
      <w:r w:rsidRPr="00A27B99">
        <w:rPr>
          <w:rFonts w:asciiTheme="minorEastAsia" w:eastAsiaTheme="minorEastAsia" w:hAnsiTheme="minorEastAsia"/>
          <w:b/>
          <w:sz w:val="24"/>
          <w:szCs w:val="20"/>
        </w:rPr>
        <w:t>）重大关联交易事项；</w:t>
      </w:r>
    </w:p>
    <w:p w:rsidR="003C4846" w:rsidRPr="00A27B99" w:rsidRDefault="003C4846"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（十七）</w:t>
      </w:r>
      <w:r w:rsidRPr="00A27B99">
        <w:rPr>
          <w:rFonts w:asciiTheme="minorEastAsia" w:eastAsiaTheme="minorEastAsia" w:hAnsiTheme="minorEastAsia"/>
          <w:b/>
          <w:sz w:val="24"/>
          <w:szCs w:val="20"/>
        </w:rPr>
        <w:t>基金收益分配事项；</w:t>
      </w:r>
    </w:p>
    <w:p w:rsidR="003C4846" w:rsidRPr="00A27B99" w:rsidRDefault="003C4846"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（十八）管理费、托管费等费用计提标准、计提方式和费率发生变更；</w:t>
      </w:r>
    </w:p>
    <w:p w:rsidR="003C4846" w:rsidRPr="00A27B99" w:rsidRDefault="003C4846"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（十九）</w:t>
      </w:r>
      <w:r w:rsidRPr="00A27B99">
        <w:rPr>
          <w:rFonts w:asciiTheme="minorEastAsia" w:eastAsiaTheme="minorEastAsia" w:hAnsiTheme="minorEastAsia"/>
          <w:b/>
          <w:sz w:val="24"/>
          <w:szCs w:val="20"/>
        </w:rPr>
        <w:t>基金份额净</w:t>
      </w:r>
      <w:r w:rsidRPr="00C3121F">
        <w:rPr>
          <w:rFonts w:asciiTheme="minorEastAsia" w:eastAsiaTheme="minorEastAsia" w:hAnsiTheme="minorEastAsia"/>
          <w:b/>
          <w:color w:val="FF0000"/>
          <w:sz w:val="24"/>
          <w:szCs w:val="20"/>
        </w:rPr>
        <w:t>值计价错误</w:t>
      </w:r>
      <w:proofErr w:type="gramStart"/>
      <w:r w:rsidRPr="00C3121F">
        <w:rPr>
          <w:rFonts w:asciiTheme="minorEastAsia" w:eastAsiaTheme="minorEastAsia" w:hAnsiTheme="minorEastAsia"/>
          <w:b/>
          <w:color w:val="FF0000"/>
          <w:sz w:val="24"/>
          <w:szCs w:val="20"/>
        </w:rPr>
        <w:t>达基金</w:t>
      </w:r>
      <w:proofErr w:type="gramEnd"/>
      <w:r w:rsidRPr="00C3121F">
        <w:rPr>
          <w:rFonts w:asciiTheme="minorEastAsia" w:eastAsiaTheme="minorEastAsia" w:hAnsiTheme="minorEastAsia"/>
          <w:b/>
          <w:color w:val="FF0000"/>
          <w:sz w:val="24"/>
          <w:szCs w:val="20"/>
        </w:rPr>
        <w:t>份额净值百分之零点五</w:t>
      </w:r>
      <w:r w:rsidRPr="00A27B99">
        <w:rPr>
          <w:rFonts w:asciiTheme="minorEastAsia" w:eastAsiaTheme="minorEastAsia" w:hAnsiTheme="minorEastAsia"/>
          <w:b/>
          <w:sz w:val="24"/>
          <w:szCs w:val="20"/>
        </w:rPr>
        <w:t>；</w:t>
      </w:r>
    </w:p>
    <w:p w:rsidR="003C4846" w:rsidRPr="00A27B99" w:rsidRDefault="003C4846"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（二十）基金改聘会计师事务所；</w:t>
      </w:r>
    </w:p>
    <w:p w:rsidR="003C4846" w:rsidRPr="00A27B99" w:rsidRDefault="003C4846"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（二十一）变更基金份额发售机构；</w:t>
      </w:r>
    </w:p>
    <w:p w:rsidR="003C4846" w:rsidRPr="00A27B99" w:rsidRDefault="003C4846"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（二十二）基金更换注册登记机构；</w:t>
      </w:r>
    </w:p>
    <w:p w:rsidR="003C4846" w:rsidRPr="00A27B99" w:rsidRDefault="003C4846"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（二十三）开放式基金开始办理申购、赎回；</w:t>
      </w:r>
    </w:p>
    <w:p w:rsidR="003C4846" w:rsidRPr="00A27B99" w:rsidRDefault="003C4846"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lastRenderedPageBreak/>
        <w:t>（二十四）开放式基金申购、赎回费率及其收费方式发生变更；</w:t>
      </w:r>
    </w:p>
    <w:p w:rsidR="003C4846" w:rsidRPr="00A27B99" w:rsidRDefault="003C4846"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（二十五）开放式基金发生巨额赎回并延期支付；</w:t>
      </w:r>
    </w:p>
    <w:p w:rsidR="003C4846" w:rsidRPr="00A27B99" w:rsidRDefault="003C4846"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（二十六）开放式基金连续发生巨额赎回并暂停接受赎回申请；</w:t>
      </w:r>
    </w:p>
    <w:p w:rsidR="003C4846" w:rsidRPr="00A27B99" w:rsidRDefault="003C4846"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（二十七）开放式基金暂停接受申购、赎回申请后重新接受申购、赎回；</w:t>
      </w:r>
    </w:p>
    <w:p w:rsidR="003C4846" w:rsidRPr="00A27B99" w:rsidRDefault="003C4846"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 xml:space="preserve">（二十八）中国证监会规定的其他事项。 </w:t>
      </w:r>
    </w:p>
    <w:p w:rsidR="003C4846" w:rsidRPr="00A27B99" w:rsidRDefault="003C4846"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第二十四条 召开基金份额持有人大会的，</w:t>
      </w:r>
      <w:r w:rsidRPr="00C3121F">
        <w:rPr>
          <w:rFonts w:asciiTheme="minorEastAsia" w:eastAsiaTheme="minorEastAsia" w:hAnsiTheme="minorEastAsia"/>
          <w:b/>
          <w:color w:val="FF0000"/>
          <w:sz w:val="24"/>
          <w:szCs w:val="20"/>
        </w:rPr>
        <w:t>召集人应当至少提前三十日公告基金</w:t>
      </w:r>
      <w:r w:rsidRPr="00A27B99">
        <w:rPr>
          <w:rFonts w:asciiTheme="minorEastAsia" w:eastAsiaTheme="minorEastAsia" w:hAnsiTheme="minorEastAsia"/>
          <w:sz w:val="24"/>
          <w:szCs w:val="20"/>
        </w:rPr>
        <w:t>份额持有人大会的召开时间、会议形式、审议事项、议事程序和表决方式等事项。</w:t>
      </w:r>
    </w:p>
    <w:p w:rsidR="003C4846" w:rsidRPr="00A27B99" w:rsidRDefault="003C4846"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 xml:space="preserve">基金份额持有人依法自行召集持有人大会，基金管理人、基金托管人对基金份额持有人大会决定的事项不依法履行信息披露义务的，召集人应当履行相关信息披露义务。 </w:t>
      </w:r>
    </w:p>
    <w:p w:rsidR="00AC0DCD" w:rsidRPr="00A27B99" w:rsidRDefault="003C4846"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第二十五条 在基金合同期限内，任何公共媒体中出现的或者在市场上流传的消息可能对基金份额价格产生误导性影响或者引起较大波动的，相关信息披露义务人知悉后应当立即对该消息进行公开澄清，并将有关情况立即报告中国证监会、基金上市交易的证券交易所。</w:t>
      </w:r>
    </w:p>
    <w:p w:rsidR="00AC0DCD" w:rsidRPr="00A27B99" w:rsidRDefault="00AC0DCD" w:rsidP="00F7119C">
      <w:pPr>
        <w:pStyle w:val="a5"/>
        <w:spacing w:line="276" w:lineRule="auto"/>
        <w:ind w:left="902" w:firstLineChars="0" w:firstLine="0"/>
        <w:rPr>
          <w:rFonts w:asciiTheme="minorEastAsia" w:eastAsiaTheme="minorEastAsia" w:hAnsiTheme="minorEastAsia"/>
          <w:b/>
          <w:sz w:val="24"/>
          <w:szCs w:val="20"/>
        </w:rPr>
      </w:pPr>
    </w:p>
    <w:p w:rsidR="00AC0DCD" w:rsidRPr="00A27B99" w:rsidRDefault="00AC0DCD" w:rsidP="00F7119C">
      <w:pPr>
        <w:pStyle w:val="a5"/>
        <w:numPr>
          <w:ilvl w:val="0"/>
          <w:numId w:val="3"/>
        </w:numPr>
        <w:spacing w:line="276" w:lineRule="auto"/>
        <w:ind w:firstLineChars="0"/>
        <w:rPr>
          <w:rFonts w:asciiTheme="minorEastAsia" w:eastAsiaTheme="minorEastAsia" w:hAnsiTheme="minorEastAsia"/>
          <w:b/>
          <w:sz w:val="24"/>
          <w:szCs w:val="20"/>
        </w:rPr>
      </w:pPr>
      <w:r w:rsidRPr="00A27B99">
        <w:rPr>
          <w:rFonts w:asciiTheme="minorEastAsia" w:eastAsiaTheme="minorEastAsia" w:hAnsiTheme="minorEastAsia" w:hint="eastAsia"/>
          <w:b/>
          <w:sz w:val="24"/>
          <w:szCs w:val="20"/>
        </w:rPr>
        <w:t>了解基金信息披露的编制和刊登要求；</w:t>
      </w:r>
    </w:p>
    <w:p w:rsidR="00F7119C" w:rsidRPr="00A27B99" w:rsidRDefault="00F7119C" w:rsidP="00F7119C">
      <w:pPr>
        <w:spacing w:line="276" w:lineRule="auto"/>
        <w:ind w:left="482"/>
        <w:rPr>
          <w:rFonts w:asciiTheme="minorEastAsia" w:eastAsiaTheme="minorEastAsia" w:hAnsiTheme="minorEastAsia"/>
          <w:b/>
          <w:sz w:val="24"/>
          <w:szCs w:val="20"/>
        </w:rPr>
      </w:pPr>
      <w:r w:rsidRPr="00A27B99">
        <w:rPr>
          <w:rFonts w:asciiTheme="minorEastAsia" w:eastAsiaTheme="minorEastAsia" w:hAnsiTheme="minorEastAsia" w:hint="eastAsia"/>
          <w:b/>
          <w:sz w:val="24"/>
          <w:szCs w:val="20"/>
        </w:rPr>
        <w:t>《证券投资基金信息披露管理办法》</w:t>
      </w:r>
    </w:p>
    <w:p w:rsidR="00F7119C" w:rsidRPr="00A27B99" w:rsidRDefault="00F7119C"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第二十七条 基金信息披露义务人公开披露基金信息，应当符合中国证监会相关基金信息披露内容与格式准则的规定；</w:t>
      </w:r>
      <w:proofErr w:type="gramStart"/>
      <w:r w:rsidRPr="00A27B99">
        <w:rPr>
          <w:rFonts w:asciiTheme="minorEastAsia" w:eastAsiaTheme="minorEastAsia" w:hAnsiTheme="minorEastAsia"/>
          <w:sz w:val="24"/>
          <w:szCs w:val="20"/>
        </w:rPr>
        <w:t>特定基金</w:t>
      </w:r>
      <w:proofErr w:type="gramEnd"/>
      <w:r w:rsidRPr="00A27B99">
        <w:rPr>
          <w:rFonts w:asciiTheme="minorEastAsia" w:eastAsiaTheme="minorEastAsia" w:hAnsiTheme="minorEastAsia"/>
          <w:sz w:val="24"/>
          <w:szCs w:val="20"/>
        </w:rPr>
        <w:t xml:space="preserve">信息披露事项和特殊基金品种的信息披露，应当符合中国证监会相关编报规则的规定。 </w:t>
      </w:r>
    </w:p>
    <w:p w:rsidR="00F7119C" w:rsidRPr="00C3121F" w:rsidRDefault="00F7119C" w:rsidP="00A27B99">
      <w:pPr>
        <w:pStyle w:val="a5"/>
        <w:spacing w:line="276" w:lineRule="auto"/>
        <w:ind w:firstLine="480"/>
        <w:rPr>
          <w:rFonts w:asciiTheme="minorEastAsia" w:eastAsiaTheme="minorEastAsia" w:hAnsiTheme="minorEastAsia"/>
          <w:b/>
          <w:color w:val="FF0000"/>
          <w:sz w:val="24"/>
          <w:szCs w:val="20"/>
        </w:rPr>
      </w:pPr>
      <w:r w:rsidRPr="00A27B99">
        <w:rPr>
          <w:rFonts w:asciiTheme="minorEastAsia" w:eastAsiaTheme="minorEastAsia" w:hAnsiTheme="minorEastAsia"/>
          <w:sz w:val="24"/>
          <w:szCs w:val="20"/>
        </w:rPr>
        <w:t xml:space="preserve">第二十八条 </w:t>
      </w:r>
      <w:r w:rsidRPr="00C3121F">
        <w:rPr>
          <w:rFonts w:asciiTheme="minorEastAsia" w:eastAsiaTheme="minorEastAsia" w:hAnsiTheme="minorEastAsia"/>
          <w:color w:val="FF0000"/>
          <w:sz w:val="24"/>
          <w:szCs w:val="20"/>
        </w:rPr>
        <w:t>基金托管人</w:t>
      </w:r>
      <w:r w:rsidRPr="00A27B99">
        <w:rPr>
          <w:rFonts w:asciiTheme="minorEastAsia" w:eastAsiaTheme="minorEastAsia" w:hAnsiTheme="minorEastAsia"/>
          <w:sz w:val="24"/>
          <w:szCs w:val="20"/>
        </w:rPr>
        <w:t>应当按照相关法律、行政法规、中国证监会的规定和基金合同的约定，对基金管理人编制的基金资产净值、基金份额净值、基金份额申购赎回价格、基金定期报告和定期更新的招募说明书等公开披露的相关基金信息进行</w:t>
      </w:r>
      <w:r w:rsidRPr="00C3121F">
        <w:rPr>
          <w:rFonts w:asciiTheme="minorEastAsia" w:eastAsiaTheme="minorEastAsia" w:hAnsiTheme="minorEastAsia"/>
          <w:b/>
          <w:color w:val="FF0000"/>
          <w:sz w:val="24"/>
          <w:szCs w:val="20"/>
        </w:rPr>
        <w:t xml:space="preserve">复核、审查，并向基金管理人出具书面文件或者盖章确认。 </w:t>
      </w:r>
    </w:p>
    <w:p w:rsidR="00F7119C" w:rsidRPr="00A27B99" w:rsidRDefault="00F7119C"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第二十九条 基金管理人、基金托管人应当在指定报刊中选择披露信息的报刊。</w:t>
      </w:r>
    </w:p>
    <w:p w:rsidR="00AC0DCD" w:rsidRPr="00A27B99" w:rsidRDefault="00F7119C"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基金管理人、基金托管人除依法在指定报刊和网站上披露信息外，还可以根据需要在其他公共媒体披露信息，但是其他公共媒体不得早于指定报刊和网站披露信息，并且在不同媒介上披露同一信息的内容应当一致。</w:t>
      </w:r>
    </w:p>
    <w:p w:rsidR="00AC0DCD" w:rsidRPr="00A27B99" w:rsidRDefault="00AC0DCD" w:rsidP="00F7119C">
      <w:pPr>
        <w:pStyle w:val="a5"/>
        <w:spacing w:line="276" w:lineRule="auto"/>
        <w:ind w:left="902" w:firstLineChars="0" w:firstLine="0"/>
        <w:rPr>
          <w:rFonts w:asciiTheme="minorEastAsia" w:eastAsiaTheme="minorEastAsia" w:hAnsiTheme="minorEastAsia"/>
          <w:b/>
          <w:sz w:val="24"/>
          <w:szCs w:val="20"/>
        </w:rPr>
      </w:pPr>
    </w:p>
    <w:p w:rsidR="00AC0DCD" w:rsidRPr="00A27B99" w:rsidRDefault="00AC0DCD" w:rsidP="00F7119C">
      <w:pPr>
        <w:pStyle w:val="a5"/>
        <w:numPr>
          <w:ilvl w:val="0"/>
          <w:numId w:val="3"/>
        </w:numPr>
        <w:spacing w:line="276" w:lineRule="auto"/>
        <w:ind w:firstLineChars="0"/>
        <w:rPr>
          <w:rFonts w:asciiTheme="minorEastAsia" w:eastAsiaTheme="minorEastAsia" w:hAnsiTheme="minorEastAsia"/>
          <w:b/>
          <w:sz w:val="24"/>
          <w:szCs w:val="20"/>
        </w:rPr>
      </w:pPr>
      <w:r w:rsidRPr="00A27B99">
        <w:rPr>
          <w:rFonts w:asciiTheme="minorEastAsia" w:eastAsiaTheme="minorEastAsia" w:hAnsiTheme="minorEastAsia" w:hint="eastAsia"/>
          <w:b/>
          <w:sz w:val="24"/>
          <w:szCs w:val="20"/>
        </w:rPr>
        <w:t>了解基金定期报告的审计要求。</w:t>
      </w:r>
    </w:p>
    <w:p w:rsidR="00F7119C" w:rsidRPr="00A27B99" w:rsidRDefault="00F7119C" w:rsidP="00A27B99">
      <w:pPr>
        <w:pStyle w:val="a5"/>
        <w:spacing w:line="276" w:lineRule="auto"/>
        <w:ind w:firstLine="482"/>
        <w:rPr>
          <w:rFonts w:asciiTheme="minorEastAsia" w:eastAsiaTheme="minorEastAsia" w:hAnsiTheme="minorEastAsia"/>
          <w:sz w:val="24"/>
          <w:szCs w:val="20"/>
        </w:rPr>
      </w:pPr>
      <w:r w:rsidRPr="00A27B99">
        <w:rPr>
          <w:rFonts w:asciiTheme="minorEastAsia" w:eastAsiaTheme="minorEastAsia" w:hAnsiTheme="minorEastAsia" w:hint="eastAsia"/>
          <w:b/>
          <w:sz w:val="24"/>
          <w:szCs w:val="20"/>
        </w:rPr>
        <w:t>《证券投资基金信息披露管理办法》</w:t>
      </w:r>
    </w:p>
    <w:p w:rsidR="00F7119C" w:rsidRPr="00A27B99" w:rsidRDefault="00F7119C"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第十八条 基金管理人应当在每年结束之日起九十日内，编制完成基金年度报告，并将年度报告正文登载于网站上，将年度报告摘要登载在指定报刊上。</w:t>
      </w:r>
    </w:p>
    <w:p w:rsidR="00AC0DCD" w:rsidRPr="00A27B99" w:rsidRDefault="00F7119C"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基金年度报告的财务会计报告应当经过审计。</w:t>
      </w:r>
    </w:p>
    <w:p w:rsidR="00AC0DCD" w:rsidRPr="00A27B99" w:rsidRDefault="00F7119C"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第三十条 为基金信息披露义务人公开披露的</w:t>
      </w:r>
      <w:r w:rsidRPr="00C3121F">
        <w:rPr>
          <w:rFonts w:asciiTheme="minorEastAsia" w:eastAsiaTheme="minorEastAsia" w:hAnsiTheme="minorEastAsia"/>
          <w:b/>
          <w:color w:val="FF0000"/>
          <w:sz w:val="24"/>
          <w:szCs w:val="20"/>
        </w:rPr>
        <w:t>基金信息出具审计报告、法律意见书的专业机构，应当制作工作底稿，并将相关档案至少保存到基金合同终止后十年。</w:t>
      </w:r>
    </w:p>
    <w:p w:rsidR="00AC0DCD" w:rsidRPr="00A27B99" w:rsidRDefault="00AC0DCD" w:rsidP="00F7119C">
      <w:pPr>
        <w:pStyle w:val="a5"/>
        <w:spacing w:line="276" w:lineRule="auto"/>
        <w:ind w:left="902" w:firstLineChars="0" w:firstLine="0"/>
        <w:rPr>
          <w:rFonts w:asciiTheme="minorEastAsia" w:eastAsiaTheme="minorEastAsia" w:hAnsiTheme="minorEastAsia"/>
          <w:b/>
          <w:sz w:val="24"/>
          <w:szCs w:val="20"/>
        </w:rPr>
      </w:pPr>
    </w:p>
    <w:p w:rsidR="00AC0DCD" w:rsidRPr="00A27B99" w:rsidRDefault="00AC0DCD" w:rsidP="00F7119C">
      <w:pPr>
        <w:pStyle w:val="a5"/>
        <w:numPr>
          <w:ilvl w:val="0"/>
          <w:numId w:val="3"/>
        </w:numPr>
        <w:spacing w:line="276" w:lineRule="auto"/>
        <w:ind w:firstLineChars="0"/>
        <w:rPr>
          <w:rFonts w:asciiTheme="minorEastAsia" w:eastAsiaTheme="minorEastAsia" w:hAnsiTheme="minorEastAsia"/>
          <w:b/>
          <w:sz w:val="24"/>
          <w:szCs w:val="20"/>
        </w:rPr>
      </w:pPr>
      <w:r w:rsidRPr="00A27B99">
        <w:rPr>
          <w:rFonts w:asciiTheme="minorEastAsia" w:eastAsiaTheme="minorEastAsia" w:hAnsiTheme="minorEastAsia" w:hint="eastAsia"/>
          <w:b/>
          <w:sz w:val="24"/>
          <w:szCs w:val="20"/>
        </w:rPr>
        <w:t>了解基金估值的原则、基金产品估值采用的方法；</w:t>
      </w:r>
    </w:p>
    <w:p w:rsidR="00AC0DCD" w:rsidRPr="00A27B99" w:rsidRDefault="00F7119C" w:rsidP="00A27B99">
      <w:pPr>
        <w:pStyle w:val="a5"/>
        <w:spacing w:line="276" w:lineRule="auto"/>
        <w:ind w:firstLine="482"/>
        <w:rPr>
          <w:rFonts w:asciiTheme="minorEastAsia" w:eastAsiaTheme="minorEastAsia" w:hAnsiTheme="minorEastAsia"/>
          <w:b/>
          <w:sz w:val="24"/>
          <w:szCs w:val="20"/>
        </w:rPr>
      </w:pPr>
      <w:r w:rsidRPr="00A27B99">
        <w:rPr>
          <w:rFonts w:asciiTheme="minorEastAsia" w:eastAsiaTheme="minorEastAsia" w:hAnsiTheme="minorEastAsia" w:hint="eastAsia"/>
          <w:b/>
          <w:sz w:val="24"/>
          <w:szCs w:val="20"/>
        </w:rPr>
        <w:t>关于证券投资基金执行《企业会计准则》估值业务及份额净值计价有关事项的通知</w:t>
      </w:r>
    </w:p>
    <w:p w:rsidR="00F7119C" w:rsidRPr="00A27B99" w:rsidRDefault="00F7119C"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二、估值的基本原则</w:t>
      </w:r>
    </w:p>
    <w:p w:rsidR="00F7119C" w:rsidRPr="00A27B99" w:rsidRDefault="00F7119C"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lastRenderedPageBreak/>
        <w:t>（一）</w:t>
      </w:r>
      <w:r w:rsidRPr="00C3121F">
        <w:rPr>
          <w:rFonts w:asciiTheme="minorEastAsia" w:eastAsiaTheme="minorEastAsia" w:hAnsiTheme="minorEastAsia"/>
          <w:color w:val="FF0000"/>
          <w:sz w:val="24"/>
          <w:szCs w:val="20"/>
        </w:rPr>
        <w:t>对存在活跃市场的投资品种，如估值日有市价的，应采用市价确定公允价值。</w:t>
      </w:r>
      <w:r w:rsidRPr="00A27B99">
        <w:rPr>
          <w:rFonts w:asciiTheme="minorEastAsia" w:eastAsiaTheme="minorEastAsia" w:hAnsiTheme="minorEastAsia"/>
          <w:sz w:val="24"/>
          <w:szCs w:val="20"/>
        </w:rPr>
        <w:t>估值日无市价，但最近交易日后经济环境未发生重大变化的，应采用最近交易市价确定公允价值。估值日无市价，且最</w:t>
      </w:r>
      <w:r w:rsidRPr="00C3121F">
        <w:rPr>
          <w:rFonts w:asciiTheme="minorEastAsia" w:eastAsiaTheme="minorEastAsia" w:hAnsiTheme="minorEastAsia"/>
          <w:color w:val="FF0000"/>
          <w:sz w:val="24"/>
          <w:szCs w:val="20"/>
        </w:rPr>
        <w:t>近交易日后</w:t>
      </w:r>
      <w:r w:rsidRPr="00A27B99">
        <w:rPr>
          <w:rFonts w:asciiTheme="minorEastAsia" w:eastAsiaTheme="minorEastAsia" w:hAnsiTheme="minorEastAsia"/>
          <w:sz w:val="24"/>
          <w:szCs w:val="20"/>
        </w:rPr>
        <w:t>经济环境发生了重大变化的，应参考</w:t>
      </w:r>
      <w:r w:rsidRPr="00C3121F">
        <w:rPr>
          <w:rFonts w:asciiTheme="minorEastAsia" w:eastAsiaTheme="minorEastAsia" w:hAnsiTheme="minorEastAsia"/>
          <w:color w:val="FF0000"/>
          <w:sz w:val="24"/>
          <w:szCs w:val="20"/>
        </w:rPr>
        <w:t>类似投资品种的现行市价及重大变化因素</w:t>
      </w:r>
      <w:r w:rsidRPr="00A27B99">
        <w:rPr>
          <w:rFonts w:asciiTheme="minorEastAsia" w:eastAsiaTheme="minorEastAsia" w:hAnsiTheme="minorEastAsia"/>
          <w:sz w:val="24"/>
          <w:szCs w:val="20"/>
        </w:rPr>
        <w:t>，调整最近交易市价，确定公允价值。有充足证据表明最近交易市价不能真实反映公允价值的，应对最近交易的市价进行调整，确定公允价值。</w:t>
      </w:r>
    </w:p>
    <w:p w:rsidR="00F7119C" w:rsidRPr="00A27B99" w:rsidRDefault="00F7119C"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（二）对不存在活跃市场的投资品种，应采用市场参与者普遍认同，且</w:t>
      </w:r>
      <w:r w:rsidRPr="00C3121F">
        <w:rPr>
          <w:rFonts w:asciiTheme="minorEastAsia" w:eastAsiaTheme="minorEastAsia" w:hAnsiTheme="minorEastAsia"/>
          <w:b/>
          <w:color w:val="FF0000"/>
          <w:sz w:val="24"/>
          <w:szCs w:val="20"/>
        </w:rPr>
        <w:t>被以往市场实际交易价格验证具有可靠性的估值技术确定公允价值</w:t>
      </w:r>
      <w:r w:rsidRPr="00A27B99">
        <w:rPr>
          <w:rFonts w:asciiTheme="minorEastAsia" w:eastAsiaTheme="minorEastAsia" w:hAnsiTheme="minorEastAsia"/>
          <w:sz w:val="24"/>
          <w:szCs w:val="20"/>
        </w:rPr>
        <w:t>。运用估值技术得出的结果，应反映估值日在公平条件下进行正常商业交易所采用的交易价格。采用估值技术确定公允价值时，应尽可能使用市场参与者在定价时考虑的所有市场参数，并应通过定期校验，确保估值技术的有效性。</w:t>
      </w:r>
    </w:p>
    <w:p w:rsidR="00F7119C" w:rsidRPr="00A27B99" w:rsidRDefault="00F7119C"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（三）有充足理由表明按以上估值原则仍不能客观反映相关投资品种的公允价值的，基金管理公司应根据具体情</w:t>
      </w:r>
      <w:r w:rsidRPr="00C3121F">
        <w:rPr>
          <w:rFonts w:asciiTheme="minorEastAsia" w:eastAsiaTheme="minorEastAsia" w:hAnsiTheme="minorEastAsia"/>
          <w:b/>
          <w:color w:val="FF0000"/>
          <w:sz w:val="24"/>
          <w:szCs w:val="20"/>
        </w:rPr>
        <w:t>况与托管银行进行商定</w:t>
      </w:r>
      <w:r w:rsidRPr="00A27B99">
        <w:rPr>
          <w:rFonts w:asciiTheme="minorEastAsia" w:eastAsiaTheme="minorEastAsia" w:hAnsiTheme="minorEastAsia"/>
          <w:sz w:val="24"/>
          <w:szCs w:val="20"/>
        </w:rPr>
        <w:t>，按最能恰当反映公允价值的价格估值。</w:t>
      </w:r>
    </w:p>
    <w:p w:rsidR="00F7119C" w:rsidRPr="00A27B99" w:rsidRDefault="00F7119C"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三、具体投资品种的估值</w:t>
      </w:r>
    </w:p>
    <w:p w:rsidR="00F7119C" w:rsidRPr="00A27B99" w:rsidRDefault="00F7119C"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（一）交易所上市、交易品种的估值。</w:t>
      </w:r>
      <w:r w:rsidRPr="00C3121F">
        <w:rPr>
          <w:rFonts w:asciiTheme="minorEastAsia" w:eastAsiaTheme="minorEastAsia" w:hAnsiTheme="minorEastAsia"/>
          <w:color w:val="FF0000"/>
          <w:sz w:val="24"/>
          <w:szCs w:val="20"/>
        </w:rPr>
        <w:t>交易所上市</w:t>
      </w:r>
      <w:r w:rsidRPr="00A27B99">
        <w:rPr>
          <w:rFonts w:asciiTheme="minorEastAsia" w:eastAsiaTheme="minorEastAsia" w:hAnsiTheme="minorEastAsia"/>
          <w:sz w:val="24"/>
          <w:szCs w:val="20"/>
        </w:rPr>
        <w:t>股票和权证以收盘价估值，上市债券以收盘净价估值，期货合约以结算价格估值。交易所以</w:t>
      </w:r>
      <w:r w:rsidRPr="00C3121F">
        <w:rPr>
          <w:rFonts w:asciiTheme="minorEastAsia" w:eastAsiaTheme="minorEastAsia" w:hAnsiTheme="minorEastAsia"/>
          <w:color w:val="FF0000"/>
          <w:sz w:val="24"/>
          <w:szCs w:val="20"/>
        </w:rPr>
        <w:t>大宗交易方式</w:t>
      </w:r>
      <w:r w:rsidRPr="00A27B99">
        <w:rPr>
          <w:rFonts w:asciiTheme="minorEastAsia" w:eastAsiaTheme="minorEastAsia" w:hAnsiTheme="minorEastAsia"/>
          <w:sz w:val="24"/>
          <w:szCs w:val="20"/>
        </w:rPr>
        <w:t>转让的资产支持证券，采用</w:t>
      </w:r>
      <w:r w:rsidRPr="00C3121F">
        <w:rPr>
          <w:rFonts w:asciiTheme="minorEastAsia" w:eastAsiaTheme="minorEastAsia" w:hAnsiTheme="minorEastAsia"/>
          <w:color w:val="FF0000"/>
          <w:sz w:val="24"/>
          <w:szCs w:val="20"/>
        </w:rPr>
        <w:t>估值技术确</w:t>
      </w:r>
      <w:r w:rsidRPr="00A27B99">
        <w:rPr>
          <w:rFonts w:asciiTheme="minorEastAsia" w:eastAsiaTheme="minorEastAsia" w:hAnsiTheme="minorEastAsia"/>
          <w:sz w:val="24"/>
          <w:szCs w:val="20"/>
        </w:rPr>
        <w:t>定公允价值，在估值技术难以可靠计量公允价值的情况下，按成本进行后续计量。</w:t>
      </w:r>
    </w:p>
    <w:p w:rsidR="00F7119C" w:rsidRPr="00C3121F" w:rsidRDefault="00F7119C" w:rsidP="00A27B99">
      <w:pPr>
        <w:pStyle w:val="a5"/>
        <w:spacing w:line="276" w:lineRule="auto"/>
        <w:ind w:firstLine="480"/>
        <w:rPr>
          <w:rFonts w:asciiTheme="minorEastAsia" w:eastAsiaTheme="minorEastAsia" w:hAnsiTheme="minorEastAsia"/>
          <w:color w:val="FF0000"/>
          <w:sz w:val="24"/>
          <w:szCs w:val="20"/>
        </w:rPr>
      </w:pPr>
      <w:r w:rsidRPr="00A27B99">
        <w:rPr>
          <w:rFonts w:asciiTheme="minorEastAsia" w:eastAsiaTheme="minorEastAsia" w:hAnsiTheme="minorEastAsia"/>
          <w:sz w:val="24"/>
          <w:szCs w:val="20"/>
        </w:rPr>
        <w:t>（二）</w:t>
      </w:r>
      <w:r w:rsidRPr="00C3121F">
        <w:rPr>
          <w:rFonts w:asciiTheme="minorEastAsia" w:eastAsiaTheme="minorEastAsia" w:hAnsiTheme="minorEastAsia"/>
          <w:color w:val="FF0000"/>
          <w:sz w:val="24"/>
          <w:szCs w:val="20"/>
        </w:rPr>
        <w:t>交易所发行未上市品种的估值</w:t>
      </w:r>
      <w:r w:rsidRPr="00A27B99">
        <w:rPr>
          <w:rFonts w:asciiTheme="minorEastAsia" w:eastAsiaTheme="minorEastAsia" w:hAnsiTheme="minorEastAsia"/>
          <w:sz w:val="24"/>
          <w:szCs w:val="20"/>
        </w:rPr>
        <w:t>。首次发行未上市的股票、债券和权证，采</w:t>
      </w:r>
      <w:r w:rsidRPr="00C3121F">
        <w:rPr>
          <w:rFonts w:asciiTheme="minorEastAsia" w:eastAsiaTheme="minorEastAsia" w:hAnsiTheme="minorEastAsia"/>
          <w:color w:val="FF0000"/>
          <w:sz w:val="24"/>
          <w:szCs w:val="20"/>
        </w:rPr>
        <w:t>用估值技术确定公允价值，在估值技术难以可靠计量公允价值的情况下，按成本计量</w:t>
      </w:r>
      <w:r w:rsidRPr="00A27B99">
        <w:rPr>
          <w:rFonts w:asciiTheme="minorEastAsia" w:eastAsiaTheme="minorEastAsia" w:hAnsiTheme="minorEastAsia"/>
          <w:sz w:val="24"/>
          <w:szCs w:val="20"/>
        </w:rPr>
        <w:t>；送股、转增股、配股和公开增发新股等发行未上市股票，按交易所上市的同一股票的市价估值；首次公开发行有明确锁定期的股票，同一股票在交易所上市后，按交易所上市的同一股票的市价估值；非公开发行有明</w:t>
      </w:r>
      <w:r w:rsidRPr="00C3121F">
        <w:rPr>
          <w:rFonts w:asciiTheme="minorEastAsia" w:eastAsiaTheme="minorEastAsia" w:hAnsiTheme="minorEastAsia"/>
          <w:color w:val="FF0000"/>
          <w:sz w:val="24"/>
          <w:szCs w:val="20"/>
        </w:rPr>
        <w:t>确锁定期的股票，按本文附件确定公允价值。</w:t>
      </w:r>
    </w:p>
    <w:p w:rsidR="00F7119C" w:rsidRPr="00C3121F" w:rsidRDefault="00F7119C" w:rsidP="00A27B99">
      <w:pPr>
        <w:pStyle w:val="a5"/>
        <w:spacing w:line="276" w:lineRule="auto"/>
        <w:ind w:firstLine="480"/>
        <w:rPr>
          <w:rFonts w:asciiTheme="minorEastAsia" w:eastAsiaTheme="minorEastAsia" w:hAnsiTheme="minorEastAsia"/>
          <w:color w:val="FF0000"/>
          <w:sz w:val="24"/>
          <w:szCs w:val="20"/>
        </w:rPr>
      </w:pPr>
      <w:r w:rsidRPr="00C3121F">
        <w:rPr>
          <w:rFonts w:asciiTheme="minorEastAsia" w:eastAsiaTheme="minorEastAsia" w:hAnsiTheme="minorEastAsia"/>
          <w:color w:val="FF0000"/>
          <w:sz w:val="24"/>
          <w:szCs w:val="20"/>
        </w:rPr>
        <w:t>（三）交易所停止交易等非流通品种的估值。因持有股票而享有的配股权，以及停止交易、但未行权的权证，采用估值技术确定公允价值。</w:t>
      </w:r>
    </w:p>
    <w:p w:rsidR="00AC0DCD" w:rsidRPr="00C3121F" w:rsidRDefault="00F7119C" w:rsidP="00A27B99">
      <w:pPr>
        <w:pStyle w:val="a5"/>
        <w:spacing w:line="276" w:lineRule="auto"/>
        <w:ind w:firstLine="480"/>
        <w:rPr>
          <w:rFonts w:asciiTheme="minorEastAsia" w:eastAsiaTheme="minorEastAsia" w:hAnsiTheme="minorEastAsia"/>
          <w:color w:val="FF0000"/>
          <w:sz w:val="24"/>
          <w:szCs w:val="20"/>
        </w:rPr>
      </w:pPr>
      <w:r w:rsidRPr="00C3121F">
        <w:rPr>
          <w:rFonts w:asciiTheme="minorEastAsia" w:eastAsiaTheme="minorEastAsia" w:hAnsiTheme="minorEastAsia"/>
          <w:color w:val="FF0000"/>
          <w:sz w:val="24"/>
          <w:szCs w:val="20"/>
        </w:rPr>
        <w:t>（四）全国银行间债券市场交易的债券、资产支持证券等固定收益品种，采用估值技术确定公允价值。</w:t>
      </w:r>
    </w:p>
    <w:p w:rsidR="00AC0DCD" w:rsidRPr="00A27B99" w:rsidRDefault="00F7119C" w:rsidP="00A27B99">
      <w:pPr>
        <w:pStyle w:val="a5"/>
        <w:spacing w:line="276" w:lineRule="auto"/>
        <w:ind w:firstLine="482"/>
        <w:rPr>
          <w:rFonts w:asciiTheme="minorEastAsia" w:eastAsiaTheme="minorEastAsia" w:hAnsiTheme="minorEastAsia"/>
          <w:b/>
          <w:sz w:val="24"/>
          <w:szCs w:val="20"/>
        </w:rPr>
      </w:pPr>
      <w:r w:rsidRPr="00A27B99">
        <w:rPr>
          <w:rFonts w:asciiTheme="minorEastAsia" w:eastAsiaTheme="minorEastAsia" w:hAnsiTheme="minorEastAsia" w:hint="eastAsia"/>
          <w:b/>
          <w:sz w:val="24"/>
          <w:szCs w:val="20"/>
        </w:rPr>
        <w:t>《关于进一步规范证券投资基金估值业务的指导意见》</w:t>
      </w:r>
    </w:p>
    <w:p w:rsidR="00F7119C" w:rsidRPr="00A27B99" w:rsidRDefault="00F7119C"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hint="eastAsia"/>
          <w:sz w:val="24"/>
          <w:szCs w:val="20"/>
        </w:rPr>
        <w:t>一、基金管理公司应严格按照新准则、我会相关规定和基金合同关于估值的约定，对基金所持有的投资品种按如下原则进行估值：</w:t>
      </w:r>
    </w:p>
    <w:p w:rsidR="00F7119C" w:rsidRPr="00A27B99" w:rsidRDefault="00F7119C"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hint="eastAsia"/>
          <w:sz w:val="24"/>
          <w:szCs w:val="20"/>
        </w:rPr>
        <w:t>（一）对存在活跃市场的投资品种，如估值日有市价的，应采用市价确定公允价值；估值日无市价，但最近交易日后经济环境未发生重大变化且证券发行机构未发生影响证券价格的重大事件的，应采用最近交易市价确定公允价值。</w:t>
      </w:r>
    </w:p>
    <w:p w:rsidR="00F7119C" w:rsidRPr="00A27B99" w:rsidRDefault="00F7119C"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hint="eastAsia"/>
          <w:sz w:val="24"/>
          <w:szCs w:val="20"/>
        </w:rPr>
        <w:t>（二）对存在活跃市场的投资品种，如估值日无市价，且最近交易日后经济环境发生了重大变化或证券发行机构发生了影响证券价格的重大事件，使潜在估值调整对前一估值日的基金资产净值的影响</w:t>
      </w:r>
      <w:r w:rsidRPr="00C3121F">
        <w:rPr>
          <w:rFonts w:asciiTheme="minorEastAsia" w:eastAsiaTheme="minorEastAsia" w:hAnsiTheme="minorEastAsia" w:hint="eastAsia"/>
          <w:b/>
          <w:color w:val="FF0000"/>
          <w:sz w:val="24"/>
          <w:szCs w:val="20"/>
        </w:rPr>
        <w:t>在0.25％以上</w:t>
      </w:r>
      <w:r w:rsidRPr="00A27B99">
        <w:rPr>
          <w:rFonts w:asciiTheme="minorEastAsia" w:eastAsiaTheme="minorEastAsia" w:hAnsiTheme="minorEastAsia" w:hint="eastAsia"/>
          <w:sz w:val="24"/>
          <w:szCs w:val="20"/>
        </w:rPr>
        <w:t>的，应参考类似投资品种的现行市价及重大变化等因素，调整最近交易市价，确定公允价值。</w:t>
      </w:r>
    </w:p>
    <w:p w:rsidR="00F7119C" w:rsidRPr="00A27B99" w:rsidRDefault="00F7119C"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hint="eastAsia"/>
          <w:sz w:val="24"/>
          <w:szCs w:val="20"/>
        </w:rPr>
        <w:t>（三）当投资品种不再存在活跃市场，且其潜在估值调整对前一估值日的基金资产净值的影响在0.25％以上的,应采用市场参与者普遍认同，且被以往市场实际交易价格验证具有可靠性的估值技术，确定投资品种的公允价值。</w:t>
      </w:r>
    </w:p>
    <w:p w:rsidR="00F7119C" w:rsidRPr="00A27B99" w:rsidRDefault="00F7119C"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hint="eastAsia"/>
          <w:sz w:val="24"/>
          <w:szCs w:val="20"/>
        </w:rPr>
        <w:t>二、在基金估值过程中，特别是按上述第一条第(二)款或第(三)款的规定进行估值时，基</w:t>
      </w:r>
      <w:r w:rsidRPr="00A27B99">
        <w:rPr>
          <w:rFonts w:asciiTheme="minorEastAsia" w:eastAsiaTheme="minorEastAsia" w:hAnsiTheme="minorEastAsia" w:hint="eastAsia"/>
          <w:sz w:val="24"/>
          <w:szCs w:val="20"/>
        </w:rPr>
        <w:lastRenderedPageBreak/>
        <w:t>金管理公司应遵循以下原则和程序：</w:t>
      </w:r>
    </w:p>
    <w:p w:rsidR="00F7119C" w:rsidRPr="00A27B99" w:rsidRDefault="00F7119C"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hint="eastAsia"/>
          <w:sz w:val="24"/>
          <w:szCs w:val="20"/>
        </w:rPr>
        <w:t>（一）基金管理公司应保证基金估值的公平、合理，特别是应当保证估值未被歪曲以免对基金份额持有人产生不利影响。</w:t>
      </w:r>
    </w:p>
    <w:p w:rsidR="00F7119C" w:rsidRPr="00A27B99" w:rsidRDefault="00F7119C"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hint="eastAsia"/>
          <w:sz w:val="24"/>
          <w:szCs w:val="20"/>
        </w:rPr>
        <w:t>（二）基金管理公司应制订健全、有效的估值政策和程序，经基金管理公司管理层批准后实行。估值政策和程序应当明确参与估值流程各方及人员的分工和职责，并明确所有基金投资品种的估值方法，特别是要对按照第一条第（二）款或第（三）款的规定进行估值时所采用的估值模型、假设、参数及其验证机制做出规定。</w:t>
      </w:r>
    </w:p>
    <w:p w:rsidR="00F7119C" w:rsidRPr="00A27B99" w:rsidRDefault="00F7119C"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hint="eastAsia"/>
          <w:sz w:val="24"/>
          <w:szCs w:val="20"/>
        </w:rPr>
        <w:t>（三）基金管理公司对投资品种</w:t>
      </w:r>
      <w:r w:rsidRPr="00892779">
        <w:rPr>
          <w:rFonts w:asciiTheme="minorEastAsia" w:eastAsiaTheme="minorEastAsia" w:hAnsiTheme="minorEastAsia" w:hint="eastAsia"/>
          <w:b/>
          <w:color w:val="FF0000"/>
          <w:sz w:val="24"/>
          <w:szCs w:val="20"/>
        </w:rPr>
        <w:t>进行估值时应保持估值政策和程序的一贯性。在</w:t>
      </w:r>
      <w:r w:rsidRPr="00A27B99">
        <w:rPr>
          <w:rFonts w:asciiTheme="minorEastAsia" w:eastAsiaTheme="minorEastAsia" w:hAnsiTheme="minorEastAsia" w:hint="eastAsia"/>
          <w:sz w:val="24"/>
          <w:szCs w:val="20"/>
        </w:rPr>
        <w:t>考虑投资策略的情况下，同一基金管理公司对管理的不同基金持有的同一证券的估值政策、程序及相关的方法应当一致。除非产生需要更新估值政策或程序的情形，已确定的政策和程序应当持续适用。为了确保一贯性原则的执行，基金管理公司应</w:t>
      </w:r>
      <w:r w:rsidRPr="00892779">
        <w:rPr>
          <w:rFonts w:asciiTheme="minorEastAsia" w:eastAsiaTheme="minorEastAsia" w:hAnsiTheme="minorEastAsia" w:hint="eastAsia"/>
          <w:color w:val="FF0000"/>
          <w:sz w:val="24"/>
          <w:szCs w:val="20"/>
        </w:rPr>
        <w:t>当建立相关内控机制。</w:t>
      </w:r>
    </w:p>
    <w:p w:rsidR="00F7119C" w:rsidRPr="00892779" w:rsidRDefault="00F7119C" w:rsidP="00A27B99">
      <w:pPr>
        <w:pStyle w:val="a5"/>
        <w:spacing w:line="276" w:lineRule="auto"/>
        <w:ind w:firstLine="480"/>
        <w:rPr>
          <w:rFonts w:asciiTheme="minorEastAsia" w:eastAsiaTheme="minorEastAsia" w:hAnsiTheme="minorEastAsia"/>
          <w:color w:val="FF0000"/>
          <w:sz w:val="24"/>
          <w:szCs w:val="20"/>
        </w:rPr>
      </w:pPr>
      <w:r w:rsidRPr="00A27B99">
        <w:rPr>
          <w:rFonts w:asciiTheme="minorEastAsia" w:eastAsiaTheme="minorEastAsia" w:hAnsiTheme="minorEastAsia" w:hint="eastAsia"/>
          <w:sz w:val="24"/>
          <w:szCs w:val="20"/>
        </w:rPr>
        <w:t>（四）基金管理公司应定期</w:t>
      </w:r>
      <w:r w:rsidRPr="00892779">
        <w:rPr>
          <w:rFonts w:asciiTheme="minorEastAsia" w:eastAsiaTheme="minorEastAsia" w:hAnsiTheme="minorEastAsia" w:hint="eastAsia"/>
          <w:color w:val="FF0000"/>
          <w:sz w:val="24"/>
          <w:szCs w:val="20"/>
        </w:rPr>
        <w:t>对估值政策和程序进行评价，</w:t>
      </w:r>
      <w:r w:rsidRPr="00A27B99">
        <w:rPr>
          <w:rFonts w:asciiTheme="minorEastAsia" w:eastAsiaTheme="minorEastAsia" w:hAnsiTheme="minorEastAsia" w:hint="eastAsia"/>
          <w:sz w:val="24"/>
          <w:szCs w:val="20"/>
        </w:rPr>
        <w:t>在发生了影响估值政策和程序的有效性及适用性的情况后应</w:t>
      </w:r>
      <w:r w:rsidRPr="00892779">
        <w:rPr>
          <w:rFonts w:asciiTheme="minorEastAsia" w:eastAsiaTheme="minorEastAsia" w:hAnsiTheme="minorEastAsia" w:hint="eastAsia"/>
          <w:color w:val="FF0000"/>
          <w:sz w:val="24"/>
          <w:szCs w:val="20"/>
        </w:rPr>
        <w:t>及时修订估值方法</w:t>
      </w:r>
      <w:r w:rsidRPr="00A27B99">
        <w:rPr>
          <w:rFonts w:asciiTheme="minorEastAsia" w:eastAsiaTheme="minorEastAsia" w:hAnsiTheme="minorEastAsia" w:hint="eastAsia"/>
          <w:sz w:val="24"/>
          <w:szCs w:val="20"/>
        </w:rPr>
        <w:t>，以保证其持续适用。估值政策和程序的修订建议须经基金管理公司管理层审批后方可实施。基金在采用新投资策略或投资新品种时，</w:t>
      </w:r>
      <w:proofErr w:type="gramStart"/>
      <w:r w:rsidRPr="00A27B99">
        <w:rPr>
          <w:rFonts w:asciiTheme="minorEastAsia" w:eastAsiaTheme="minorEastAsia" w:hAnsiTheme="minorEastAsia" w:hint="eastAsia"/>
          <w:sz w:val="24"/>
          <w:szCs w:val="20"/>
        </w:rPr>
        <w:t>应评价</w:t>
      </w:r>
      <w:proofErr w:type="gramEnd"/>
      <w:r w:rsidRPr="00A27B99">
        <w:rPr>
          <w:rFonts w:asciiTheme="minorEastAsia" w:eastAsiaTheme="minorEastAsia" w:hAnsiTheme="minorEastAsia" w:hint="eastAsia"/>
          <w:sz w:val="24"/>
          <w:szCs w:val="20"/>
        </w:rPr>
        <w:t>现有估值政策和程序的</w:t>
      </w:r>
      <w:r w:rsidRPr="00892779">
        <w:rPr>
          <w:rFonts w:asciiTheme="minorEastAsia" w:eastAsiaTheme="minorEastAsia" w:hAnsiTheme="minorEastAsia" w:hint="eastAsia"/>
          <w:color w:val="FF0000"/>
          <w:sz w:val="24"/>
          <w:szCs w:val="20"/>
        </w:rPr>
        <w:t>适用性。</w:t>
      </w:r>
    </w:p>
    <w:p w:rsidR="00AC0DCD" w:rsidRPr="00A27B99" w:rsidRDefault="00F7119C"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hint="eastAsia"/>
          <w:sz w:val="24"/>
          <w:szCs w:val="20"/>
        </w:rPr>
        <w:t>（五）基金管理公司在采用估值政策和程序时，应当充分考虑参与估值流程各方及人员的经验、专业胜任能力和独立性，通过建立估值委员会、参考行业协会估值意见、参考</w:t>
      </w:r>
      <w:proofErr w:type="gramStart"/>
      <w:r w:rsidRPr="00A27B99">
        <w:rPr>
          <w:rFonts w:asciiTheme="minorEastAsia" w:eastAsiaTheme="minorEastAsia" w:hAnsiTheme="minorEastAsia" w:hint="eastAsia"/>
          <w:sz w:val="24"/>
          <w:szCs w:val="20"/>
        </w:rPr>
        <w:t>独立第三</w:t>
      </w:r>
      <w:proofErr w:type="gramEnd"/>
      <w:r w:rsidRPr="00A27B99">
        <w:rPr>
          <w:rFonts w:asciiTheme="minorEastAsia" w:eastAsiaTheme="minorEastAsia" w:hAnsiTheme="minorEastAsia" w:hint="eastAsia"/>
          <w:sz w:val="24"/>
          <w:szCs w:val="20"/>
        </w:rPr>
        <w:t>方机构估值数据等一种或多种方式的有效结合，减少或避免估值偏差的发生。</w:t>
      </w:r>
    </w:p>
    <w:p w:rsidR="00AC0DCD" w:rsidRPr="00A27B99" w:rsidRDefault="00AC0DCD" w:rsidP="00F7119C">
      <w:pPr>
        <w:spacing w:line="276" w:lineRule="auto"/>
        <w:ind w:left="482"/>
        <w:rPr>
          <w:rFonts w:asciiTheme="minorEastAsia" w:eastAsiaTheme="minorEastAsia" w:hAnsiTheme="minorEastAsia"/>
          <w:b/>
          <w:sz w:val="24"/>
          <w:szCs w:val="20"/>
        </w:rPr>
      </w:pPr>
    </w:p>
    <w:p w:rsidR="00AC0DCD" w:rsidRPr="00A27B99" w:rsidRDefault="00AC0DCD" w:rsidP="00F7119C">
      <w:pPr>
        <w:pStyle w:val="a5"/>
        <w:numPr>
          <w:ilvl w:val="0"/>
          <w:numId w:val="3"/>
        </w:numPr>
        <w:spacing w:line="276" w:lineRule="auto"/>
        <w:ind w:firstLineChars="0"/>
        <w:rPr>
          <w:rFonts w:asciiTheme="minorEastAsia" w:eastAsiaTheme="minorEastAsia" w:hAnsiTheme="minorEastAsia"/>
          <w:b/>
          <w:sz w:val="24"/>
          <w:szCs w:val="20"/>
        </w:rPr>
      </w:pPr>
      <w:r w:rsidRPr="00A27B99">
        <w:rPr>
          <w:rFonts w:asciiTheme="minorEastAsia" w:eastAsiaTheme="minorEastAsia" w:hAnsiTheme="minorEastAsia" w:hint="eastAsia"/>
          <w:b/>
          <w:sz w:val="24"/>
          <w:szCs w:val="20"/>
        </w:rPr>
        <w:t>了解基金估值相关责任的承担、估值或份额净值计价错误的报告义务；</w:t>
      </w:r>
    </w:p>
    <w:p w:rsidR="00AC0DCD" w:rsidRPr="00A27B99" w:rsidRDefault="001B1001" w:rsidP="00A27B99">
      <w:pPr>
        <w:pStyle w:val="a5"/>
        <w:spacing w:line="276" w:lineRule="auto"/>
        <w:ind w:firstLine="482"/>
        <w:rPr>
          <w:rFonts w:asciiTheme="minorEastAsia" w:eastAsiaTheme="minorEastAsia" w:hAnsiTheme="minorEastAsia"/>
          <w:b/>
          <w:sz w:val="24"/>
          <w:szCs w:val="20"/>
        </w:rPr>
      </w:pPr>
      <w:r w:rsidRPr="00A27B99">
        <w:rPr>
          <w:rFonts w:asciiTheme="minorEastAsia" w:eastAsiaTheme="minorEastAsia" w:hAnsiTheme="minorEastAsia" w:hint="eastAsia"/>
          <w:b/>
          <w:sz w:val="24"/>
          <w:szCs w:val="20"/>
        </w:rPr>
        <w:t>关于证券投资基金执行《企业会计准则》估值业务及份额净值计价有关事项的通知</w:t>
      </w:r>
    </w:p>
    <w:p w:rsidR="001B1001" w:rsidRPr="00A27B99" w:rsidRDefault="001B1001"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四、计价错误的处理及责任承担</w:t>
      </w:r>
    </w:p>
    <w:p w:rsidR="001B1001" w:rsidRPr="00A27B99" w:rsidRDefault="001B1001"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（一）基金管理公司应制定估值及份额净值计价错误的识别及应急方案。当估值或份额净值计价错误实际发生时，基金管理公司应立即纠正，及时采取合理措施防止损失进一步扩大。</w:t>
      </w:r>
      <w:proofErr w:type="gramStart"/>
      <w:r w:rsidRPr="00892779">
        <w:rPr>
          <w:rFonts w:asciiTheme="minorEastAsia" w:eastAsiaTheme="minorEastAsia" w:hAnsiTheme="minorEastAsia"/>
          <w:color w:val="FF0000"/>
          <w:sz w:val="24"/>
          <w:szCs w:val="20"/>
        </w:rPr>
        <w:t>当错误</w:t>
      </w:r>
      <w:proofErr w:type="gramEnd"/>
      <w:r w:rsidRPr="00892779">
        <w:rPr>
          <w:rFonts w:asciiTheme="minorEastAsia" w:eastAsiaTheme="minorEastAsia" w:hAnsiTheme="minorEastAsia"/>
          <w:color w:val="FF0000"/>
          <w:sz w:val="24"/>
          <w:szCs w:val="20"/>
        </w:rPr>
        <w:t>达到或超过基金资产净值的0.25%时，基金管理公司应及时报告我会</w:t>
      </w:r>
      <w:r w:rsidRPr="00A27B99">
        <w:rPr>
          <w:rFonts w:asciiTheme="minorEastAsia" w:eastAsiaTheme="minorEastAsia" w:hAnsiTheme="minorEastAsia"/>
          <w:sz w:val="24"/>
          <w:szCs w:val="20"/>
        </w:rPr>
        <w:t>。</w:t>
      </w:r>
    </w:p>
    <w:p w:rsidR="00AC0DCD" w:rsidRPr="00A27B99" w:rsidRDefault="001B1001"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二）基金管理公司和托管银行在进行基金估值、计算或复核基金份额净值的过程中，未能遵循相关法律法规规定或基金合同约定，给基金财产或基金份额持有人造成损害的，应分别对各自行为依法承担赔偿责任；因共同行为给基金财产或基金份额持有人造成损害的，应承担连带赔偿责任。</w:t>
      </w:r>
    </w:p>
    <w:p w:rsidR="00AC0DCD" w:rsidRPr="00A27B99" w:rsidRDefault="00AC0DCD" w:rsidP="00F7119C">
      <w:pPr>
        <w:pStyle w:val="a5"/>
        <w:spacing w:line="276" w:lineRule="auto"/>
        <w:ind w:left="902" w:firstLineChars="0" w:firstLine="0"/>
        <w:rPr>
          <w:rFonts w:asciiTheme="minorEastAsia" w:eastAsiaTheme="minorEastAsia" w:hAnsiTheme="minorEastAsia"/>
          <w:b/>
          <w:sz w:val="24"/>
          <w:szCs w:val="20"/>
        </w:rPr>
      </w:pPr>
    </w:p>
    <w:p w:rsidR="00AC0DCD" w:rsidRPr="00A27B99" w:rsidRDefault="00AC0DCD" w:rsidP="00F7119C">
      <w:pPr>
        <w:pStyle w:val="a5"/>
        <w:numPr>
          <w:ilvl w:val="0"/>
          <w:numId w:val="3"/>
        </w:numPr>
        <w:spacing w:line="276" w:lineRule="auto"/>
        <w:ind w:firstLineChars="0"/>
        <w:rPr>
          <w:rFonts w:asciiTheme="minorEastAsia" w:eastAsiaTheme="minorEastAsia" w:hAnsiTheme="minorEastAsia"/>
          <w:b/>
          <w:sz w:val="24"/>
          <w:szCs w:val="20"/>
        </w:rPr>
      </w:pPr>
      <w:r w:rsidRPr="00A27B99">
        <w:rPr>
          <w:rFonts w:asciiTheme="minorEastAsia" w:eastAsiaTheme="minorEastAsia" w:hAnsiTheme="minorEastAsia" w:hint="eastAsia"/>
          <w:b/>
          <w:sz w:val="24"/>
          <w:szCs w:val="20"/>
        </w:rPr>
        <w:t>了解定期报告中与估值有关的披露事项；</w:t>
      </w:r>
    </w:p>
    <w:p w:rsidR="00AC0DCD" w:rsidRPr="00A27B99" w:rsidRDefault="00AD0C89" w:rsidP="00F7119C">
      <w:pPr>
        <w:pStyle w:val="a5"/>
        <w:spacing w:line="276" w:lineRule="auto"/>
        <w:ind w:left="902" w:firstLineChars="0" w:firstLine="0"/>
        <w:rPr>
          <w:rFonts w:asciiTheme="minorEastAsia" w:eastAsiaTheme="minorEastAsia" w:hAnsiTheme="minorEastAsia"/>
          <w:b/>
          <w:sz w:val="24"/>
          <w:szCs w:val="20"/>
        </w:rPr>
      </w:pPr>
      <w:r w:rsidRPr="00A27B99">
        <w:rPr>
          <w:rFonts w:asciiTheme="minorEastAsia" w:eastAsiaTheme="minorEastAsia" w:hAnsiTheme="minorEastAsia" w:hint="eastAsia"/>
          <w:b/>
          <w:sz w:val="24"/>
          <w:szCs w:val="20"/>
        </w:rPr>
        <w:t>《关于进一步规范证券投资基金估值业务的指导意见》</w:t>
      </w:r>
    </w:p>
    <w:p w:rsidR="00AD0C89" w:rsidRPr="00A27B99" w:rsidRDefault="00AD0C89"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hint="eastAsia"/>
          <w:sz w:val="24"/>
          <w:szCs w:val="20"/>
        </w:rPr>
        <w:t>三、基金管理公司应根据法规履行与基金估值相关的披露义务，至少应当在定期报告中披露以下方面信息：估值政策及重大变化，按上述第一条第（二）款或第（三）款规定原则进行估值的，应涉及估值模型、假设、参数、对基金资产净值及当期损益的影响；有关参与估值流程各方及人员的职责分工、专业胜任能力和相关工作经历的描述；基金经理参与或决定估值的程度；参与估值流程各方之间存在的任何重大利益冲突；已签约的任何定价服务的性质与程度等信息。</w:t>
      </w:r>
    </w:p>
    <w:p w:rsidR="00AD0C89" w:rsidRPr="00A27B99" w:rsidRDefault="00AD0C89"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hint="eastAsia"/>
          <w:sz w:val="24"/>
          <w:szCs w:val="20"/>
        </w:rPr>
        <w:lastRenderedPageBreak/>
        <w:t>基金管理公司由上述第一条第（一）款改用第（二）款或第（三）款规定原则进行估值的，应本着最大限度保护基金份额持有人利益的原则及时进行临时公告。</w:t>
      </w:r>
    </w:p>
    <w:p w:rsidR="00AD0C89" w:rsidRPr="00A27B99" w:rsidRDefault="00AD0C89"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hint="eastAsia"/>
          <w:sz w:val="24"/>
          <w:szCs w:val="20"/>
        </w:rPr>
        <w:t>五、基金管理公司由上述第一条第（一）款改用第（二）或第（三）款规定原则进行估值时，导致基金资产净值的变化在0.25％以上的，应聘请会计师事务所进行审核。会计师事务所应对基金管理公司所采用的相关估值模型、假设及参数的适当</w:t>
      </w:r>
      <w:proofErr w:type="gramStart"/>
      <w:r w:rsidRPr="00A27B99">
        <w:rPr>
          <w:rFonts w:asciiTheme="minorEastAsia" w:eastAsiaTheme="minorEastAsia" w:hAnsiTheme="minorEastAsia" w:hint="eastAsia"/>
          <w:sz w:val="24"/>
          <w:szCs w:val="20"/>
        </w:rPr>
        <w:t>性发表</w:t>
      </w:r>
      <w:proofErr w:type="gramEnd"/>
      <w:r w:rsidRPr="00A27B99">
        <w:rPr>
          <w:rFonts w:asciiTheme="minorEastAsia" w:eastAsiaTheme="minorEastAsia" w:hAnsiTheme="minorEastAsia" w:hint="eastAsia"/>
          <w:sz w:val="24"/>
          <w:szCs w:val="20"/>
        </w:rPr>
        <w:t>审核意见并出具报告。</w:t>
      </w:r>
    </w:p>
    <w:p w:rsidR="00AD0C89" w:rsidRPr="00A27B99" w:rsidRDefault="00AD0C89"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hint="eastAsia"/>
          <w:sz w:val="24"/>
          <w:szCs w:val="20"/>
        </w:rPr>
        <w:t>会计师事务所在对基金年度财务报告出具审计报告时，应充分考虑报告期间基金的估值政策及其重大变化，特别是运用上述第一条第（二）款或第（三）款规定原则进行估值的适当性，采用外部信息进行估值的客观性和可靠性程度，以及相关披露的充分性和及时性。</w:t>
      </w:r>
    </w:p>
    <w:p w:rsidR="00AD0C89" w:rsidRPr="00A27B99" w:rsidRDefault="00AD0C89"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hint="eastAsia"/>
          <w:sz w:val="24"/>
          <w:szCs w:val="20"/>
        </w:rPr>
        <w:t>六、中国证券业协会基金估值工作小组应组织业界积极研究适用于上述第一条第（二）款或第（三）款规定的估值方法，</w:t>
      </w:r>
      <w:proofErr w:type="gramStart"/>
      <w:r w:rsidRPr="00A27B99">
        <w:rPr>
          <w:rFonts w:asciiTheme="minorEastAsia" w:eastAsiaTheme="minorEastAsia" w:hAnsiTheme="minorEastAsia" w:hint="eastAsia"/>
          <w:sz w:val="24"/>
          <w:szCs w:val="20"/>
        </w:rPr>
        <w:t>供基金</w:t>
      </w:r>
      <w:proofErr w:type="gramEnd"/>
      <w:r w:rsidRPr="00A27B99">
        <w:rPr>
          <w:rFonts w:asciiTheme="minorEastAsia" w:eastAsiaTheme="minorEastAsia" w:hAnsiTheme="minorEastAsia" w:hint="eastAsia"/>
          <w:sz w:val="24"/>
          <w:szCs w:val="20"/>
        </w:rPr>
        <w:t>管理公司参考使用，但基金管理公司不能因此免除其相关估值责任。基金管理公司采用其他估值方法的，应在定期报告中披露采用理由和该方法与行业普遍采用的估值方法的差异。</w:t>
      </w:r>
    </w:p>
    <w:p w:rsidR="00AD0C89" w:rsidRPr="00A27B99" w:rsidRDefault="00AD0C89" w:rsidP="00F7119C">
      <w:pPr>
        <w:pStyle w:val="a5"/>
        <w:spacing w:line="276" w:lineRule="auto"/>
        <w:ind w:left="902" w:firstLineChars="0" w:firstLine="0"/>
        <w:rPr>
          <w:rFonts w:asciiTheme="minorEastAsia" w:eastAsiaTheme="minorEastAsia" w:hAnsiTheme="minorEastAsia"/>
          <w:b/>
          <w:sz w:val="24"/>
          <w:szCs w:val="20"/>
        </w:rPr>
      </w:pPr>
    </w:p>
    <w:p w:rsidR="00AC0DCD" w:rsidRPr="00A27B99" w:rsidRDefault="00AC0DCD" w:rsidP="00F7119C">
      <w:pPr>
        <w:pStyle w:val="a5"/>
        <w:numPr>
          <w:ilvl w:val="0"/>
          <w:numId w:val="3"/>
        </w:numPr>
        <w:spacing w:line="276" w:lineRule="auto"/>
        <w:ind w:firstLineChars="0"/>
        <w:rPr>
          <w:rFonts w:asciiTheme="minorEastAsia" w:eastAsiaTheme="minorEastAsia" w:hAnsiTheme="minorEastAsia"/>
          <w:b/>
          <w:sz w:val="24"/>
          <w:szCs w:val="20"/>
        </w:rPr>
      </w:pPr>
      <w:r w:rsidRPr="00A27B99">
        <w:rPr>
          <w:rFonts w:asciiTheme="minorEastAsia" w:eastAsiaTheme="minorEastAsia" w:hAnsiTheme="minorEastAsia" w:hint="eastAsia"/>
          <w:b/>
          <w:sz w:val="24"/>
          <w:szCs w:val="20"/>
        </w:rPr>
        <w:t>了解基金财产相关费用的列支；</w:t>
      </w:r>
    </w:p>
    <w:p w:rsidR="00AD0C89" w:rsidRPr="00A27B99" w:rsidRDefault="00AD0C89" w:rsidP="00AD0C89">
      <w:pPr>
        <w:pStyle w:val="a5"/>
        <w:spacing w:line="600" w:lineRule="exact"/>
        <w:ind w:left="902" w:firstLineChars="0" w:firstLine="0"/>
        <w:rPr>
          <w:rFonts w:asciiTheme="minorEastAsia" w:eastAsiaTheme="minorEastAsia" w:hAnsiTheme="minorEastAsia"/>
          <w:b/>
          <w:sz w:val="24"/>
          <w:szCs w:val="20"/>
        </w:rPr>
      </w:pPr>
      <w:r w:rsidRPr="00A27B99">
        <w:rPr>
          <w:rFonts w:asciiTheme="minorEastAsia" w:eastAsiaTheme="minorEastAsia" w:hAnsiTheme="minorEastAsia" w:hint="eastAsia"/>
          <w:b/>
          <w:sz w:val="24"/>
          <w:szCs w:val="20"/>
        </w:rPr>
        <w:t>《公开募集证券投资基金运作管理办法》</w:t>
      </w:r>
    </w:p>
    <w:p w:rsidR="00AD0C89" w:rsidRPr="00A27B99" w:rsidRDefault="00AD0C89"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hint="eastAsia"/>
          <w:sz w:val="24"/>
          <w:szCs w:val="20"/>
        </w:rPr>
        <w:t xml:space="preserve">第十四条  </w:t>
      </w:r>
      <w:r w:rsidRPr="0060506B">
        <w:rPr>
          <w:rFonts w:asciiTheme="minorEastAsia" w:eastAsiaTheme="minorEastAsia" w:hAnsiTheme="minorEastAsia"/>
          <w:b/>
          <w:color w:val="FF0000"/>
          <w:sz w:val="24"/>
          <w:szCs w:val="20"/>
        </w:rPr>
        <w:t>基金募集期间的信息披露费、会计师费、律师费以及其他费用，不得从基金财产中列支</w:t>
      </w:r>
      <w:r w:rsidRPr="00A27B99">
        <w:rPr>
          <w:rFonts w:asciiTheme="minorEastAsia" w:eastAsiaTheme="minorEastAsia" w:hAnsiTheme="minorEastAsia"/>
          <w:sz w:val="24"/>
          <w:szCs w:val="20"/>
        </w:rPr>
        <w:t>；基金</w:t>
      </w:r>
      <w:r w:rsidRPr="0060506B">
        <w:rPr>
          <w:rFonts w:asciiTheme="minorEastAsia" w:eastAsiaTheme="minorEastAsia" w:hAnsiTheme="minorEastAsia"/>
          <w:b/>
          <w:color w:val="FF0000"/>
          <w:sz w:val="24"/>
          <w:szCs w:val="20"/>
        </w:rPr>
        <w:t>收取认购费的，可以从认购费中列支</w:t>
      </w:r>
      <w:r w:rsidRPr="00A27B99">
        <w:rPr>
          <w:rFonts w:asciiTheme="minorEastAsia" w:eastAsiaTheme="minorEastAsia" w:hAnsiTheme="minorEastAsia"/>
          <w:sz w:val="24"/>
          <w:szCs w:val="20"/>
        </w:rPr>
        <w:t>。</w:t>
      </w:r>
    </w:p>
    <w:p w:rsidR="00AD0C89" w:rsidRPr="00A27B99" w:rsidRDefault="00AD0C89"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第</w:t>
      </w:r>
      <w:r w:rsidRPr="00A27B99">
        <w:rPr>
          <w:rFonts w:asciiTheme="minorEastAsia" w:eastAsiaTheme="minorEastAsia" w:hAnsiTheme="minorEastAsia" w:hint="eastAsia"/>
          <w:sz w:val="24"/>
          <w:szCs w:val="20"/>
        </w:rPr>
        <w:t>三十六</w:t>
      </w:r>
      <w:r w:rsidRPr="00A27B99">
        <w:rPr>
          <w:rFonts w:asciiTheme="minorEastAsia" w:eastAsiaTheme="minorEastAsia" w:hAnsiTheme="minorEastAsia"/>
          <w:sz w:val="24"/>
          <w:szCs w:val="20"/>
        </w:rPr>
        <w:t xml:space="preserve">条 </w:t>
      </w:r>
      <w:r w:rsidRPr="00A27B99">
        <w:rPr>
          <w:rFonts w:asciiTheme="minorEastAsia" w:eastAsiaTheme="minorEastAsia" w:hAnsiTheme="minorEastAsia" w:hint="eastAsia"/>
          <w:sz w:val="24"/>
          <w:szCs w:val="20"/>
        </w:rPr>
        <w:t xml:space="preserve"> </w:t>
      </w:r>
      <w:r w:rsidRPr="00A27B99">
        <w:rPr>
          <w:rFonts w:asciiTheme="minorEastAsia" w:eastAsiaTheme="minorEastAsia" w:hAnsiTheme="minorEastAsia"/>
          <w:sz w:val="24"/>
          <w:szCs w:val="20"/>
        </w:rPr>
        <w:t>下列与基金有关的费用可以从</w:t>
      </w:r>
      <w:r w:rsidRPr="0060506B">
        <w:rPr>
          <w:rFonts w:asciiTheme="minorEastAsia" w:eastAsiaTheme="minorEastAsia" w:hAnsiTheme="minorEastAsia"/>
          <w:b/>
          <w:color w:val="FF0000"/>
          <w:sz w:val="24"/>
          <w:szCs w:val="20"/>
        </w:rPr>
        <w:t>基金财产</w:t>
      </w:r>
      <w:r w:rsidRPr="00A27B99">
        <w:rPr>
          <w:rFonts w:asciiTheme="minorEastAsia" w:eastAsiaTheme="minorEastAsia" w:hAnsiTheme="minorEastAsia"/>
          <w:sz w:val="24"/>
          <w:szCs w:val="20"/>
        </w:rPr>
        <w:t>中列支：</w:t>
      </w:r>
    </w:p>
    <w:p w:rsidR="00AD0C89" w:rsidRPr="00A27B99" w:rsidRDefault="00AD0C89"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（一）基金管理人的管理费；</w:t>
      </w:r>
    </w:p>
    <w:p w:rsidR="00AD0C89" w:rsidRPr="00A27B99" w:rsidRDefault="00AD0C89"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hint="eastAsia"/>
          <w:sz w:val="24"/>
          <w:szCs w:val="20"/>
        </w:rPr>
        <w:t>（二）</w:t>
      </w:r>
      <w:r w:rsidRPr="00A27B99">
        <w:rPr>
          <w:rFonts w:asciiTheme="minorEastAsia" w:eastAsiaTheme="minorEastAsia" w:hAnsiTheme="minorEastAsia"/>
          <w:sz w:val="24"/>
          <w:szCs w:val="20"/>
        </w:rPr>
        <w:t>基金托管人的托管费；</w:t>
      </w:r>
    </w:p>
    <w:p w:rsidR="00AD0C89" w:rsidRPr="00A27B99" w:rsidRDefault="00AD0C89"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w:t>
      </w:r>
      <w:r w:rsidRPr="00A27B99">
        <w:rPr>
          <w:rFonts w:asciiTheme="minorEastAsia" w:eastAsiaTheme="minorEastAsia" w:hAnsiTheme="minorEastAsia" w:hint="eastAsia"/>
          <w:sz w:val="24"/>
          <w:szCs w:val="20"/>
        </w:rPr>
        <w:t>三</w:t>
      </w:r>
      <w:r w:rsidRPr="00A27B99">
        <w:rPr>
          <w:rFonts w:asciiTheme="minorEastAsia" w:eastAsiaTheme="minorEastAsia" w:hAnsiTheme="minorEastAsia"/>
          <w:sz w:val="24"/>
          <w:szCs w:val="20"/>
        </w:rPr>
        <w:t>）基金</w:t>
      </w:r>
      <w:r w:rsidRPr="0060506B">
        <w:rPr>
          <w:rFonts w:asciiTheme="minorEastAsia" w:eastAsiaTheme="minorEastAsia" w:hAnsiTheme="minorEastAsia"/>
          <w:color w:val="FF0000"/>
          <w:sz w:val="24"/>
          <w:szCs w:val="20"/>
        </w:rPr>
        <w:t>合同生效后的</w:t>
      </w:r>
      <w:r w:rsidRPr="00A27B99">
        <w:rPr>
          <w:rFonts w:asciiTheme="minorEastAsia" w:eastAsiaTheme="minorEastAsia" w:hAnsiTheme="minorEastAsia"/>
          <w:sz w:val="24"/>
          <w:szCs w:val="20"/>
        </w:rPr>
        <w:t>会计师费和律师费；</w:t>
      </w:r>
    </w:p>
    <w:p w:rsidR="00AD0C89" w:rsidRPr="00A27B99" w:rsidRDefault="00AD0C89"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w:t>
      </w:r>
      <w:r w:rsidRPr="00A27B99">
        <w:rPr>
          <w:rFonts w:asciiTheme="minorEastAsia" w:eastAsiaTheme="minorEastAsia" w:hAnsiTheme="minorEastAsia" w:hint="eastAsia"/>
          <w:sz w:val="24"/>
          <w:szCs w:val="20"/>
        </w:rPr>
        <w:t>四</w:t>
      </w:r>
      <w:r w:rsidRPr="00A27B99">
        <w:rPr>
          <w:rFonts w:asciiTheme="minorEastAsia" w:eastAsiaTheme="minorEastAsia" w:hAnsiTheme="minorEastAsia"/>
          <w:sz w:val="24"/>
          <w:szCs w:val="20"/>
        </w:rPr>
        <w:t>）基金份额持有人大会费用；</w:t>
      </w:r>
    </w:p>
    <w:p w:rsidR="00AD0C89" w:rsidRPr="00A27B99" w:rsidRDefault="00AD0C89"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w:t>
      </w:r>
      <w:r w:rsidRPr="00A27B99">
        <w:rPr>
          <w:rFonts w:asciiTheme="minorEastAsia" w:eastAsiaTheme="minorEastAsia" w:hAnsiTheme="minorEastAsia" w:hint="eastAsia"/>
          <w:sz w:val="24"/>
          <w:szCs w:val="20"/>
        </w:rPr>
        <w:t>五</w:t>
      </w:r>
      <w:r w:rsidRPr="00A27B99">
        <w:rPr>
          <w:rFonts w:asciiTheme="minorEastAsia" w:eastAsiaTheme="minorEastAsia" w:hAnsiTheme="minorEastAsia"/>
          <w:sz w:val="24"/>
          <w:szCs w:val="20"/>
        </w:rPr>
        <w:t>）基金的证券交易费用；</w:t>
      </w:r>
    </w:p>
    <w:p w:rsidR="00AD0C89" w:rsidRPr="00A27B99" w:rsidRDefault="00AD0C89"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hint="eastAsia"/>
          <w:sz w:val="24"/>
          <w:szCs w:val="20"/>
        </w:rPr>
        <w:t>（六</w:t>
      </w:r>
      <w:r w:rsidRPr="00A27B99">
        <w:rPr>
          <w:rFonts w:asciiTheme="minorEastAsia" w:eastAsiaTheme="minorEastAsia" w:hAnsiTheme="minorEastAsia"/>
          <w:sz w:val="24"/>
          <w:szCs w:val="20"/>
        </w:rPr>
        <w:t>）按照国家有关规定和基金合同约定，可以在基金财产中列支的其他费用。</w:t>
      </w:r>
    </w:p>
    <w:p w:rsidR="00AC0DCD" w:rsidRPr="00A27B99" w:rsidRDefault="00AD0C89"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hint="eastAsia"/>
          <w:sz w:val="24"/>
          <w:szCs w:val="20"/>
        </w:rPr>
        <w:t>基金管理人可以根据与基金份额持有人利益一致的原则，结合产品特点和投资者的需求设置基金管理费率的结构和水平。</w:t>
      </w:r>
    </w:p>
    <w:p w:rsidR="00AC0DCD" w:rsidRPr="00A27B99" w:rsidRDefault="00AC0DCD" w:rsidP="00F7119C">
      <w:pPr>
        <w:pStyle w:val="a5"/>
        <w:spacing w:line="276" w:lineRule="auto"/>
        <w:ind w:left="902" w:firstLineChars="0" w:firstLine="0"/>
        <w:rPr>
          <w:rFonts w:asciiTheme="minorEastAsia" w:eastAsiaTheme="minorEastAsia" w:hAnsiTheme="minorEastAsia"/>
          <w:b/>
          <w:sz w:val="24"/>
          <w:szCs w:val="20"/>
        </w:rPr>
      </w:pPr>
    </w:p>
    <w:p w:rsidR="00D75218" w:rsidRPr="00A27B99" w:rsidRDefault="00AC0DCD" w:rsidP="00F7119C">
      <w:pPr>
        <w:pStyle w:val="a5"/>
        <w:numPr>
          <w:ilvl w:val="0"/>
          <w:numId w:val="3"/>
        </w:numPr>
        <w:spacing w:line="276" w:lineRule="auto"/>
        <w:ind w:firstLineChars="0"/>
        <w:rPr>
          <w:rFonts w:asciiTheme="minorEastAsia" w:eastAsiaTheme="minorEastAsia" w:hAnsiTheme="minorEastAsia"/>
          <w:b/>
          <w:sz w:val="24"/>
          <w:szCs w:val="20"/>
        </w:rPr>
      </w:pPr>
      <w:r w:rsidRPr="00A27B99">
        <w:rPr>
          <w:rFonts w:asciiTheme="minorEastAsia" w:eastAsiaTheme="minorEastAsia" w:hAnsiTheme="minorEastAsia" w:hint="eastAsia"/>
          <w:b/>
          <w:sz w:val="24"/>
          <w:szCs w:val="20"/>
        </w:rPr>
        <w:t>掌握封闭式、开放式基金分红次数、最低比例、方式等要求。</w:t>
      </w:r>
    </w:p>
    <w:p w:rsidR="00AD0C89" w:rsidRPr="00A27B99" w:rsidRDefault="00AD0C89" w:rsidP="00AD0C89">
      <w:pPr>
        <w:pStyle w:val="a5"/>
        <w:spacing w:line="600" w:lineRule="exact"/>
        <w:ind w:left="902" w:firstLineChars="0" w:firstLine="0"/>
        <w:rPr>
          <w:rFonts w:asciiTheme="minorEastAsia" w:eastAsiaTheme="minorEastAsia" w:hAnsiTheme="minorEastAsia"/>
          <w:b/>
          <w:sz w:val="24"/>
          <w:szCs w:val="20"/>
        </w:rPr>
      </w:pPr>
      <w:r w:rsidRPr="00A27B99">
        <w:rPr>
          <w:rFonts w:asciiTheme="minorEastAsia" w:eastAsiaTheme="minorEastAsia" w:hAnsiTheme="minorEastAsia" w:hint="eastAsia"/>
          <w:b/>
          <w:sz w:val="24"/>
          <w:szCs w:val="20"/>
        </w:rPr>
        <w:t>《公开募集证券投资基金运作管理办法》</w:t>
      </w:r>
    </w:p>
    <w:p w:rsidR="00AD0C89" w:rsidRPr="0060506B" w:rsidRDefault="00AD0C89" w:rsidP="00A27B99">
      <w:pPr>
        <w:pStyle w:val="a5"/>
        <w:spacing w:line="276" w:lineRule="auto"/>
        <w:ind w:firstLine="480"/>
        <w:rPr>
          <w:rFonts w:asciiTheme="minorEastAsia" w:eastAsiaTheme="minorEastAsia" w:hAnsiTheme="minorEastAsia"/>
          <w:b/>
          <w:color w:val="FF0000"/>
          <w:sz w:val="24"/>
          <w:szCs w:val="20"/>
        </w:rPr>
      </w:pPr>
      <w:r w:rsidRPr="00A27B99">
        <w:rPr>
          <w:rFonts w:asciiTheme="minorEastAsia" w:eastAsiaTheme="minorEastAsia" w:hAnsiTheme="minorEastAsia"/>
          <w:sz w:val="24"/>
          <w:szCs w:val="20"/>
        </w:rPr>
        <w:t>第</w:t>
      </w:r>
      <w:r w:rsidRPr="00A27B99">
        <w:rPr>
          <w:rFonts w:asciiTheme="minorEastAsia" w:eastAsiaTheme="minorEastAsia" w:hAnsiTheme="minorEastAsia" w:hint="eastAsia"/>
          <w:sz w:val="24"/>
          <w:szCs w:val="20"/>
        </w:rPr>
        <w:t>三十七</w:t>
      </w:r>
      <w:r w:rsidRPr="00A27B99">
        <w:rPr>
          <w:rFonts w:asciiTheme="minorEastAsia" w:eastAsiaTheme="minorEastAsia" w:hAnsiTheme="minorEastAsia"/>
          <w:sz w:val="24"/>
          <w:szCs w:val="20"/>
        </w:rPr>
        <w:t xml:space="preserve">条 </w:t>
      </w:r>
      <w:r w:rsidRPr="00A27B99">
        <w:rPr>
          <w:rFonts w:asciiTheme="minorEastAsia" w:eastAsiaTheme="minorEastAsia" w:hAnsiTheme="minorEastAsia" w:hint="eastAsia"/>
          <w:sz w:val="24"/>
          <w:szCs w:val="20"/>
        </w:rPr>
        <w:t xml:space="preserve"> </w:t>
      </w:r>
      <w:r w:rsidRPr="00A27B99">
        <w:rPr>
          <w:rFonts w:asciiTheme="minorEastAsia" w:eastAsiaTheme="minorEastAsia" w:hAnsiTheme="minorEastAsia"/>
          <w:sz w:val="24"/>
          <w:szCs w:val="20"/>
        </w:rPr>
        <w:t>封</w:t>
      </w:r>
      <w:r w:rsidRPr="0060506B">
        <w:rPr>
          <w:rFonts w:asciiTheme="minorEastAsia" w:eastAsiaTheme="minorEastAsia" w:hAnsiTheme="minorEastAsia"/>
          <w:b/>
          <w:color w:val="FF0000"/>
          <w:sz w:val="24"/>
          <w:szCs w:val="20"/>
        </w:rPr>
        <w:t>闭式基金的收益分配，每年不得少于一次，封闭式基金年度收益分配比例不得低于基金年度</w:t>
      </w:r>
      <w:r w:rsidRPr="0060506B">
        <w:rPr>
          <w:rFonts w:asciiTheme="minorEastAsia" w:eastAsiaTheme="minorEastAsia" w:hAnsiTheme="minorEastAsia" w:hint="eastAsia"/>
          <w:b/>
          <w:color w:val="FF0000"/>
          <w:sz w:val="24"/>
          <w:szCs w:val="20"/>
        </w:rPr>
        <w:t>可供分配利润</w:t>
      </w:r>
      <w:r w:rsidRPr="0060506B">
        <w:rPr>
          <w:rFonts w:asciiTheme="minorEastAsia" w:eastAsiaTheme="minorEastAsia" w:hAnsiTheme="minorEastAsia"/>
          <w:b/>
          <w:color w:val="FF0000"/>
          <w:sz w:val="24"/>
          <w:szCs w:val="20"/>
        </w:rPr>
        <w:t>的百分之九十。</w:t>
      </w:r>
    </w:p>
    <w:p w:rsidR="00AD0C89" w:rsidRPr="00A27B99" w:rsidRDefault="00AD0C89"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开放式基金的</w:t>
      </w:r>
      <w:r w:rsidRPr="00A27B99">
        <w:rPr>
          <w:rFonts w:asciiTheme="minorEastAsia" w:eastAsiaTheme="minorEastAsia" w:hAnsiTheme="minorEastAsia" w:hint="eastAsia"/>
          <w:sz w:val="24"/>
          <w:szCs w:val="20"/>
        </w:rPr>
        <w:t>收益分配，由</w:t>
      </w:r>
      <w:r w:rsidRPr="00A27B99">
        <w:rPr>
          <w:rFonts w:asciiTheme="minorEastAsia" w:eastAsiaTheme="minorEastAsia" w:hAnsiTheme="minorEastAsia"/>
          <w:sz w:val="24"/>
          <w:szCs w:val="20"/>
        </w:rPr>
        <w:t>基金合同约定</w:t>
      </w:r>
      <w:r w:rsidRPr="00A27B99">
        <w:rPr>
          <w:rFonts w:asciiTheme="minorEastAsia" w:eastAsiaTheme="minorEastAsia" w:hAnsiTheme="minorEastAsia" w:hint="eastAsia"/>
          <w:sz w:val="24"/>
          <w:szCs w:val="20"/>
        </w:rPr>
        <w:t>。</w:t>
      </w:r>
    </w:p>
    <w:p w:rsidR="00AD0C89" w:rsidRPr="00A27B99" w:rsidRDefault="00AD0C89" w:rsidP="00A27B99">
      <w:pPr>
        <w:pStyle w:val="a5"/>
        <w:spacing w:line="276" w:lineRule="auto"/>
        <w:ind w:firstLine="480"/>
        <w:rPr>
          <w:rFonts w:asciiTheme="minorEastAsia" w:eastAsiaTheme="minorEastAsia" w:hAnsiTheme="minorEastAsia"/>
          <w:sz w:val="24"/>
          <w:szCs w:val="20"/>
        </w:rPr>
      </w:pPr>
      <w:r w:rsidRPr="00A27B99">
        <w:rPr>
          <w:rFonts w:asciiTheme="minorEastAsia" w:eastAsiaTheme="minorEastAsia" w:hAnsiTheme="minorEastAsia"/>
          <w:sz w:val="24"/>
          <w:szCs w:val="20"/>
        </w:rPr>
        <w:t>第</w:t>
      </w:r>
      <w:r w:rsidRPr="00A27B99">
        <w:rPr>
          <w:rFonts w:asciiTheme="minorEastAsia" w:eastAsiaTheme="minorEastAsia" w:hAnsiTheme="minorEastAsia" w:hint="eastAsia"/>
          <w:sz w:val="24"/>
          <w:szCs w:val="20"/>
        </w:rPr>
        <w:t>三十八</w:t>
      </w:r>
      <w:r w:rsidRPr="00A27B99">
        <w:rPr>
          <w:rFonts w:asciiTheme="minorEastAsia" w:eastAsiaTheme="minorEastAsia" w:hAnsiTheme="minorEastAsia"/>
          <w:sz w:val="24"/>
          <w:szCs w:val="20"/>
        </w:rPr>
        <w:t xml:space="preserve">条 </w:t>
      </w:r>
      <w:r w:rsidRPr="00A27B99">
        <w:rPr>
          <w:rFonts w:asciiTheme="minorEastAsia" w:eastAsiaTheme="minorEastAsia" w:hAnsiTheme="minorEastAsia" w:hint="eastAsia"/>
          <w:sz w:val="24"/>
          <w:szCs w:val="20"/>
        </w:rPr>
        <w:t xml:space="preserve"> </w:t>
      </w:r>
      <w:r w:rsidRPr="00A27B99">
        <w:rPr>
          <w:rFonts w:asciiTheme="minorEastAsia" w:eastAsiaTheme="minorEastAsia" w:hAnsiTheme="minorEastAsia"/>
          <w:sz w:val="24"/>
          <w:szCs w:val="20"/>
        </w:rPr>
        <w:t>基金收益分配应当采用现金方式</w:t>
      </w:r>
      <w:r w:rsidRPr="00A27B99">
        <w:rPr>
          <w:rFonts w:asciiTheme="minorEastAsia" w:eastAsiaTheme="minorEastAsia" w:hAnsiTheme="minorEastAsia" w:hint="eastAsia"/>
          <w:sz w:val="24"/>
          <w:szCs w:val="20"/>
        </w:rPr>
        <w:t>，但中国证监会规定的特殊基金品种除外。</w:t>
      </w:r>
    </w:p>
    <w:p w:rsidR="00AD0C89" w:rsidRPr="0060506B" w:rsidRDefault="00AD0C89" w:rsidP="00A27B99">
      <w:pPr>
        <w:pStyle w:val="a5"/>
        <w:spacing w:line="276" w:lineRule="auto"/>
        <w:ind w:firstLine="480"/>
        <w:rPr>
          <w:rFonts w:asciiTheme="minorEastAsia" w:eastAsiaTheme="minorEastAsia" w:hAnsiTheme="minorEastAsia"/>
          <w:color w:val="FF0000"/>
          <w:sz w:val="24"/>
          <w:szCs w:val="20"/>
        </w:rPr>
      </w:pPr>
      <w:r w:rsidRPr="00A27B99">
        <w:rPr>
          <w:rFonts w:asciiTheme="minorEastAsia" w:eastAsiaTheme="minorEastAsia" w:hAnsiTheme="minorEastAsia"/>
          <w:sz w:val="24"/>
          <w:szCs w:val="20"/>
        </w:rPr>
        <w:t>开放式基金</w:t>
      </w:r>
      <w:r w:rsidRPr="0060506B">
        <w:rPr>
          <w:rFonts w:asciiTheme="minorEastAsia" w:eastAsiaTheme="minorEastAsia" w:hAnsiTheme="minorEastAsia"/>
          <w:color w:val="FF0000"/>
          <w:sz w:val="24"/>
          <w:szCs w:val="20"/>
        </w:rPr>
        <w:t>的基金份额持有人可以事先选择将所获分配的现金收益，按照基金合同有关基金份额申购的约定转为基金份额；基金份额持有</w:t>
      </w:r>
      <w:bookmarkStart w:id="0" w:name="_GoBack"/>
      <w:bookmarkEnd w:id="0"/>
      <w:r w:rsidRPr="0060506B">
        <w:rPr>
          <w:rFonts w:asciiTheme="minorEastAsia" w:eastAsiaTheme="minorEastAsia" w:hAnsiTheme="minorEastAsia"/>
          <w:color w:val="FF0000"/>
          <w:sz w:val="24"/>
          <w:szCs w:val="20"/>
        </w:rPr>
        <w:t>人事先未做出选择的，基金管理人应当支付现金</w:t>
      </w:r>
    </w:p>
    <w:sectPr w:rsidR="00AD0C89" w:rsidRPr="0060506B" w:rsidSect="00AC0DCD">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5FD7" w:rsidRDefault="00455FD7" w:rsidP="00AC0DCD">
      <w:r>
        <w:separator/>
      </w:r>
    </w:p>
  </w:endnote>
  <w:endnote w:type="continuationSeparator" w:id="0">
    <w:p w:rsidR="00455FD7" w:rsidRDefault="00455FD7" w:rsidP="00AC0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MT"/>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5FD7" w:rsidRDefault="00455FD7" w:rsidP="00AC0DCD">
      <w:r>
        <w:separator/>
      </w:r>
    </w:p>
  </w:footnote>
  <w:footnote w:type="continuationSeparator" w:id="0">
    <w:p w:rsidR="00455FD7" w:rsidRDefault="00455FD7" w:rsidP="00AC0D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71367"/>
    <w:multiLevelType w:val="hybridMultilevel"/>
    <w:tmpl w:val="8EBE82F0"/>
    <w:lvl w:ilvl="0" w:tplc="460C9CFA">
      <w:start w:val="7"/>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C0C309B"/>
    <w:multiLevelType w:val="multilevel"/>
    <w:tmpl w:val="98D22698"/>
    <w:lvl w:ilvl="0">
      <w:start w:val="1"/>
      <w:numFmt w:val="chineseCountingThousand"/>
      <w:pStyle w:val="1"/>
      <w:suff w:val="nothing"/>
      <w:lvlText w:val="第%1章"/>
      <w:lvlJc w:val="left"/>
      <w:pPr>
        <w:ind w:left="0" w:firstLine="0"/>
      </w:pPr>
      <w:rPr>
        <w:rFonts w:hint="eastAsia"/>
      </w:rPr>
    </w:lvl>
    <w:lvl w:ilvl="1">
      <w:start w:val="1"/>
      <w:numFmt w:val="chineseCountingThousand"/>
      <w:pStyle w:val="2"/>
      <w:suff w:val="nothing"/>
      <w:lvlText w:val="第%2节"/>
      <w:lvlJc w:val="center"/>
      <w:pPr>
        <w:ind w:left="-288" w:firstLine="288"/>
      </w:pPr>
      <w:rPr>
        <w:rFonts w:hint="eastAsia"/>
      </w:rPr>
    </w:lvl>
    <w:lvl w:ilvl="2">
      <w:start w:val="1"/>
      <w:numFmt w:val="none"/>
      <w:pStyle w:val="3"/>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2">
    <w:nsid w:val="4E4B4CA8"/>
    <w:multiLevelType w:val="hybridMultilevel"/>
    <w:tmpl w:val="19C8977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C0DCD"/>
    <w:rsid w:val="000B34FA"/>
    <w:rsid w:val="001B1001"/>
    <w:rsid w:val="001D0ACF"/>
    <w:rsid w:val="003465BA"/>
    <w:rsid w:val="003C4846"/>
    <w:rsid w:val="00455FD7"/>
    <w:rsid w:val="00457D47"/>
    <w:rsid w:val="0051597C"/>
    <w:rsid w:val="0060506B"/>
    <w:rsid w:val="007B69DF"/>
    <w:rsid w:val="00892779"/>
    <w:rsid w:val="008E268C"/>
    <w:rsid w:val="00A27B99"/>
    <w:rsid w:val="00AC0DCD"/>
    <w:rsid w:val="00AD0C89"/>
    <w:rsid w:val="00C3121F"/>
    <w:rsid w:val="00D75218"/>
    <w:rsid w:val="00EE6E59"/>
    <w:rsid w:val="00F71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0DCD"/>
    <w:pPr>
      <w:widowControl w:val="0"/>
      <w:jc w:val="both"/>
    </w:pPr>
    <w:rPr>
      <w:rFonts w:ascii="Times New Roman" w:eastAsia="宋体" w:hAnsi="Times New Roman" w:cs="Times New Roman"/>
      <w:szCs w:val="24"/>
    </w:rPr>
  </w:style>
  <w:style w:type="paragraph" w:styleId="1">
    <w:name w:val="heading 1"/>
    <w:basedOn w:val="a"/>
    <w:next w:val="a"/>
    <w:link w:val="1Char"/>
    <w:qFormat/>
    <w:rsid w:val="00AC0DC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qFormat/>
    <w:rsid w:val="00AC0DCD"/>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AC0DC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qFormat/>
    <w:rsid w:val="00AC0DCD"/>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AC0DC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qFormat/>
    <w:rsid w:val="00AC0DCD"/>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link w:val="7Char"/>
    <w:qFormat/>
    <w:rsid w:val="00AC0DCD"/>
    <w:pPr>
      <w:keepNext/>
      <w:keepLines/>
      <w:numPr>
        <w:ilvl w:val="6"/>
        <w:numId w:val="1"/>
      </w:numPr>
      <w:spacing w:before="240" w:after="64" w:line="320" w:lineRule="auto"/>
      <w:outlineLvl w:val="6"/>
    </w:pPr>
    <w:rPr>
      <w:b/>
      <w:bCs/>
      <w:sz w:val="24"/>
    </w:rPr>
  </w:style>
  <w:style w:type="paragraph" w:styleId="8">
    <w:name w:val="heading 8"/>
    <w:basedOn w:val="a"/>
    <w:next w:val="a"/>
    <w:link w:val="8Char"/>
    <w:qFormat/>
    <w:rsid w:val="00AC0DCD"/>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link w:val="9Char"/>
    <w:qFormat/>
    <w:rsid w:val="00AC0DCD"/>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0D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C0DCD"/>
    <w:rPr>
      <w:sz w:val="18"/>
      <w:szCs w:val="18"/>
    </w:rPr>
  </w:style>
  <w:style w:type="paragraph" w:styleId="a4">
    <w:name w:val="footer"/>
    <w:basedOn w:val="a"/>
    <w:link w:val="Char0"/>
    <w:uiPriority w:val="99"/>
    <w:unhideWhenUsed/>
    <w:rsid w:val="00AC0DCD"/>
    <w:pPr>
      <w:tabs>
        <w:tab w:val="center" w:pos="4153"/>
        <w:tab w:val="right" w:pos="8306"/>
      </w:tabs>
      <w:snapToGrid w:val="0"/>
      <w:jc w:val="left"/>
    </w:pPr>
    <w:rPr>
      <w:sz w:val="18"/>
      <w:szCs w:val="18"/>
    </w:rPr>
  </w:style>
  <w:style w:type="character" w:customStyle="1" w:styleId="Char0">
    <w:name w:val="页脚 Char"/>
    <w:basedOn w:val="a0"/>
    <w:link w:val="a4"/>
    <w:uiPriority w:val="99"/>
    <w:rsid w:val="00AC0DCD"/>
    <w:rPr>
      <w:sz w:val="18"/>
      <w:szCs w:val="18"/>
    </w:rPr>
  </w:style>
  <w:style w:type="character" w:customStyle="1" w:styleId="1Char">
    <w:name w:val="标题 1 Char"/>
    <w:basedOn w:val="a0"/>
    <w:link w:val="1"/>
    <w:rsid w:val="00AC0DCD"/>
    <w:rPr>
      <w:rFonts w:ascii="Times New Roman" w:eastAsia="宋体" w:hAnsi="Times New Roman" w:cs="Times New Roman"/>
      <w:b/>
      <w:bCs/>
      <w:kern w:val="44"/>
      <w:sz w:val="44"/>
      <w:szCs w:val="44"/>
    </w:rPr>
  </w:style>
  <w:style w:type="character" w:customStyle="1" w:styleId="2Char">
    <w:name w:val="标题 2 Char"/>
    <w:basedOn w:val="a0"/>
    <w:link w:val="2"/>
    <w:rsid w:val="00AC0DCD"/>
    <w:rPr>
      <w:rFonts w:ascii="Arial" w:eastAsia="黑体" w:hAnsi="Arial" w:cs="Times New Roman"/>
      <w:b/>
      <w:bCs/>
      <w:sz w:val="32"/>
      <w:szCs w:val="32"/>
    </w:rPr>
  </w:style>
  <w:style w:type="character" w:customStyle="1" w:styleId="3Char">
    <w:name w:val="标题 3 Char"/>
    <w:basedOn w:val="a0"/>
    <w:link w:val="3"/>
    <w:rsid w:val="00AC0DCD"/>
    <w:rPr>
      <w:rFonts w:ascii="Times New Roman" w:eastAsia="宋体" w:hAnsi="Times New Roman" w:cs="Times New Roman"/>
      <w:b/>
      <w:bCs/>
      <w:sz w:val="32"/>
      <w:szCs w:val="32"/>
    </w:rPr>
  </w:style>
  <w:style w:type="character" w:customStyle="1" w:styleId="4Char">
    <w:name w:val="标题 4 Char"/>
    <w:basedOn w:val="a0"/>
    <w:link w:val="4"/>
    <w:rsid w:val="00AC0DCD"/>
    <w:rPr>
      <w:rFonts w:ascii="Arial" w:eastAsia="黑体" w:hAnsi="Arial" w:cs="Times New Roman"/>
      <w:b/>
      <w:bCs/>
      <w:sz w:val="28"/>
      <w:szCs w:val="28"/>
    </w:rPr>
  </w:style>
  <w:style w:type="character" w:customStyle="1" w:styleId="5Char">
    <w:name w:val="标题 5 Char"/>
    <w:basedOn w:val="a0"/>
    <w:link w:val="5"/>
    <w:rsid w:val="00AC0DCD"/>
    <w:rPr>
      <w:rFonts w:ascii="Times New Roman" w:eastAsia="宋体" w:hAnsi="Times New Roman" w:cs="Times New Roman"/>
      <w:b/>
      <w:bCs/>
      <w:sz w:val="28"/>
      <w:szCs w:val="28"/>
    </w:rPr>
  </w:style>
  <w:style w:type="character" w:customStyle="1" w:styleId="6Char">
    <w:name w:val="标题 6 Char"/>
    <w:basedOn w:val="a0"/>
    <w:link w:val="6"/>
    <w:rsid w:val="00AC0DCD"/>
    <w:rPr>
      <w:rFonts w:ascii="Arial" w:eastAsia="黑体" w:hAnsi="Arial" w:cs="Times New Roman"/>
      <w:b/>
      <w:bCs/>
      <w:sz w:val="24"/>
      <w:szCs w:val="24"/>
    </w:rPr>
  </w:style>
  <w:style w:type="character" w:customStyle="1" w:styleId="7Char">
    <w:name w:val="标题 7 Char"/>
    <w:basedOn w:val="a0"/>
    <w:link w:val="7"/>
    <w:rsid w:val="00AC0DCD"/>
    <w:rPr>
      <w:rFonts w:ascii="Times New Roman" w:eastAsia="宋体" w:hAnsi="Times New Roman" w:cs="Times New Roman"/>
      <w:b/>
      <w:bCs/>
      <w:sz w:val="24"/>
      <w:szCs w:val="24"/>
    </w:rPr>
  </w:style>
  <w:style w:type="character" w:customStyle="1" w:styleId="8Char">
    <w:name w:val="标题 8 Char"/>
    <w:basedOn w:val="a0"/>
    <w:link w:val="8"/>
    <w:rsid w:val="00AC0DCD"/>
    <w:rPr>
      <w:rFonts w:ascii="Arial" w:eastAsia="黑体" w:hAnsi="Arial" w:cs="Times New Roman"/>
      <w:sz w:val="24"/>
      <w:szCs w:val="24"/>
    </w:rPr>
  </w:style>
  <w:style w:type="character" w:customStyle="1" w:styleId="9Char">
    <w:name w:val="标题 9 Char"/>
    <w:basedOn w:val="a0"/>
    <w:link w:val="9"/>
    <w:rsid w:val="00AC0DCD"/>
    <w:rPr>
      <w:rFonts w:ascii="Arial" w:eastAsia="黑体" w:hAnsi="Arial" w:cs="Times New Roman"/>
      <w:szCs w:val="21"/>
    </w:rPr>
  </w:style>
  <w:style w:type="paragraph" w:styleId="a5">
    <w:name w:val="List Paragraph"/>
    <w:basedOn w:val="a"/>
    <w:uiPriority w:val="34"/>
    <w:qFormat/>
    <w:rsid w:val="00AC0DCD"/>
    <w:pPr>
      <w:ind w:firstLineChars="200" w:firstLine="420"/>
    </w:pPr>
    <w:rPr>
      <w:rFonts w:ascii="Calibri" w:hAnsi="Calibri"/>
      <w:szCs w:val="22"/>
    </w:rPr>
  </w:style>
  <w:style w:type="character" w:styleId="a6">
    <w:name w:val="annotation reference"/>
    <w:basedOn w:val="a0"/>
    <w:unhideWhenUsed/>
    <w:rsid w:val="001D0ACF"/>
    <w:rPr>
      <w:sz w:val="21"/>
      <w:szCs w:val="21"/>
    </w:rPr>
  </w:style>
  <w:style w:type="paragraph" w:styleId="a7">
    <w:name w:val="annotation text"/>
    <w:basedOn w:val="a"/>
    <w:link w:val="Char1"/>
    <w:unhideWhenUsed/>
    <w:rsid w:val="001D0ACF"/>
    <w:pPr>
      <w:spacing w:line="480" w:lineRule="auto"/>
      <w:jc w:val="left"/>
    </w:pPr>
    <w:rPr>
      <w:rFonts w:asciiTheme="minorHAnsi" w:eastAsiaTheme="minorEastAsia" w:hAnsiTheme="minorHAnsi" w:cstheme="minorBidi"/>
      <w:szCs w:val="22"/>
    </w:rPr>
  </w:style>
  <w:style w:type="character" w:customStyle="1" w:styleId="Char1">
    <w:name w:val="批注文字 Char"/>
    <w:basedOn w:val="a0"/>
    <w:link w:val="a7"/>
    <w:rsid w:val="001D0ACF"/>
  </w:style>
  <w:style w:type="paragraph" w:styleId="a8">
    <w:name w:val="Balloon Text"/>
    <w:basedOn w:val="a"/>
    <w:link w:val="Char2"/>
    <w:unhideWhenUsed/>
    <w:rsid w:val="001D0ACF"/>
    <w:rPr>
      <w:rFonts w:asciiTheme="minorHAnsi" w:eastAsiaTheme="minorEastAsia" w:hAnsiTheme="minorHAnsi" w:cstheme="minorBidi"/>
      <w:sz w:val="18"/>
      <w:szCs w:val="18"/>
    </w:rPr>
  </w:style>
  <w:style w:type="character" w:customStyle="1" w:styleId="Char2">
    <w:name w:val="批注框文本 Char"/>
    <w:basedOn w:val="a0"/>
    <w:link w:val="a8"/>
    <w:rsid w:val="001D0ACF"/>
    <w:rPr>
      <w:sz w:val="18"/>
      <w:szCs w:val="18"/>
    </w:rPr>
  </w:style>
  <w:style w:type="paragraph" w:styleId="a9">
    <w:name w:val="Revision"/>
    <w:hidden/>
    <w:uiPriority w:val="99"/>
    <w:semiHidden/>
    <w:rsid w:val="001D0ACF"/>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7</Pages>
  <Words>1065</Words>
  <Characters>6072</Characters>
  <Application>Microsoft Office Word</Application>
  <DocSecurity>0</DocSecurity>
  <Lines>50</Lines>
  <Paragraphs>14</Paragraphs>
  <ScaleCrop>false</ScaleCrop>
  <Company/>
  <LinksUpToDate>false</LinksUpToDate>
  <CharactersWithSpaces>7123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代毅</cp:lastModifiedBy>
  <cp:revision>6</cp:revision>
  <dcterms:created xsi:type="dcterms:W3CDTF">2016-03-30T12:00:00Z</dcterms:created>
  <dcterms:modified xsi:type="dcterms:W3CDTF">2018-05-24T05:02:00Z</dcterms:modified>
</cp:coreProperties>
</file>