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268" w:rsidRPr="003F7E8B" w:rsidRDefault="00DF7268" w:rsidP="003F7E8B">
      <w:pPr>
        <w:jc w:val="center"/>
        <w:rPr>
          <w:b/>
        </w:rPr>
      </w:pPr>
      <w:r w:rsidRPr="003F7E8B">
        <w:rPr>
          <w:rFonts w:hint="eastAsia"/>
          <w:b/>
        </w:rPr>
        <w:t>证券投资基金管理公司公平交易制度指导意见（</w:t>
      </w:r>
      <w:r w:rsidRPr="003F7E8B">
        <w:rPr>
          <w:rFonts w:hint="eastAsia"/>
          <w:b/>
        </w:rPr>
        <w:t>2011</w:t>
      </w:r>
      <w:r w:rsidRPr="003F7E8B">
        <w:rPr>
          <w:rFonts w:hint="eastAsia"/>
          <w:b/>
        </w:rPr>
        <w:t>年修订）</w:t>
      </w:r>
    </w:p>
    <w:p w:rsidR="00DF7268" w:rsidRDefault="00DF7268" w:rsidP="00DF7268"/>
    <w:p w:rsidR="00DF7268" w:rsidRDefault="00DF7268" w:rsidP="00DF7268">
      <w:r>
        <w:rPr>
          <w:rFonts w:hint="eastAsia"/>
        </w:rPr>
        <w:t xml:space="preserve">　　第一章总则</w:t>
      </w:r>
    </w:p>
    <w:p w:rsidR="00DF7268" w:rsidRDefault="00DF7268" w:rsidP="00DF7268"/>
    <w:p w:rsidR="00DF7268" w:rsidRDefault="00DF7268" w:rsidP="00DF7268">
      <w:r>
        <w:rPr>
          <w:rFonts w:hint="eastAsia"/>
        </w:rPr>
        <w:t xml:space="preserve">　　第一条为了进一步完善证券投资基金管理公司的公平交易制度，保证同一公司管理的不同投资组合得到公平对待，保护投资者合法权益，根据《中华人民共和国证券投资基金法》（以下简称《基金法》）、《证券投资基金管理公司管理办法》（证监会令第</w:t>
      </w:r>
      <w:r>
        <w:rPr>
          <w:rFonts w:hint="eastAsia"/>
        </w:rPr>
        <w:t>22</w:t>
      </w:r>
      <w:r>
        <w:rPr>
          <w:rFonts w:hint="eastAsia"/>
        </w:rPr>
        <w:t>号）等法律法规，制定本指导意见。</w:t>
      </w:r>
    </w:p>
    <w:p w:rsidR="00DF7268" w:rsidRDefault="00DF7268" w:rsidP="00DF7268"/>
    <w:p w:rsidR="00DF7268" w:rsidRDefault="00DF7268" w:rsidP="00DF7268">
      <w:r>
        <w:rPr>
          <w:rFonts w:hint="eastAsia"/>
        </w:rPr>
        <w:t xml:space="preserve">　　第二条公司应严格遵守法律法规关于公平交易的相关规定，在投资管理活动中公平对待不同投资组合，严禁直接或者通过与第三方的交易安排在不同投资组合之间进行利益输送。</w:t>
      </w:r>
    </w:p>
    <w:p w:rsidR="00DF7268" w:rsidRDefault="00DF7268" w:rsidP="00DF7268"/>
    <w:p w:rsidR="00DF7268" w:rsidRDefault="00DF7268" w:rsidP="00DF7268">
      <w:r>
        <w:rPr>
          <w:rFonts w:hint="eastAsia"/>
        </w:rPr>
        <w:t xml:space="preserve">　　本指导意见所称投资组合包括封闭式基金、开放式基金、社保组合、企业年金、特定客户资产管理组合等。</w:t>
      </w:r>
    </w:p>
    <w:p w:rsidR="00DF7268" w:rsidRDefault="00DF7268" w:rsidP="00DF7268"/>
    <w:p w:rsidR="00DF7268" w:rsidRDefault="00DF7268" w:rsidP="00DF7268">
      <w:r>
        <w:rPr>
          <w:rFonts w:hint="eastAsia"/>
        </w:rPr>
        <w:t xml:space="preserve">　　第三条本指导意见所称公司的公平交易制度，其规范的范围至少应包括境内上市股票、债券的一级市场申购、二级市场交易等投资管理活动，同时应包括授权、研究分析、投资决策、交易执行、业绩评估等投资管理活动相关的各个环节。</w:t>
      </w:r>
    </w:p>
    <w:p w:rsidR="00DF7268" w:rsidRDefault="00DF7268" w:rsidP="00DF7268"/>
    <w:p w:rsidR="00DF7268" w:rsidRDefault="00DF7268" w:rsidP="00DF7268">
      <w:r>
        <w:rPr>
          <w:rFonts w:hint="eastAsia"/>
        </w:rPr>
        <w:t xml:space="preserve">　　第四条公司应合理设置各类资产管理业务之间以及各类资产管理业务内部的组织结构，在保证各投资组合投资决策相对独立性的同时，确保其在获得投资信息、投资建议和实施投资决策方面享有公平的机会。</w:t>
      </w:r>
    </w:p>
    <w:p w:rsidR="00DF7268" w:rsidRDefault="00DF7268" w:rsidP="00DF7268"/>
    <w:p w:rsidR="00DF7268" w:rsidRDefault="00DF7268" w:rsidP="00DF7268">
      <w:r>
        <w:rPr>
          <w:rFonts w:hint="eastAsia"/>
        </w:rPr>
        <w:t xml:space="preserve">　　第五条公司应建立科学的投资决策体系，加强交易执行环节的内部控制，并通过工作制度、流程和技术手段保证公平交易原则的实现。同时，应通过对投资交易行为的监控、分析评估和信息披露来加强对公平交易过程和结果的监督。</w:t>
      </w:r>
    </w:p>
    <w:p w:rsidR="00DF7268" w:rsidRDefault="00DF7268" w:rsidP="00DF7268"/>
    <w:p w:rsidR="00DF7268" w:rsidRDefault="00DF7268" w:rsidP="00DF7268">
      <w:r>
        <w:rPr>
          <w:rFonts w:hint="eastAsia"/>
        </w:rPr>
        <w:t xml:space="preserve">　　第二章投资决策的内部控制</w:t>
      </w:r>
    </w:p>
    <w:p w:rsidR="00DF7268" w:rsidRDefault="00DF7268" w:rsidP="00DF7268"/>
    <w:p w:rsidR="00DF7268" w:rsidRDefault="00DF7268" w:rsidP="00DF7268">
      <w:r>
        <w:rPr>
          <w:rFonts w:hint="eastAsia"/>
        </w:rPr>
        <w:t xml:space="preserve">　　第六条公司应不断完善研究方法和投资决策流程，提高投资决策的科学性和客观性，确保各投资组合享有公平的投资决策机会，建立公平交易的制度环境。</w:t>
      </w:r>
    </w:p>
    <w:p w:rsidR="00DF7268" w:rsidRDefault="00DF7268" w:rsidP="00DF7268"/>
    <w:p w:rsidR="00DF7268" w:rsidRDefault="00DF7268" w:rsidP="00DF7268">
      <w:r>
        <w:rPr>
          <w:rFonts w:hint="eastAsia"/>
        </w:rPr>
        <w:t xml:space="preserve">　　第七条公司应建立客观的研究方法，任何投资分析和建议均应有充分的事实和数据支持，避免主观臆断，严禁利用内幕信息作为投资依据。</w:t>
      </w:r>
    </w:p>
    <w:p w:rsidR="00DF7268" w:rsidRDefault="00DF7268" w:rsidP="00DF7268"/>
    <w:p w:rsidR="00DF7268" w:rsidRDefault="00DF7268" w:rsidP="00DF7268">
      <w:r>
        <w:rPr>
          <w:rFonts w:hint="eastAsia"/>
        </w:rPr>
        <w:t xml:space="preserve">　　第八条公司应根据上述研究方法建立全公司适用的投资对象备选库和交易对手备选库，制定明确的备选库建立、维护程序。</w:t>
      </w:r>
    </w:p>
    <w:p w:rsidR="00DF7268" w:rsidRDefault="00DF7268" w:rsidP="00DF7268"/>
    <w:p w:rsidR="00DF7268" w:rsidRDefault="00DF7268" w:rsidP="00DF7268">
      <w:r>
        <w:rPr>
          <w:rFonts w:hint="eastAsia"/>
        </w:rPr>
        <w:t xml:space="preserve">　　第九条公司应在备选库的基础上，根据不同投资组合的投资目标、投资风格、投资范围和关联交易限制等，建立不同投资组合的投资对象备选库和交易对手备选库，投资组合经理在此基础上根据投资授权构建具体的投资组合。</w:t>
      </w:r>
    </w:p>
    <w:p w:rsidR="00DF7268" w:rsidRDefault="00DF7268" w:rsidP="00DF7268"/>
    <w:p w:rsidR="00DF7268" w:rsidRDefault="00DF7268" w:rsidP="00DF7268">
      <w:r>
        <w:rPr>
          <w:rFonts w:hint="eastAsia"/>
        </w:rPr>
        <w:t xml:space="preserve">　　第十条公司应健全投资授权制度，明确投资决策委员会、投资总监、投资组合经理等各投资决策主体的职责和权限划分，合理确定各投资组合经理的投资权限。投资决策委员会和</w:t>
      </w:r>
      <w:r>
        <w:rPr>
          <w:rFonts w:hint="eastAsia"/>
        </w:rPr>
        <w:lastRenderedPageBreak/>
        <w:t>投资总监等管理机构和人员不得对投资组合经理在授权范围内的投资活动进行干预。投资组合经理在授权范围内自主决策，超过投资权限的操作需要经过严格的审批程序。</w:t>
      </w:r>
    </w:p>
    <w:p w:rsidR="00DF7268" w:rsidRDefault="00DF7268" w:rsidP="00DF7268"/>
    <w:p w:rsidR="00DF7268" w:rsidRDefault="00DF7268" w:rsidP="00DF7268">
      <w:r>
        <w:rPr>
          <w:rFonts w:hint="eastAsia"/>
        </w:rPr>
        <w:t xml:space="preserve">　　第十一条公司应建立投资组合投资信息的管理及保密制度，不同投资组合经理之间的持仓和交易等重大非公开投资信息应相互隔离。</w:t>
      </w:r>
    </w:p>
    <w:p w:rsidR="00DF7268" w:rsidRDefault="00DF7268" w:rsidP="00DF7268"/>
    <w:p w:rsidR="00DF7268" w:rsidRDefault="00DF7268" w:rsidP="00DF7268">
      <w:r>
        <w:rPr>
          <w:rFonts w:hint="eastAsia"/>
        </w:rPr>
        <w:t xml:space="preserve">　　第十二条公司应建立系统的交易方法，即投资组合经理应根据投资组合的投资风格和投资策略，制定客观、完整的交易决策规则，并按照这些规则进行交易决策，以保证各投资组合交易决策的客观性和独立性。</w:t>
      </w:r>
    </w:p>
    <w:p w:rsidR="00DF7268" w:rsidRDefault="00DF7268" w:rsidP="00DF7268"/>
    <w:p w:rsidR="00DF7268" w:rsidRDefault="00DF7268" w:rsidP="00DF7268">
      <w:r>
        <w:rPr>
          <w:rFonts w:hint="eastAsia"/>
        </w:rPr>
        <w:t xml:space="preserve">　　第三章交易执行的内部控制</w:t>
      </w:r>
    </w:p>
    <w:p w:rsidR="00DF7268" w:rsidRDefault="00DF7268" w:rsidP="00DF7268"/>
    <w:p w:rsidR="00DF7268" w:rsidRDefault="00DF7268" w:rsidP="00DF7268">
      <w:r>
        <w:rPr>
          <w:rFonts w:hint="eastAsia"/>
        </w:rPr>
        <w:t xml:space="preserve">　　第十三条公司应将投资管理职能和交易执行职能相隔离，实行集中交易制度，建立和完善公平的交易分配制度，确保各投资组合享有公平的交易执行机会。</w:t>
      </w:r>
    </w:p>
    <w:p w:rsidR="00DF7268" w:rsidRDefault="00DF7268" w:rsidP="00DF7268"/>
    <w:p w:rsidR="00DF7268" w:rsidRDefault="00DF7268" w:rsidP="00DF7268">
      <w:r>
        <w:rPr>
          <w:rFonts w:hint="eastAsia"/>
        </w:rPr>
        <w:t xml:space="preserve">　　第十四条对于交易所公开竞价交易，公司应执行交易系统中的公平交易程序。对于由于特殊原因不能参与公平交易程序的交易指令，公司应建立相应的控制制度和流程。</w:t>
      </w:r>
    </w:p>
    <w:p w:rsidR="00DF7268" w:rsidRDefault="00DF7268" w:rsidP="00DF7268"/>
    <w:p w:rsidR="00DF7268" w:rsidRDefault="00DF7268" w:rsidP="00DF7268">
      <w:r>
        <w:rPr>
          <w:rFonts w:hint="eastAsia"/>
        </w:rPr>
        <w:t xml:space="preserve">　　第十五条公司应完善银行间市场交易、交易所大宗交易等非集中竞价交易的交易分配制度，保证各投资组合获得公平的交易机会。对于部分债券一级市场申购、非公开发行股票申购等以公司名义进行的交易，各投资组合经理应在交易前独立地确定各投资组合的交易价格和数量，公司应按照价格优先、比例分配的原则对交易结果进行分配。如果由于特殊原因不能按照上述原则进行分配的，公司应建立相应的控制制度和流程。</w:t>
      </w:r>
    </w:p>
    <w:p w:rsidR="00DF7268" w:rsidRDefault="00DF7268" w:rsidP="00DF7268"/>
    <w:p w:rsidR="00DF7268" w:rsidRDefault="00DF7268" w:rsidP="00DF7268">
      <w:r>
        <w:rPr>
          <w:rFonts w:hint="eastAsia"/>
        </w:rPr>
        <w:t xml:space="preserve">　　第四章行为监控和分析评估</w:t>
      </w:r>
    </w:p>
    <w:p w:rsidR="00DF7268" w:rsidRDefault="00DF7268" w:rsidP="00DF7268"/>
    <w:p w:rsidR="00DF7268" w:rsidRDefault="00DF7268" w:rsidP="00DF7268">
      <w:r>
        <w:rPr>
          <w:rFonts w:hint="eastAsia"/>
        </w:rPr>
        <w:t xml:space="preserve">　　第十六条公司应加强对投资交易行为的监察稽核力度，建立有效的异常交易行为日常监控和分析评估制度，并建立相关记录制度，确保公平交易可稽核。</w:t>
      </w:r>
    </w:p>
    <w:p w:rsidR="00DF7268" w:rsidRDefault="00DF7268" w:rsidP="00DF7268"/>
    <w:p w:rsidR="00DF7268" w:rsidRDefault="00DF7268" w:rsidP="00DF7268">
      <w:r>
        <w:rPr>
          <w:rFonts w:hint="eastAsia"/>
        </w:rPr>
        <w:t xml:space="preserve">　　第十七条公司应对非公开发行股票申购、以公司名义进行的债券一级市场申购的申购方案和分配过程进行审核和监控，保证分配结果符合公平交易的原则。</w:t>
      </w:r>
    </w:p>
    <w:p w:rsidR="00DF7268" w:rsidRDefault="00DF7268" w:rsidP="00DF7268"/>
    <w:p w:rsidR="00DF7268" w:rsidRDefault="00DF7268" w:rsidP="00DF7268">
      <w:r>
        <w:rPr>
          <w:rFonts w:hint="eastAsia"/>
        </w:rPr>
        <w:t xml:space="preserve">　　第十八条公司应根据市场公认的第三方信息，对投资组合与交易对手之间议价交易的交易价格公允性进行审查。相关投资组合经理应对交易价格异常情况进行合理性解释。</w:t>
      </w:r>
    </w:p>
    <w:p w:rsidR="00DF7268" w:rsidRDefault="00DF7268" w:rsidP="00DF7268"/>
    <w:p w:rsidR="00DF7268" w:rsidRDefault="00DF7268" w:rsidP="00DF7268">
      <w:r>
        <w:rPr>
          <w:rFonts w:hint="eastAsia"/>
        </w:rPr>
        <w:t xml:space="preserve">　　第十九条公司应对不同投资组合，尤其是同一位投资组合经理管理的不同投资组合同日同向交易和反向交易的交易时机和交易价差进行监控，同时对不同投资组合临近交易日的同向交易和反向交易的交易时机和交易价差进行分析。相关投资组合经理应对异常交易情况进行合理性解释。</w:t>
      </w:r>
    </w:p>
    <w:p w:rsidR="00DF7268" w:rsidRDefault="00DF7268" w:rsidP="00DF7268"/>
    <w:p w:rsidR="00DF7268" w:rsidRDefault="00DF7268" w:rsidP="00DF7268">
      <w:r>
        <w:rPr>
          <w:rFonts w:hint="eastAsia"/>
        </w:rPr>
        <w:t xml:space="preserve">　　第二十条公司应严格控制不同投资组合之间的同日反向交易，严格禁止可能导致不公平交易和利益输送的同日反向交易。确因投资组合的投资策略或流动性等需要而发生的同日反向交易，公司应要求相关投资组合经理提供决策依据，并留存记录备查，但是完全按照有关指数的构成比例进行投资的组合等除外。</w:t>
      </w:r>
    </w:p>
    <w:p w:rsidR="00DF7268" w:rsidRDefault="00DF7268" w:rsidP="00DF7268"/>
    <w:p w:rsidR="00DF7268" w:rsidRDefault="00DF7268" w:rsidP="00DF7268">
      <w:r>
        <w:rPr>
          <w:rFonts w:hint="eastAsia"/>
        </w:rPr>
        <w:t xml:space="preserve">　　第二十一条公司应对其他可能导致不公平交易和利益输送的异常交易行为进行监控，对于异常交易发生前后不同投资组合买卖该异常交易证券的情况进行分析。相关投资组合经理应对异常交易情况进行合理性解释。</w:t>
      </w:r>
    </w:p>
    <w:p w:rsidR="00DF7268" w:rsidRDefault="00DF7268" w:rsidP="00DF7268"/>
    <w:p w:rsidR="00DF7268" w:rsidRDefault="00DF7268" w:rsidP="00DF7268">
      <w:r>
        <w:rPr>
          <w:rFonts w:hint="eastAsia"/>
        </w:rPr>
        <w:t xml:space="preserve">　　第五章报告、信息披露和外部监督</w:t>
      </w:r>
    </w:p>
    <w:p w:rsidR="00DF7268" w:rsidRDefault="00DF7268" w:rsidP="00DF7268"/>
    <w:p w:rsidR="00DF7268" w:rsidRDefault="00DF7268" w:rsidP="00DF7268">
      <w:r>
        <w:rPr>
          <w:rFonts w:hint="eastAsia"/>
        </w:rPr>
        <w:t xml:space="preserve">　　第二十二条公司相关部门如果发现涉嫌违背公平交易原则的行为，应及时向公司管理层汇报并采取相关控制和改进措施。</w:t>
      </w:r>
    </w:p>
    <w:p w:rsidR="00DF7268" w:rsidRDefault="00DF7268" w:rsidP="00DF7268"/>
    <w:p w:rsidR="00DF7268" w:rsidRDefault="00DF7268" w:rsidP="00DF7268">
      <w:r>
        <w:rPr>
          <w:rFonts w:hint="eastAsia"/>
        </w:rPr>
        <w:t xml:space="preserve">　　第二十三条公司应分别于每季度和每年度对公司管理的不同投资组合的整体收益率差异、分投资类别（股票、债券）的收益率差异进行分析，对连续四个季度期间内、不同时间窗下（如日内、</w:t>
      </w:r>
      <w:r>
        <w:rPr>
          <w:rFonts w:hint="eastAsia"/>
        </w:rPr>
        <w:t>3</w:t>
      </w:r>
      <w:r>
        <w:rPr>
          <w:rFonts w:hint="eastAsia"/>
        </w:rPr>
        <w:t>日内、</w:t>
      </w:r>
      <w:r>
        <w:rPr>
          <w:rFonts w:hint="eastAsia"/>
        </w:rPr>
        <w:t>5</w:t>
      </w:r>
      <w:r>
        <w:rPr>
          <w:rFonts w:hint="eastAsia"/>
        </w:rPr>
        <w:t>日内）公司管理的不同投资组合同向交易的交易价差进行分析，由投资组合经理、督察长、总经理签署后，妥善保存分析报告备查。</w:t>
      </w:r>
    </w:p>
    <w:p w:rsidR="00DF7268" w:rsidRDefault="00DF7268" w:rsidP="00DF7268"/>
    <w:p w:rsidR="00DF7268" w:rsidRDefault="00DF7268" w:rsidP="00DF7268">
      <w:r>
        <w:rPr>
          <w:rFonts w:hint="eastAsia"/>
        </w:rPr>
        <w:t xml:space="preserve">　　如果在上述分析期间内，公司管理的所有投资组合同向交易价差出现异常情况，应重新核查公司投资决策和交易执行环节的内部控制，针对潜在问题完善公平交易制度，并在向中国证监会报送的监察稽核季度报告和年度报告中对此做专项说明。</w:t>
      </w:r>
    </w:p>
    <w:p w:rsidR="00DF7268" w:rsidRDefault="00DF7268" w:rsidP="00DF7268"/>
    <w:p w:rsidR="00DF7268" w:rsidRDefault="00DF7268" w:rsidP="00DF7268">
      <w:r>
        <w:rPr>
          <w:rFonts w:hint="eastAsia"/>
        </w:rPr>
        <w:t xml:space="preserve">　　第二十四条公司应当在各投资组合的定期报告中，至少披露以下事项：公司整体公平交易制度执行情况；异常交易行为专项说明，其中，如果报告期内所有投资组合参与的交易所公开竞价同日反向交易成交较少的单边交易量超过该证券当日成交量的</w:t>
      </w:r>
      <w:r>
        <w:rPr>
          <w:rFonts w:hint="eastAsia"/>
        </w:rPr>
        <w:t>5%</w:t>
      </w:r>
      <w:r>
        <w:rPr>
          <w:rFonts w:hint="eastAsia"/>
        </w:rPr>
        <w:t>，应说明该类交易的次数及原因。</w:t>
      </w:r>
    </w:p>
    <w:p w:rsidR="00DF7268" w:rsidRDefault="00DF7268" w:rsidP="00DF7268">
      <w:r>
        <w:rPr>
          <w:rFonts w:hint="eastAsia"/>
        </w:rPr>
        <w:t xml:space="preserve">　　在投资组合的年度报告中，公司还应披露公平交易制度和控制方法，并在公司整体公平交易制度执行情况中，对当年度同向交易价差做专项分析。</w:t>
      </w:r>
    </w:p>
    <w:p w:rsidR="00DF7268" w:rsidRDefault="00DF7268" w:rsidP="00DF7268">
      <w:r>
        <w:rPr>
          <w:rFonts w:hint="eastAsia"/>
        </w:rPr>
        <w:t xml:space="preserve">　　第二十五条会计师事务所应在公司年度内部控制评价报告中，对公司公平交易制度的完善程度和执行情况进行评价。</w:t>
      </w:r>
    </w:p>
    <w:p w:rsidR="00DF7268" w:rsidRDefault="00DF7268" w:rsidP="00DF7268">
      <w:r>
        <w:rPr>
          <w:rFonts w:hint="eastAsia"/>
        </w:rPr>
        <w:t xml:space="preserve">　　基金评价机构在开展基金评价业务时，应将公平交易制度的完善程度、执行情况及信息披露作为评价内容之一。</w:t>
      </w:r>
    </w:p>
    <w:p w:rsidR="00DF7268" w:rsidRDefault="00DF7268" w:rsidP="00DF7268"/>
    <w:p w:rsidR="00DF7268" w:rsidRDefault="00DF7268" w:rsidP="00DF7268">
      <w:r>
        <w:rPr>
          <w:rFonts w:hint="eastAsia"/>
        </w:rPr>
        <w:t xml:space="preserve">　　第二十六条公司公平交易制度的完善程度是公司诚信水平和规范程度的重要标志，监管部门将以此作为公司日常监管和做出行政许可的重要依据。</w:t>
      </w:r>
    </w:p>
    <w:p w:rsidR="00DF7268" w:rsidRDefault="00DF7268" w:rsidP="00DF7268"/>
    <w:p w:rsidR="00DF7268" w:rsidRDefault="00DF7268" w:rsidP="00DF7268">
      <w:r>
        <w:rPr>
          <w:rFonts w:hint="eastAsia"/>
        </w:rPr>
        <w:t xml:space="preserve">　　监管部门将通过现场检查和非现场监管等方式，对于公司公平交易制度的执行情况进行检查和分析，并会同证券交易所等对公司异常交易行为进行监控。对于发现的不公平交易和利益输送行为，将依法采取相关监管措施。</w:t>
      </w:r>
    </w:p>
    <w:p w:rsidR="00DF7268" w:rsidRDefault="00DF7268" w:rsidP="00DF7268"/>
    <w:p w:rsidR="00DF7268" w:rsidRDefault="00DF7268" w:rsidP="00DF7268">
      <w:r>
        <w:rPr>
          <w:rFonts w:hint="eastAsia"/>
        </w:rPr>
        <w:t xml:space="preserve">　　第六章附则</w:t>
      </w:r>
    </w:p>
    <w:p w:rsidR="00DF7268" w:rsidRDefault="00DF7268" w:rsidP="00DF7268">
      <w:r>
        <w:rPr>
          <w:rFonts w:hint="eastAsia"/>
        </w:rPr>
        <w:t xml:space="preserve">　　第二十七条公司管理的投资组合参与衍生品投资、境外投资等，应参照本指导意见制定相应的公平交易管理制度。</w:t>
      </w:r>
    </w:p>
    <w:p w:rsidR="00DF7268" w:rsidRDefault="00DF7268" w:rsidP="00DF7268"/>
    <w:p w:rsidR="00DF7268" w:rsidRDefault="00DF7268" w:rsidP="00DF7268">
      <w:r>
        <w:rPr>
          <w:rFonts w:hint="eastAsia"/>
        </w:rPr>
        <w:t xml:space="preserve">　　第二十八条本指导意见自公布之日起施行。</w:t>
      </w:r>
      <w:r>
        <w:rPr>
          <w:rFonts w:hint="eastAsia"/>
        </w:rPr>
        <w:t>2008</w:t>
      </w:r>
      <w:r>
        <w:rPr>
          <w:rFonts w:hint="eastAsia"/>
        </w:rPr>
        <w:t>年</w:t>
      </w:r>
      <w:r>
        <w:rPr>
          <w:rFonts w:hint="eastAsia"/>
        </w:rPr>
        <w:t>3</w:t>
      </w:r>
      <w:r>
        <w:rPr>
          <w:rFonts w:hint="eastAsia"/>
        </w:rPr>
        <w:t>月</w:t>
      </w:r>
      <w:r>
        <w:rPr>
          <w:rFonts w:hint="eastAsia"/>
        </w:rPr>
        <w:t>20</w:t>
      </w:r>
      <w:r>
        <w:rPr>
          <w:rFonts w:hint="eastAsia"/>
        </w:rPr>
        <w:t>日公布的《证券投资基金管理公司公平交易制度指导意见》（证监会公告</w:t>
      </w:r>
      <w:r>
        <w:rPr>
          <w:rFonts w:hint="eastAsia"/>
        </w:rPr>
        <w:t>[2008]9</w:t>
      </w:r>
      <w:r>
        <w:rPr>
          <w:rFonts w:hint="eastAsia"/>
        </w:rPr>
        <w:t>号）同时废止。</w:t>
      </w:r>
      <w:bookmarkStart w:id="0" w:name="_GoBack"/>
      <w:bookmarkEnd w:id="0"/>
    </w:p>
    <w:sectPr w:rsidR="00DF7268" w:rsidSect="00CD78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9F1" w:rsidRDefault="00D249F1" w:rsidP="003F7E8B">
      <w:r>
        <w:separator/>
      </w:r>
    </w:p>
  </w:endnote>
  <w:endnote w:type="continuationSeparator" w:id="1">
    <w:p w:rsidR="00D249F1" w:rsidRDefault="00D249F1" w:rsidP="003F7E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9F1" w:rsidRDefault="00D249F1" w:rsidP="003F7E8B">
      <w:r>
        <w:separator/>
      </w:r>
    </w:p>
  </w:footnote>
  <w:footnote w:type="continuationSeparator" w:id="1">
    <w:p w:rsidR="00D249F1" w:rsidRDefault="00D249F1" w:rsidP="003F7E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7268"/>
    <w:rsid w:val="003F7E8B"/>
    <w:rsid w:val="00CD7895"/>
    <w:rsid w:val="00D249F1"/>
    <w:rsid w:val="00DF72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8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7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7E8B"/>
    <w:rPr>
      <w:sz w:val="18"/>
      <w:szCs w:val="18"/>
    </w:rPr>
  </w:style>
  <w:style w:type="paragraph" w:styleId="a4">
    <w:name w:val="footer"/>
    <w:basedOn w:val="a"/>
    <w:link w:val="Char0"/>
    <w:uiPriority w:val="99"/>
    <w:semiHidden/>
    <w:unhideWhenUsed/>
    <w:rsid w:val="003F7E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7E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dc:creator>
  <cp:lastModifiedBy>章恒</cp:lastModifiedBy>
  <cp:revision>3</cp:revision>
  <cp:lastPrinted>2014-09-06T02:45:00Z</cp:lastPrinted>
  <dcterms:created xsi:type="dcterms:W3CDTF">2014-09-05T16:10:00Z</dcterms:created>
  <dcterms:modified xsi:type="dcterms:W3CDTF">2014-09-06T02:49:00Z</dcterms:modified>
</cp:coreProperties>
</file>