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Remaining Features and Release Backlog</w:t>
      </w:r>
    </w:p>
    <w:p>
      <w:pPr>
        <w:pStyle w:val="Subtitle"/>
      </w:pPr>
      <w:r>
        <w:t xml:space="preserve">Prioritized gaps for Django, website, Flutter Android and Windows desktop</w:t>
      </w:r>
    </w:p>
    <w:p>
      <w:pPr>
        <w:pStyle w:val="Subtitle"/>
      </w:pPr>
      <w:r>
        <w:t xml:space="preserve">Verified against the repository on 21 August 2026</w:t>
      </w:r>
    </w:p>
    <w:p>
      <w:pPr>
        <w:pStyle w:val="Subtitle"/>
      </w:pPr>
      <w:r>
        <w:t xml:space="preserve">Repository: Chess Platform (Django website/API + Flutter Android app)</w:t>
      </w:r>
    </w:p>
    <w:p>
      <w:r>
        <w:br w:type="page"/>
      </w:r>
    </w:p>
    <w:p>
      <w:pPr>
        <w:pStyle w:val="Heading1"/>
      </w:pPr>
      <w:r>
        <w:t xml:space="preserve">1. Current assessment</w:t>
      </w:r>
    </w:p>
    <w:p>
      <w:r>
        <w:t xml:space="preserve">Chess Platform already contains a broad website, Django API, Flutter Android client and portable Windows desktop client. The largest remaining work is production readiness, cross-device proof and operational ownership—not basic chess functionality. This backlog intentionally excludes features verified in the repository.</w:t>
      </w:r>
    </w:p>
    <w:tbl>
      <w:tblPr>
        <w:tblStyle w:val="TableGrid"/>
        <w:tblW w:w="0" w:type="auto"/>
      </w:tblPr>
      <w:tr>
        <w:tc>
          <w:tcPr>
            <w:tcW w:w="2100" w:type="dxa"/>
            <w:shd w:fill="24563B"/>
          </w:tcPr>
          <w:p>
            <w:r>
              <w:rPr>
                <w:b/>
                <w:color w:val="FFFFFF"/>
              </w:rPr>
              <w:t xml:space="preserve">Area</w:t>
            </w:r>
          </w:p>
        </w:tc>
        <w:tc>
          <w:tcPr>
            <w:tcW w:w="3000" w:type="dxa"/>
            <w:shd w:fill="24563B"/>
          </w:tcPr>
          <w:p>
            <w:r>
              <w:rPr>
                <w:b/>
                <w:color w:val="FFFFFF"/>
              </w:rPr>
              <w:t xml:space="preserve">Current state</w:t>
            </w:r>
          </w:p>
        </w:tc>
        <w:tc>
          <w:tcPr>
            <w:tcW w:w="4100" w:type="dxa"/>
            <w:shd w:fill="24563B"/>
          </w:tcPr>
          <w:p>
            <w:r>
              <w:rPr>
                <w:b/>
                <w:color w:val="FFFFFF"/>
              </w:rPr>
              <w:t xml:space="preserve">Main remaining objective</w:t>
            </w:r>
          </w:p>
        </w:tc>
      </w:tr>
      <w:tr>
        <w:tc>
          <w:tcPr>
            <w:tcW w:w="2100" w:type="dxa"/>
          </w:tcPr>
          <w:p>
            <w:r>
              <w:rPr/>
              <w:t xml:space="preserve">Django website/API</w:t>
            </w:r>
          </w:p>
        </w:tc>
        <w:tc>
          <w:tcPr>
            <w:tcW w:w="3000" w:type="dxa"/>
          </w:tcPr>
          <w:p>
            <w:r>
              <w:rPr/>
              <w:t xml:space="preserve">Feature-rich and test-covered</w:t>
            </w:r>
          </w:p>
        </w:tc>
        <w:tc>
          <w:tcPr>
            <w:tcW w:w="4100" w:type="dxa"/>
          </w:tcPr>
          <w:p>
            <w:r>
              <w:rPr/>
              <w:t xml:space="preserve">Deploy, observe, load-test and harden with real services</w:t>
            </w:r>
          </w:p>
        </w:tc>
      </w:tr>
      <w:tr>
        <w:tc>
          <w:tcPr>
            <w:tcW w:w="2100" w:type="dxa"/>
          </w:tcPr>
          <w:p>
            <w:r>
              <w:rPr/>
              <w:t xml:space="preserve">Flutter Android</w:t>
            </w:r>
          </w:p>
        </w:tc>
        <w:tc>
          <w:tcPr>
            <w:tcW w:w="3000" w:type="dxa"/>
          </w:tcPr>
          <w:p>
            <w:r>
              <w:rPr/>
              <w:t xml:space="preserve">Broad feature parity</w:t>
            </w:r>
          </w:p>
        </w:tc>
        <w:tc>
          <w:tcPr>
            <w:tcW w:w="4100" w:type="dxa"/>
          </w:tcPr>
          <w:p>
            <w:r>
              <w:rPr/>
              <w:t xml:space="preserve">Physical-device proof, store release and remaining UX parity</w:t>
            </w:r>
          </w:p>
        </w:tc>
      </w:tr>
      <w:tr>
        <w:tc>
          <w:tcPr>
            <w:tcW w:w="2100" w:type="dxa"/>
          </w:tcPr>
          <w:p>
            <w:r>
              <w:rPr/>
              <w:t xml:space="preserve">Windows desktop</w:t>
            </w:r>
          </w:p>
        </w:tc>
        <w:tc>
          <w:tcPr>
            <w:tcW w:w="3000" w:type="dxa"/>
          </w:tcPr>
          <w:p>
            <w:r>
              <w:rPr/>
              <w:t xml:space="preserve">Portable offline release builds</w:t>
            </w:r>
          </w:p>
        </w:tc>
        <w:tc>
          <w:tcPr>
            <w:tcW w:w="4100" w:type="dxa"/>
          </w:tcPr>
          <w:p>
            <w:r>
              <w:rPr/>
              <w:t xml:space="preserve">Code signing, installer/update channel and desktop-specific QA</w:t>
            </w:r>
          </w:p>
        </w:tc>
      </w:tr>
      <w:tr>
        <w:tc>
          <w:tcPr>
            <w:tcW w:w="2100" w:type="dxa"/>
          </w:tcPr>
          <w:p>
            <w:r>
              <w:rPr/>
              <w:t xml:space="preserve">Operations</w:t>
            </w:r>
          </w:p>
        </w:tc>
        <w:tc>
          <w:tcPr>
            <w:tcW w:w="3000" w:type="dxa"/>
          </w:tcPr>
          <w:p>
            <w:r>
              <w:rPr/>
              <w:t xml:space="preserve">Docker/scripts/templates exist</w:t>
            </w:r>
          </w:p>
        </w:tc>
        <w:tc>
          <w:tcPr>
            <w:tcW w:w="4100" w:type="dxa"/>
          </w:tcPr>
          <w:p>
            <w:r>
              <w:rPr/>
              <w:t xml:space="preserve">Configure real infrastructure and prove recovery</w:t>
            </w:r>
          </w:p>
        </w:tc>
      </w:tr>
    </w:tbl>
    <w:p>
      <w:pPr>
        <w:pStyle w:val="Heading1"/>
      </w:pPr>
      <w:r>
        <w:t xml:space="preserve">2. Release blockers—complete before public users</w:t>
      </w:r>
    </w:p>
    <w:tbl>
      <w:tblPr>
        <w:tblStyle w:val="TableGrid"/>
        <w:tblW w:w="0" w:type="auto"/>
      </w:tblPr>
      <w:tr>
        <w:tc>
          <w:tcPr>
            <w:tcW w:w="900" w:type="dxa"/>
            <w:shd w:fill="24563B"/>
          </w:tcPr>
          <w:p>
            <w:r>
              <w:rPr>
                <w:b/>
                <w:color w:val="FFFFFF"/>
              </w:rPr>
              <w:t xml:space="preserve">Priority</w:t>
            </w:r>
          </w:p>
        </w:tc>
        <w:tc>
          <w:tcPr>
            <w:tcW w:w="2700" w:type="dxa"/>
            <w:shd w:fill="24563B"/>
          </w:tcPr>
          <w:p>
            <w:r>
              <w:rPr>
                <w:b/>
                <w:color w:val="FFFFFF"/>
              </w:rPr>
              <w:t xml:space="preserve">Remaining work</w:t>
            </w:r>
          </w:p>
        </w:tc>
        <w:tc>
          <w:tcPr>
            <w:tcW w:w="5600" w:type="dxa"/>
            <w:shd w:fill="24563B"/>
          </w:tcPr>
          <w:p>
            <w:r>
              <w:rPr>
                <w:b/>
                <w:color w:val="FFFFFF"/>
              </w:rPr>
              <w:t xml:space="preserve">Definition of done</w:t>
            </w:r>
          </w:p>
        </w:tc>
      </w:tr>
      <w:tr>
        <w:tc>
          <w:tcPr>
            <w:tcW w:w="900" w:type="dxa"/>
          </w:tcPr>
          <w:p>
            <w:r>
              <w:rPr/>
              <w:t xml:space="preserve">P0</w:t>
            </w:r>
          </w:p>
        </w:tc>
        <w:tc>
          <w:tcPr>
            <w:tcW w:w="2700" w:type="dxa"/>
          </w:tcPr>
          <w:p>
            <w:r>
              <w:rPr/>
              <w:t xml:space="preserve">Production domain and TLS</w:t>
            </w:r>
          </w:p>
        </w:tc>
        <w:tc>
          <w:tcPr>
            <w:tcW w:w="5600" w:type="dxa"/>
          </w:tcPr>
          <w:p>
            <w:r>
              <w:rPr/>
              <w:t xml:space="preserve">Real DNS, trusted HTTPS certificate, WSS proxying, allowed hosts, CSRF origins and secure redirects verified.</w:t>
            </w:r>
          </w:p>
        </w:tc>
      </w:tr>
      <w:tr>
        <w:tc>
          <w:tcPr>
            <w:tcW w:w="900" w:type="dxa"/>
          </w:tcPr>
          <w:p>
            <w:r>
              <w:rPr/>
              <w:t xml:space="preserve">P0</w:t>
            </w:r>
          </w:p>
        </w:tc>
        <w:tc>
          <w:tcPr>
            <w:tcW w:w="2700" w:type="dxa"/>
          </w:tcPr>
          <w:p>
            <w:r>
              <w:rPr/>
              <w:t xml:space="preserve">Production data services</w:t>
            </w:r>
          </w:p>
        </w:tc>
        <w:tc>
          <w:tcPr>
            <w:tcW w:w="5600" w:type="dxa"/>
          </w:tcPr>
          <w:p>
            <w:r>
              <w:rPr/>
              <w:t xml:space="preserve">Managed or hardened PostgreSQL and Redis deployed; Django, Channels, Celery worker and beat remain healthy after restart.</w:t>
            </w:r>
          </w:p>
        </w:tc>
      </w:tr>
      <w:tr>
        <w:tc>
          <w:tcPr>
            <w:tcW w:w="900" w:type="dxa"/>
          </w:tcPr>
          <w:p>
            <w:r>
              <w:rPr/>
              <w:t xml:space="preserve">P0</w:t>
            </w:r>
          </w:p>
        </w:tc>
        <w:tc>
          <w:tcPr>
            <w:tcW w:w="2700" w:type="dxa"/>
          </w:tcPr>
          <w:p>
            <w:r>
              <w:rPr/>
              <w:t xml:space="preserve">Secrets and email</w:t>
            </w:r>
          </w:p>
        </w:tc>
        <w:tc>
          <w:tcPr>
            <w:tcW w:w="5600" w:type="dxa"/>
          </w:tcPr>
          <w:p>
            <w:r>
              <w:rPr/>
              <w:t xml:space="preserve">Unique Django/database secrets and working SMTP verification/reset delivery; no placeholder values or secrets in Git.</w:t>
            </w:r>
          </w:p>
        </w:tc>
      </w:tr>
      <w:tr>
        <w:tc>
          <w:tcPr>
            <w:tcW w:w="900" w:type="dxa"/>
          </w:tcPr>
          <w:p>
            <w:r>
              <w:rPr/>
              <w:t xml:space="preserve">P0</w:t>
            </w:r>
          </w:p>
        </w:tc>
        <w:tc>
          <w:tcPr>
            <w:tcW w:w="2700" w:type="dxa"/>
          </w:tcPr>
          <w:p>
            <w:r>
              <w:rPr/>
              <w:t xml:space="preserve">Stockfish production install</w:t>
            </w:r>
          </w:p>
        </w:tc>
        <w:tc>
          <w:tcPr>
            <w:tcW w:w="5600" w:type="dxa"/>
          </w:tcPr>
          <w:p>
            <w:r>
              <w:rPr/>
              <w:t xml:space="preserve">Pinned engine binary installed on web/worker hosts; bot and analysis jobs verified under resource limits.</w:t>
            </w:r>
          </w:p>
        </w:tc>
      </w:tr>
      <w:tr>
        <w:tc>
          <w:tcPr>
            <w:tcW w:w="900" w:type="dxa"/>
          </w:tcPr>
          <w:p>
            <w:r>
              <w:rPr/>
              <w:t xml:space="preserve">P0</w:t>
            </w:r>
          </w:p>
        </w:tc>
        <w:tc>
          <w:tcPr>
            <w:tcW w:w="2700" w:type="dxa"/>
          </w:tcPr>
          <w:p>
            <w:r>
              <w:rPr/>
              <w:t xml:space="preserve">Firebase production setup</w:t>
            </w:r>
          </w:p>
        </w:tc>
        <w:tc>
          <w:tcPr>
            <w:tcW w:w="5600" w:type="dxa"/>
          </w:tcPr>
          <w:p>
            <w:r>
              <w:rPr/>
              <w:t xml:space="preserve">Real Android Firebase client values and Admin credential; foreground, background and terminated-state notification navigation verified.</w:t>
            </w:r>
          </w:p>
        </w:tc>
      </w:tr>
      <w:tr>
        <w:tc>
          <w:tcPr>
            <w:tcW w:w="900" w:type="dxa"/>
          </w:tcPr>
          <w:p>
            <w:r>
              <w:rPr/>
              <w:t xml:space="preserve">P0</w:t>
            </w:r>
          </w:p>
        </w:tc>
        <w:tc>
          <w:tcPr>
            <w:tcW w:w="2700" w:type="dxa"/>
          </w:tcPr>
          <w:p>
            <w:r>
              <w:rPr/>
              <w:t xml:space="preserve">Android signing custody</w:t>
            </w:r>
          </w:p>
        </w:tc>
        <w:tc>
          <w:tcPr>
            <w:tcW w:w="5600" w:type="dxa"/>
          </w:tcPr>
          <w:p>
            <w:r>
              <w:rPr/>
              <w:t xml:space="preserve">Release APK/AAB signed with the permanent key; encrypted off-device key/password backup and upgrade-install test completed.</w:t>
            </w:r>
          </w:p>
        </w:tc>
      </w:tr>
      <w:tr>
        <w:tc>
          <w:tcPr>
            <w:tcW w:w="900" w:type="dxa"/>
          </w:tcPr>
          <w:p>
            <w:r>
              <w:rPr/>
              <w:t xml:space="preserve">P0</w:t>
            </w:r>
          </w:p>
        </w:tc>
        <w:tc>
          <w:tcPr>
            <w:tcW w:w="2700" w:type="dxa"/>
          </w:tcPr>
          <w:p>
            <w:r>
              <w:rPr/>
              <w:t xml:space="preserve">Legal/store publication</w:t>
            </w:r>
          </w:p>
        </w:tc>
        <w:tc>
          <w:tcPr>
            <w:tcW w:w="5600" w:type="dxa"/>
          </w:tcPr>
          <w:p>
            <w:r>
              <w:rPr/>
              <w:t xml:space="preserve">Public privacy policy and terms, Play listing, truthful screenshots, Data Safety, content rating and internal/closed track approval.</w:t>
            </w:r>
          </w:p>
        </w:tc>
      </w:tr>
      <w:tr>
        <w:tc>
          <w:tcPr>
            <w:tcW w:w="900" w:type="dxa"/>
          </w:tcPr>
          <w:p>
            <w:r>
              <w:rPr/>
              <w:t xml:space="preserve">P0</w:t>
            </w:r>
          </w:p>
        </w:tc>
        <w:tc>
          <w:tcPr>
            <w:tcW w:w="2700" w:type="dxa"/>
          </w:tcPr>
          <w:p>
            <w:r>
              <w:rPr/>
              <w:t xml:space="preserve">Backup recovery proof</w:t>
            </w:r>
          </w:p>
        </w:tc>
        <w:tc>
          <w:tcPr>
            <w:tcW w:w="5600" w:type="dxa"/>
          </w:tcPr>
          <w:p>
            <w:r>
              <w:rPr/>
              <w:t xml:space="preserve">Scheduled encrypted off-site database/media backups with retention and a documented successful full restore rehearsal.</w:t>
            </w:r>
          </w:p>
        </w:tc>
      </w:tr>
    </w:tbl>
    <w:p>
      <w:pPr>
        <w:pStyle w:val="Heading1"/>
      </w:pPr>
      <w:r>
        <w:t xml:space="preserve">3. Quality and validation still required</w:t>
      </w:r>
    </w:p>
    <w:p>
      <w:pPr>
        <w:numPr>
          <w:ilvl w:val="0"/>
          <w:numId w:val="1"/>
        </w:numPr>
      </w:pPr>
      <w:r>
        <w:t xml:space="preserve">Run the complete Android integration journey on at least one low-memory phone, one current phone, multiple Android versions and unreliable networks; retain test evidence.</w:t>
      </w:r>
    </w:p>
    <w:p>
      <w:pPr>
        <w:numPr>
          <w:ilvl w:val="0"/>
          <w:numId w:val="1"/>
        </w:numPr>
      </w:pPr>
      <w:r>
        <w:t xml:space="preserve">Validate browser-versus-phone and phone-versus-phone moves, clocks, reconnect grace, abandonment, rematch, chat, tournament pairing and notification deep links.</w:t>
      </w:r>
    </w:p>
    <w:p>
      <w:pPr>
        <w:numPr>
          <w:ilvl w:val="0"/>
          <w:numId w:val="1"/>
        </w:numPr>
      </w:pPr>
      <w:r>
        <w:t xml:space="preserve">Run concurrent WebSocket, matchmaking and tournament load tests; establish capacity limits and scaling triggers.</w:t>
      </w:r>
    </w:p>
    <w:p>
      <w:pPr>
        <w:numPr>
          <w:ilvl w:val="0"/>
          <w:numId w:val="1"/>
        </w:numPr>
      </w:pPr>
      <w:r>
        <w:t xml:space="preserve">Add automated Windows smoke/integration testing in CI. The current Windows release was built locally, but desktop CI and clean-PC execution should be repeatable.</w:t>
      </w:r>
    </w:p>
    <w:p>
      <w:pPr>
        <w:numPr>
          <w:ilvl w:val="0"/>
          <w:numId w:val="1"/>
        </w:numPr>
      </w:pPr>
      <w:r>
        <w:t xml:space="preserve">Perform keyboard-only, TalkBack/screen-reader, 200% text, contrast, reduced-motion and color-blind board tests across web, Android and Windows.</w:t>
      </w:r>
    </w:p>
    <w:p>
      <w:pPr>
        <w:numPr>
          <w:ilvl w:val="0"/>
          <w:numId w:val="1"/>
        </w:numPr>
      </w:pPr>
      <w:r>
        <w:t xml:space="preserve">Test offline-to-online synchronization conflicts through real UI flows, including keep-server, keep-device-copy, interrupted upload and duplicate prevention.</w:t>
      </w:r>
    </w:p>
    <w:p>
      <w:pPr>
        <w:numPr>
          <w:ilvl w:val="0"/>
          <w:numId w:val="1"/>
        </w:numPr>
      </w:pPr>
      <w:r>
        <w:t xml:space="preserve">Complete security review: dependency scanning, penetration test, rate-limit verification, object-level authorization and WebSocket abuse testing.</w:t>
      </w:r>
    </w:p>
    <w:p>
      <w:pPr>
        <w:pStyle w:val="Heading1"/>
      </w:pPr>
      <w:r>
        <w:t xml:space="preserve">4. Android application gaps</w:t>
      </w:r>
    </w:p>
    <w:tbl>
      <w:tblPr>
        <w:tblStyle w:val="TableGrid"/>
        <w:tblW w:w="0" w:type="auto"/>
      </w:tblPr>
      <w:tr>
        <w:tc>
          <w:tcPr>
            <w:tcW w:w="1000" w:type="dxa"/>
            <w:shd w:fill="24563B"/>
          </w:tcPr>
          <w:p>
            <w:r>
              <w:rPr>
                <w:b/>
                <w:color w:val="FFFFFF"/>
              </w:rPr>
              <w:t xml:space="preserve">Priority</w:t>
            </w:r>
          </w:p>
        </w:tc>
        <w:tc>
          <w:tcPr>
            <w:tcW w:w="2800" w:type="dxa"/>
            <w:shd w:fill="24563B"/>
          </w:tcPr>
          <w:p>
            <w:r>
              <w:rPr>
                <w:b/>
                <w:color w:val="FFFFFF"/>
              </w:rPr>
              <w:t xml:space="preserve">Feature/gap</w:t>
            </w:r>
          </w:p>
        </w:tc>
        <w:tc>
          <w:tcPr>
            <w:tcW w:w="5400" w:type="dxa"/>
            <w:shd w:fill="24563B"/>
          </w:tcPr>
          <w:p>
            <w:r>
              <w:rPr>
                <w:b/>
                <w:color w:val="FFFFFF"/>
              </w:rPr>
              <w:t xml:space="preserve">Recommended completion</w:t>
            </w:r>
          </w:p>
        </w:tc>
      </w:tr>
      <w:tr>
        <w:tc>
          <w:tcPr>
            <w:tcW w:w="1000" w:type="dxa"/>
          </w:tcPr>
          <w:p>
            <w:r>
              <w:rPr/>
              <w:t xml:space="preserve">High</w:t>
            </w:r>
          </w:p>
        </w:tc>
        <w:tc>
          <w:tcPr>
            <w:tcW w:w="2800" w:type="dxa"/>
          </w:tcPr>
          <w:p>
            <w:r>
              <w:rPr/>
              <w:t xml:space="preserve">Full localization coverage</w:t>
            </w:r>
          </w:p>
        </w:tc>
        <w:tc>
          <w:tcPr>
            <w:tcW w:w="5400" w:type="dxa"/>
          </w:tcPr>
          <w:p>
            <w:r>
              <w:rPr/>
              <w:t xml:space="preserve">Move remaining hard-coded Flutter text into ARB resources; verify Hindi/Spanish and add RTL-ready layout support.</w:t>
            </w:r>
          </w:p>
        </w:tc>
      </w:tr>
      <w:tr>
        <w:tc>
          <w:tcPr>
            <w:tcW w:w="1000" w:type="dxa"/>
          </w:tcPr>
          <w:p>
            <w:r>
              <w:rPr/>
              <w:t xml:space="preserve">High</w:t>
            </w:r>
          </w:p>
        </w:tc>
        <w:tc>
          <w:tcPr>
            <w:tcW w:w="2800" w:type="dxa"/>
          </w:tcPr>
          <w:p>
            <w:r>
              <w:rPr/>
              <w:t xml:space="preserve">Offline sync management screen</w:t>
            </w:r>
          </w:p>
        </w:tc>
        <w:tc>
          <w:tcPr>
            <w:tcW w:w="5400" w:type="dxa"/>
          </w:tcPr>
          <w:p>
            <w:r>
              <w:rPr/>
              <w:t xml:space="preserve">Show queued games, last sync, conflicts and explicit resolution actions instead of relying mainly on repository/service logic.</w:t>
            </w:r>
          </w:p>
        </w:tc>
      </w:tr>
      <w:tr>
        <w:tc>
          <w:tcPr>
            <w:tcW w:w="1000" w:type="dxa"/>
          </w:tcPr>
          <w:p>
            <w:r>
              <w:rPr/>
              <w:t xml:space="preserve">High</w:t>
            </w:r>
          </w:p>
        </w:tc>
        <w:tc>
          <w:tcPr>
            <w:tcW w:w="2800" w:type="dxa"/>
          </w:tcPr>
          <w:p>
            <w:r>
              <w:rPr/>
              <w:t xml:space="preserve">Mobile security parity</w:t>
            </w:r>
          </w:p>
        </w:tc>
        <w:tc>
          <w:tcPr>
            <w:tcW w:w="5400" w:type="dxa"/>
          </w:tcPr>
          <w:p>
            <w:r>
              <w:rPr/>
              <w:t xml:space="preserve">Confirm password reset and TOTP setup/challenge/recovery are complete in-app, not only available on the website.</w:t>
            </w:r>
          </w:p>
        </w:tc>
      </w:tr>
      <w:tr>
        <w:tc>
          <w:tcPr>
            <w:tcW w:w="1000" w:type="dxa"/>
          </w:tcPr>
          <w:p>
            <w:r>
              <w:rPr/>
              <w:t xml:space="preserve">High</w:t>
            </w:r>
          </w:p>
        </w:tc>
        <w:tc>
          <w:tcPr>
            <w:tcW w:w="2800" w:type="dxa"/>
          </w:tcPr>
          <w:p>
            <w:r>
              <w:rPr/>
              <w:t xml:space="preserve">Background clock reliability</w:t>
            </w:r>
          </w:p>
        </w:tc>
        <w:tc>
          <w:tcPr>
            <w:tcW w:w="5400" w:type="dxa"/>
          </w:tcPr>
          <w:p>
            <w:r>
              <w:rPr/>
              <w:t xml:space="preserve">Verify clocks/your-move alerts under Doze, battery optimization, force-stop, reboot and vendor-specific background restrictions.</w:t>
            </w:r>
          </w:p>
        </w:tc>
      </w:tr>
      <w:tr>
        <w:tc>
          <w:tcPr>
            <w:tcW w:w="1000" w:type="dxa"/>
          </w:tcPr>
          <w:p>
            <w:r>
              <w:rPr/>
              <w:t xml:space="preserve">Medium</w:t>
            </w:r>
          </w:p>
        </w:tc>
        <w:tc>
          <w:tcPr>
            <w:tcW w:w="2800" w:type="dxa"/>
          </w:tcPr>
          <w:p>
            <w:r>
              <w:rPr/>
              <w:t xml:space="preserve">Online board theme parity</w:t>
            </w:r>
          </w:p>
        </w:tc>
        <w:tc>
          <w:tcPr>
            <w:tcW w:w="5400" w:type="dxa"/>
          </w:tcPr>
          <w:p>
            <w:r>
              <w:rPr/>
              <w:t xml:space="preserve">Apply the chosen piece/board/sound set consistently to offline, online, puzzle, replay and analysis boards.</w:t>
            </w:r>
          </w:p>
        </w:tc>
      </w:tr>
      <w:tr>
        <w:tc>
          <w:tcPr>
            <w:tcW w:w="1000" w:type="dxa"/>
          </w:tcPr>
          <w:p>
            <w:r>
              <w:rPr/>
              <w:t xml:space="preserve">Medium</w:t>
            </w:r>
          </w:p>
        </w:tc>
        <w:tc>
          <w:tcPr>
            <w:tcW w:w="2800" w:type="dxa"/>
          </w:tcPr>
          <w:p>
            <w:r>
              <w:rPr/>
              <w:t xml:space="preserve">Large-screen navigation</w:t>
            </w:r>
          </w:p>
        </w:tc>
        <w:tc>
          <w:tcPr>
            <w:tcW w:w="5400" w:type="dxa"/>
          </w:tcPr>
          <w:p>
            <w:r>
              <w:rPr/>
              <w:t xml:space="preserve">Provide intentional foldable/tablet landscape compositions rather than only constrained widths.</w:t>
            </w:r>
          </w:p>
        </w:tc>
      </w:tr>
      <w:tr>
        <w:tc>
          <w:tcPr>
            <w:tcW w:w="1000" w:type="dxa"/>
          </w:tcPr>
          <w:p>
            <w:r>
              <w:rPr/>
              <w:t xml:space="preserve">Medium</w:t>
            </w:r>
          </w:p>
        </w:tc>
        <w:tc>
          <w:tcPr>
            <w:tcW w:w="2800" w:type="dxa"/>
          </w:tcPr>
          <w:p>
            <w:r>
              <w:rPr/>
              <w:t xml:space="preserve">Download management</w:t>
            </w:r>
          </w:p>
        </w:tc>
        <w:tc>
          <w:tcPr>
            <w:tcW w:w="5400" w:type="dxa"/>
          </w:tcPr>
          <w:p>
            <w:r>
              <w:rPr/>
              <w:t xml:space="preserve">Give exported PGN/FEN/data clear success UI, share/open actions, filenames and storage-permission handling across Android versions.</w:t>
            </w:r>
          </w:p>
        </w:tc>
      </w:tr>
      <w:tr>
        <w:tc>
          <w:tcPr>
            <w:tcW w:w="1000" w:type="dxa"/>
          </w:tcPr>
          <w:p>
            <w:r>
              <w:rPr/>
              <w:t xml:space="preserve">Optional</w:t>
            </w:r>
          </w:p>
        </w:tc>
        <w:tc>
          <w:tcPr>
            <w:tcW w:w="2800" w:type="dxa"/>
          </w:tcPr>
          <w:p>
            <w:r>
              <w:rPr/>
              <w:t xml:space="preserve">iOS application</w:t>
            </w:r>
          </w:p>
        </w:tc>
        <w:tc>
          <w:tcPr>
            <w:tcW w:w="5400" w:type="dxa"/>
          </w:tcPr>
          <w:p>
            <w:r>
              <w:rPr/>
              <w:t xml:space="preserve">No productized iOS target/release pipeline exists; implement only if iPhone distribution becomes a business requirement.</w:t>
            </w:r>
          </w:p>
        </w:tc>
      </w:tr>
    </w:tbl>
    <w:p>
      <w:pPr>
        <w:pStyle w:val="Heading1"/>
      </w:pPr>
      <w:r>
        <w:t xml:space="preserve">5. Windows desktop gaps</w:t>
      </w:r>
    </w:p>
    <w:p>
      <w:pPr>
        <w:numPr>
          <w:ilvl w:val="0"/>
          <w:numId w:val="1"/>
        </w:numPr>
      </w:pPr>
      <w:r>
        <w:t xml:space="preserve">Purchase/use a trusted Windows code-signing certificate and sign the EXE or installer so public users do not receive unknown-publisher warnings.</w:t>
      </w:r>
    </w:p>
    <w:p>
      <w:pPr>
        <w:numPr>
          <w:ilvl w:val="0"/>
          <w:numId w:val="1"/>
        </w:numPr>
      </w:pPr>
      <w:r>
        <w:t xml:space="preserve">Create a professional MSIX/MSI installer with Start Menu shortcut, uninstall entry, version metadata and safe per-user installation.</w:t>
      </w:r>
    </w:p>
    <w:p>
      <w:pPr>
        <w:numPr>
          <w:ilvl w:val="0"/>
          <w:numId w:val="1"/>
        </w:numPr>
      </w:pPr>
      <w:r>
        <w:t xml:space="preserve">Design an update mechanism: signed release manifest, update notification, rollback and data-schema compatibility policy.</w:t>
      </w:r>
    </w:p>
    <w:p>
      <w:pPr>
        <w:numPr>
          <w:ilvl w:val="0"/>
          <w:numId w:val="1"/>
        </w:numPr>
      </w:pPr>
      <w:r>
        <w:t xml:space="preserve">Add Windows-specific keyboard shortcuts, focus indicators, window-state persistence, high-DPI/multi-monitor testing and screen-reader validation.</w:t>
      </w:r>
    </w:p>
    <w:p>
      <w:pPr>
        <w:numPr>
          <w:ilvl w:val="0"/>
          <w:numId w:val="1"/>
        </w:numPr>
      </w:pPr>
      <w:r>
        <w:t xml:space="preserve">Decide whether the desktop product should support local packaged Stockfish analysis. Current offline Windows bot uses bundled fallback logic; server-grade Stockfish analysis remains an online/server function.</w:t>
      </w:r>
    </w:p>
    <w:p>
      <w:pPr>
        <w:numPr>
          <w:ilvl w:val="0"/>
          <w:numId w:val="1"/>
        </w:numPr>
      </w:pPr>
      <w:r>
        <w:t xml:space="preserve">Add a desktop settings page that clearly distinguishes Offline, Local server and Production online connection states.</w:t>
      </w:r>
    </w:p>
    <w:p>
      <w:pPr>
        <w:numPr>
          <w:ilvl w:val="0"/>
          <w:numId w:val="1"/>
        </w:numPr>
      </w:pPr>
      <w:r>
        <w:t xml:space="preserve">Create desktop release CI, checksum/signature publication and clean Windows 10/11 installation tests.</w:t>
      </w:r>
    </w:p>
    <w:p>
      <w:r>
        <w:br w:type="page"/>
      </w:r>
    </w:p>
    <w:p>
      <w:pPr>
        <w:pStyle w:val="Heading1"/>
      </w:pPr>
      <w:r>
        <w:t xml:space="preserve">6. Website and backend improvements</w:t>
      </w:r>
    </w:p>
    <w:p>
      <w:pPr>
        <w:numPr>
          <w:ilvl w:val="0"/>
          <w:numId w:val="1"/>
        </w:numPr>
      </w:pPr>
      <w:r>
        <w:t xml:space="preserve">Replace remaining utilitarian/empty states with curated onboarding, sample events and clear calls to action without fabricating live activity.</w:t>
      </w:r>
    </w:p>
    <w:p>
      <w:pPr>
        <w:numPr>
          <w:ilvl w:val="0"/>
          <w:numId w:val="1"/>
        </w:numPr>
      </w:pPr>
      <w:r>
        <w:t xml:space="preserve">Add robust pagination/filtering/export for high-volume moderator cases, reports, messages, games, clubs and tournaments.</w:t>
      </w:r>
    </w:p>
    <w:p>
      <w:pPr>
        <w:numPr>
          <w:ilvl w:val="0"/>
          <w:numId w:val="1"/>
        </w:numPr>
      </w:pPr>
      <w:r>
        <w:t xml:space="preserve">Extend organizer tooling with audit history, bulk messaging, check-in/no-show workflows, dispute handling and safe rollback of pairings/results.</w:t>
      </w:r>
    </w:p>
    <w:p>
      <w:pPr>
        <w:numPr>
          <w:ilvl w:val="0"/>
          <w:numId w:val="1"/>
        </w:numPr>
      </w:pPr>
      <w:r>
        <w:t xml:space="preserve">Add account-session management: list active sessions/devices, revoke individual sessions, suspicious-login alerts and recovery-code lifecycle.</w:t>
      </w:r>
    </w:p>
    <w:p>
      <w:pPr>
        <w:numPr>
          <w:ilvl w:val="0"/>
          <w:numId w:val="1"/>
        </w:numPr>
      </w:pPr>
      <w:r>
        <w:t xml:space="preserve">Strengthen privacy controls with profile discoverability, presence visibility, challenge/message permissions and retention choices that are enforced across APIs.</w:t>
      </w:r>
    </w:p>
    <w:p>
      <w:pPr>
        <w:numPr>
          <w:ilvl w:val="0"/>
          <w:numId w:val="1"/>
        </w:numPr>
      </w:pPr>
      <w:r>
        <w:t xml:space="preserve">Provide operational admin views for queue health, failed Celery jobs, Stockfish capacity, WebSocket connections, notification failures and backup status.</w:t>
      </w:r>
    </w:p>
    <w:p>
      <w:pPr>
        <w:numPr>
          <w:ilvl w:val="0"/>
          <w:numId w:val="1"/>
        </w:numPr>
      </w:pPr>
      <w:r>
        <w:t xml:space="preserve">Introduce database/query performance budgets, caching metrics and indexes based on production-sized data rather than small local fixtures.</w:t>
      </w:r>
    </w:p>
    <w:p>
      <w:pPr>
        <w:pStyle w:val="Heading1"/>
      </w:pPr>
      <w:r>
        <w:t xml:space="preserve">7. Chess features that could differentiate the product</w:t>
      </w:r>
    </w:p>
    <w:p>
      <w:r>
        <w:t xml:space="preserve">These are valuable future additions, not release blockers.</w:t>
      </w:r>
    </w:p>
    <w:p>
      <w:pPr>
        <w:numPr>
          <w:ilvl w:val="0"/>
          <w:numId w:val="1"/>
        </w:numPr>
      </w:pPr>
      <w:r>
        <w:t xml:space="preserve">Study plans that combine opening practice, puzzles, annotated games and spaced repetition into a measurable weekly curriculum.</w:t>
      </w:r>
    </w:p>
    <w:p>
      <w:pPr>
        <w:numPr>
          <w:ilvl w:val="0"/>
          <w:numId w:val="1"/>
        </w:numPr>
      </w:pPr>
      <w:r>
        <w:t xml:space="preserve">Coach mode with goal-based review: recurring mistake themes, personalized exercises and progress across openings, tactics and endgames.</w:t>
      </w:r>
    </w:p>
    <w:p>
      <w:pPr>
        <w:numPr>
          <w:ilvl w:val="0"/>
          <w:numId w:val="1"/>
        </w:numPr>
      </w:pPr>
      <w:r>
        <w:t xml:space="preserve">Richer variant support beyond Standard/Chess960, such as King of the Hill, Three-check or Crazyhouse, only with complete rules/testing/matchmaking separation.</w:t>
      </w:r>
    </w:p>
    <w:p>
      <w:pPr>
        <w:numPr>
          <w:ilvl w:val="0"/>
          <w:numId w:val="1"/>
        </w:numPr>
      </w:pPr>
      <w:r>
        <w:t xml:space="preserve">Endgame tablebase integration for exact results and training positions, with licensing/storage/latency considered.</w:t>
      </w:r>
    </w:p>
    <w:p>
      <w:pPr>
        <w:numPr>
          <w:ilvl w:val="0"/>
          <w:numId w:val="1"/>
        </w:numPr>
      </w:pPr>
      <w:r>
        <w:t xml:space="preserve">Broadcast-grade tournament pages with live boards, delay controls, commentary, embeddable widgets and anti-spoiler settings.</w:t>
      </w:r>
    </w:p>
    <w:p>
      <w:pPr>
        <w:numPr>
          <w:ilvl w:val="0"/>
          <w:numId w:val="1"/>
        </w:numPr>
      </w:pPr>
      <w:r>
        <w:t xml:space="preserve">Federated/imported rating and identity verification only if required by clubs or organized events.</w:t>
      </w:r>
    </w:p>
    <w:p>
      <w:pPr>
        <w:pStyle w:val="Heading1"/>
      </w:pPr>
      <w:r>
        <w:t xml:space="preserve">8. Social, retention and business enhancements</w:t>
      </w:r>
    </w:p>
    <w:p>
      <w:pPr>
        <w:numPr>
          <w:ilvl w:val="0"/>
          <w:numId w:val="1"/>
        </w:numPr>
      </w:pPr>
      <w:r>
        <w:t xml:space="preserve">Optional opt-in email digest and event calendar reminders with unsubscribe and notification-frequency controls.</w:t>
      </w:r>
    </w:p>
    <w:p>
      <w:pPr>
        <w:numPr>
          <w:ilvl w:val="0"/>
          <w:numId w:val="1"/>
        </w:numPr>
      </w:pPr>
      <w:r>
        <w:t xml:space="preserve">Club roles, moderation permissions, private club forums, scheduled club arenas and season promotion/relegation.</w:t>
      </w:r>
    </w:p>
    <w:p>
      <w:pPr>
        <w:numPr>
          <w:ilvl w:val="0"/>
          <w:numId w:val="1"/>
        </w:numPr>
      </w:pPr>
      <w:r>
        <w:t xml:space="preserve">Creator/coach profiles, private studies and lesson sharing, with abuse/reporting and content ownership rules.</w:t>
      </w:r>
    </w:p>
    <w:p>
      <w:pPr>
        <w:numPr>
          <w:ilvl w:val="0"/>
          <w:numId w:val="1"/>
        </w:numPr>
      </w:pPr>
      <w:r>
        <w:t xml:space="preserve">Shareable web result/review pages with privacy-safe previews and stable deep links.</w:t>
      </w:r>
    </w:p>
    <w:p>
      <w:pPr>
        <w:numPr>
          <w:ilvl w:val="0"/>
          <w:numId w:val="1"/>
        </w:numPr>
      </w:pPr>
      <w:r>
        <w:t xml:space="preserve">If monetization is introduced later: subscriptions or supporter plans, entitlement service, invoices/tax handling, refunds and store-policy compliance. Payments are not required for the current free launch.</w:t>
      </w:r>
    </w:p>
    <w:p>
      <w:pPr>
        <w:pStyle w:val="Heading1"/>
      </w:pPr>
      <w:r>
        <w:t xml:space="preserve">9. Architecture and maintainability backlog</w:t>
      </w:r>
    </w:p>
    <w:p>
      <w:pPr>
        <w:numPr>
          <w:ilvl w:val="0"/>
          <w:numId w:val="1"/>
        </w:numPr>
      </w:pPr>
      <w:r>
        <w:t xml:space="preserve">Split large Flutter files—especially simple_home_page.dart—into feature modules, typed API clients, repositories and testable state controllers.</w:t>
      </w:r>
    </w:p>
    <w:p>
      <w:pPr>
        <w:numPr>
          <w:ilvl w:val="0"/>
          <w:numId w:val="1"/>
        </w:numPr>
      </w:pPr>
      <w:r>
        <w:t xml:space="preserve">Generate typed Dart API models/clients from the OpenAPI schema to reduce Map/dynamic parsing errors and web/mobile contract drift.</w:t>
      </w:r>
    </w:p>
    <w:p>
      <w:pPr>
        <w:numPr>
          <w:ilvl w:val="0"/>
          <w:numId w:val="1"/>
        </w:numPr>
      </w:pPr>
      <w:r>
        <w:t xml:space="preserve">Define versioned REST/WebSocket compatibility and forced/minimum-client-version behavior before desktop/mobile releases diverge.</w:t>
      </w:r>
    </w:p>
    <w:p>
      <w:pPr>
        <w:numPr>
          <w:ilvl w:val="0"/>
          <w:numId w:val="1"/>
        </w:numPr>
      </w:pPr>
      <w:r>
        <w:t xml:space="preserve">Add structured domain events/outbox delivery for important notifications and tournament/game side effects so retries are observable and idempotent.</w:t>
      </w:r>
    </w:p>
    <w:p>
      <w:pPr>
        <w:numPr>
          <w:ilvl w:val="0"/>
          <w:numId w:val="1"/>
        </w:numPr>
      </w:pPr>
      <w:r>
        <w:t xml:space="preserve">Create database migration/rollback rehearsal and zero-downtime deployment rules for active games and WebSocket clients.</w:t>
      </w:r>
    </w:p>
    <w:p>
      <w:pPr>
        <w:numPr>
          <w:ilvl w:val="0"/>
          <w:numId w:val="1"/>
        </w:numPr>
      </w:pPr>
      <w:r>
        <w:t xml:space="preserve">Set measurable service-level objectives for HTTP latency, move acknowledgement, matchmaking time, notification delivery and recovery time.</w:t>
      </w:r>
    </w:p>
    <w:p>
      <w:pPr>
        <w:pStyle w:val="Heading1"/>
      </w:pPr>
      <w:r>
        <w:t xml:space="preserve">10. Already implemented—not pending</w:t>
      </w:r>
    </w:p>
    <w:p>
      <w:pPr>
        <w:numPr>
          <w:ilvl w:val="0"/>
          <w:numId w:val="1"/>
        </w:numPr>
      </w:pPr>
      <w:r>
        <w:t xml:space="preserve">Standard chess and Chess960, custom positions, correspondence and conditional moves.</w:t>
      </w:r>
    </w:p>
    <w:p>
      <w:pPr>
        <w:numPr>
          <w:ilvl w:val="0"/>
          <w:numId w:val="1"/>
        </w:numPr>
      </w:pPr>
      <w:r>
        <w:t xml:space="preserve">Promotion, premoves, rematch, takebacks, draw claims, reconnect and abandoned-game handling.</w:t>
      </w:r>
    </w:p>
    <w:p>
      <w:pPr>
        <w:numPr>
          <w:ilvl w:val="0"/>
          <w:numId w:val="1"/>
        </w:numPr>
      </w:pPr>
      <w:r>
        <w:t xml:space="preserve">Separate speed ratings, matchmaking expansion, leaderboard and game history/replay.</w:t>
      </w:r>
    </w:p>
    <w:p>
      <w:pPr>
        <w:numPr>
          <w:ilvl w:val="0"/>
          <w:numId w:val="1"/>
        </w:numPr>
      </w:pPr>
      <w:r>
        <w:t xml:space="preserve">Stockfish analysis, evaluation data, accuracy, best lines, retry and fair-play review tools.</w:t>
      </w:r>
    </w:p>
    <w:p>
      <w:pPr>
        <w:numPr>
          <w:ilvl w:val="0"/>
          <w:numId w:val="1"/>
        </w:numPr>
      </w:pPr>
      <w:r>
        <w:t xml:space="preserve">Visual puzzles, ratings, streaks, daily puzzle, courses and solution explanations.</w:t>
      </w:r>
    </w:p>
    <w:p>
      <w:pPr>
        <w:numPr>
          <w:ilvl w:val="0"/>
          <w:numId w:val="1"/>
        </w:numPr>
      </w:pPr>
      <w:r>
        <w:t xml:space="preserve">Friends, presence, challenges, direct/game/spectator chat, message controls, reports and blocks.</w:t>
      </w:r>
    </w:p>
    <w:p>
      <w:pPr>
        <w:numPr>
          <w:ilvl w:val="0"/>
          <w:numId w:val="1"/>
        </w:numPr>
      </w:pPr>
      <w:r>
        <w:t xml:space="preserve">Tournament creation/codes, rounds, tie-breaks, organizer controls, automatic games, clubs, team competitions and simuls.</w:t>
      </w:r>
    </w:p>
    <w:p>
      <w:pPr>
        <w:numPr>
          <w:ilvl w:val="0"/>
          <w:numId w:val="1"/>
        </w:numPr>
      </w:pPr>
      <w:r>
        <w:t xml:space="preserve">Achievements, recommendations, missions, referrals, seasonal events, news and activity feeds.</w:t>
      </w:r>
    </w:p>
    <w:p>
      <w:pPr>
        <w:numPr>
          <w:ilvl w:val="0"/>
          <w:numId w:val="1"/>
        </w:numPr>
      </w:pPr>
      <w:r>
        <w:t xml:space="preserve">Profiles, privacy preferences, data export/account deletion, search and moderator/appeal interfaces.</w:t>
      </w:r>
    </w:p>
    <w:p>
      <w:pPr>
        <w:numPr>
          <w:ilvl w:val="0"/>
          <w:numId w:val="1"/>
        </w:numPr>
      </w:pPr>
      <w:r>
        <w:t xml:space="preserve">Flutter Android feature set plus portable offline Windows desktop build and documentation.</w:t>
      </w:r>
    </w:p>
    <w:p>
      <w:pPr>
        <w:pStyle w:val="Heading1"/>
      </w:pPr>
      <w:r>
        <w:t xml:space="preserve">11. Recommended next delivery sequence</w:t>
      </w:r>
    </w:p>
    <w:tbl>
      <w:tblPr>
        <w:tblStyle w:val="TableGrid"/>
        <w:tblW w:w="0" w:type="auto"/>
      </w:tblPr>
      <w:tr>
        <w:tc>
          <w:tcPr>
            <w:tcW w:w="2000" w:type="dxa"/>
            <w:shd w:fill="24563B"/>
          </w:tcPr>
          <w:p>
            <w:r>
              <w:rPr>
                <w:b/>
                <w:color w:val="FFFFFF"/>
              </w:rPr>
              <w:t xml:space="preserve">Phase</w:t>
            </w:r>
          </w:p>
        </w:tc>
        <w:tc>
          <w:tcPr>
            <w:tcW w:w="7200" w:type="dxa"/>
            <w:shd w:fill="24563B"/>
          </w:tcPr>
          <w:p>
            <w:r>
              <w:rPr>
                <w:b/>
                <w:color w:val="FFFFFF"/>
              </w:rPr>
              <w:t xml:space="preserve">Target outcome</w:t>
            </w:r>
          </w:p>
        </w:tc>
      </w:tr>
      <w:tr>
        <w:tc>
          <w:tcPr>
            <w:tcW w:w="2000" w:type="dxa"/>
          </w:tcPr>
          <w:p>
            <w:r>
              <w:rPr/>
              <w:t xml:space="preserve">1. Production configuration</w:t>
            </w:r>
          </w:p>
        </w:tc>
        <w:tc>
          <w:tcPr>
            <w:tcW w:w="7200" w:type="dxa"/>
          </w:tcPr>
          <w:p>
            <w:r>
              <w:rPr/>
              <w:t xml:space="preserve">Real domain/TLS, PostgreSQL, Redis, Celery, SMTP, Stockfish, Firebase and secrets.</w:t>
            </w:r>
          </w:p>
        </w:tc>
      </w:tr>
      <w:tr>
        <w:tc>
          <w:tcPr>
            <w:tcW w:w="2000" w:type="dxa"/>
          </w:tcPr>
          <w:p>
            <w:r>
              <w:rPr/>
              <w:t xml:space="preserve">2. Release proof</w:t>
            </w:r>
          </w:p>
        </w:tc>
        <w:tc>
          <w:tcPr>
            <w:tcW w:w="7200" w:type="dxa"/>
          </w:tcPr>
          <w:p>
            <w:r>
              <w:rPr/>
              <w:t xml:space="preserve">Backups restored, load/security tests passed, Android physical-device matrix and Windows clean-PC tests recorded.</w:t>
            </w:r>
          </w:p>
        </w:tc>
      </w:tr>
      <w:tr>
        <w:tc>
          <w:tcPr>
            <w:tcW w:w="2000" w:type="dxa"/>
          </w:tcPr>
          <w:p>
            <w:r>
              <w:rPr/>
              <w:t xml:space="preserve">3. Distribution</w:t>
            </w:r>
          </w:p>
        </w:tc>
        <w:tc>
          <w:tcPr>
            <w:tcW w:w="7200" w:type="dxa"/>
          </w:tcPr>
          <w:p>
            <w:r>
              <w:rPr/>
              <w:t xml:space="preserve">Signed Android internal/closed release and signed Windows installer with checksums, privacy and support processes.</w:t>
            </w:r>
          </w:p>
        </w:tc>
      </w:tr>
      <w:tr>
        <w:tc>
          <w:tcPr>
            <w:tcW w:w="2000" w:type="dxa"/>
          </w:tcPr>
          <w:p>
            <w:r>
              <w:rPr/>
              <w:t xml:space="preserve">4. Parity polish</w:t>
            </w:r>
          </w:p>
        </w:tc>
        <w:tc>
          <w:tcPr>
            <w:tcW w:w="7200" w:type="dxa"/>
          </w:tcPr>
          <w:p>
            <w:r>
              <w:rPr/>
              <w:t xml:space="preserve">Localization, offline sync UI, background reliability, themes, accessibility and large-screen UX.</w:t>
            </w:r>
          </w:p>
        </w:tc>
      </w:tr>
      <w:tr>
        <w:tc>
          <w:tcPr>
            <w:tcW w:w="2000" w:type="dxa"/>
          </w:tcPr>
          <w:p>
            <w:r>
              <w:rPr/>
              <w:t xml:space="preserve">5. Differentiation</w:t>
            </w:r>
          </w:p>
        </w:tc>
        <w:tc>
          <w:tcPr>
            <w:tcW w:w="7200" w:type="dxa"/>
          </w:tcPr>
          <w:p>
            <w:r>
              <w:rPr/>
              <w:t xml:space="preserve">Study/coach experiences, richer broadcasts, club seasons and carefully selected variants.</w:t>
            </w:r>
          </w:p>
        </w:tc>
      </w:tr>
    </w:tbl>
    <w:p>
      <w:pPr>
        <w:pStyle w:val="Subtitle"/>
      </w:pPr>
      <w:r>
        <w:t xml:space="preserve">End of document</w:t>
      </w:r>
    </w:p>
    <w:sectPr>
      <w:pgSz w:w="11906" w:h="16838"/>
      <w:pgMar w:top="1134" w:right="1134" w:bottom="1134" w:left="1134"/>
      <w:footerReference xmlns:r="http://schemas.openxmlformats.org/officeDocument/2006/relationships" w:type="default" r:id="rId2"/>
    </w:sectPr>
  </w:body>
</w:document>
</file>

<file path=word/footer1.xml><?xml version="1.0" encoding="utf-8"?>
<w:ftr xmlns:w="http://schemas.openxmlformats.org/wordprocessingml/2006/main">
  <w:p>
    <w:pPr>
      <w:jc w:val="center"/>
    </w:pPr>
    <w:r>
      <w:rPr>
        <w:color w:val="68756B"/>
        <w:sz w:val="18"/>
      </w:rPr>
      <w:t>Chess Platform • Project Handover</w:t>
    </w:r>
  </w:p>
</w:ftr>
</file>

<file path=word/numbering.xml><?xml version="1.0" encoding="utf-8"?>
<w:numbering xmlns:w="http://schemas.openxmlformats.org/wordprocessingml/2006/main">
  <w:abstractNum w:abstractNumId="0">
    <w:multiLevelType w:val="singleLevel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Aptos" w:hAnsi="Aptos"/>
        <w:sz w:val="22"/>
      </w:rPr>
    </w:rPrDefault>
  </w:docDefaults>
  <w:style w:type="paragraph" w:default="1" w:styleId="Normal">
    <w:name w:val="Normal"/>
    <w:pPr>
      <w:spacing w:after="120" w:line="276" w:lineRule="auto"/>
    </w:pPr>
  </w:style>
  <w:style w:type="paragraph" w:styleId="Title">
    <w:name w:val="Title"/>
    <w:pPr>
      <w:jc w:val="center"/>
      <w:spacing w:before="1800" w:after="240"/>
    </w:pPr>
    <w:rPr>
      <w:color w:val="173B2A"/>
      <w:b/>
      <w:sz w:val="42"/>
    </w:rPr>
  </w:style>
  <w:style w:type="paragraph" w:styleId="Subtitle">
    <w:name w:val="Subtitle"/>
    <w:pPr>
      <w:jc w:val="center"/>
      <w:spacing w:after="140"/>
    </w:pPr>
    <w:rPr>
      <w:color w:val="55705D"/>
      <w:sz w:val="22"/>
    </w:rPr>
  </w:style>
  <w:style w:type="paragraph" w:styleId="Heading1">
    <w:name w:val="heading 1"/>
    <w:pPr>
      <w:keepNext/>
      <w:spacing w:before="300" w:after="160"/>
      <w:outlineLvl w:val="0"/>
    </w:pPr>
    <w:rPr>
      <w:color w:val="173B2A"/>
      <w:b/>
      <w:sz w:val="32"/>
    </w:rPr>
  </w:style>
  <w:style w:type="paragraph" w:styleId="Heading2">
    <w:name w:val="heading 2"/>
    <w:pPr>
      <w:keepNext/>
      <w:spacing w:before="220" w:after="120"/>
      <w:outlineLvl w:val="1"/>
    </w:pPr>
    <w:rPr>
      <w:color w:val="24563B"/>
      <w:b/>
      <w:sz w:val="26"/>
    </w:rPr>
  </w:style>
  <w:style w:type="paragraph" w:styleId="Heading3">
    <w:name w:val="heading 3"/>
    <w:pPr>
      <w:keepNext/>
      <w:spacing w:before="160" w:after="80"/>
      <w:outlineLvl w:val="2"/>
    </w:pPr>
    <w:rPr>
      <w:b/>
      <w:sz w:val="23"/>
    </w:rPr>
  </w:style>
  <w:style w:type="table" w:styleId="TableGrid">
    <w:name w:val="Table Grid"/>
    <w:tblPr>
      <w:tblBorders>
        <w:top w:val="single" w:sz="4" w:color="BAC8BA"/>
        <w:left w:val="single" w:sz="4" w:color="BAC8BA"/>
        <w:bottom w:val="single" w:sz="4" w:color="BAC8BA"/>
        <w:right w:val="single" w:sz="4" w:color="BAC8BA"/>
        <w:insideH w:val="single" w:sz="4" w:color="DCE5D8"/>
        <w:insideV w:val="single" w:sz="4" w:color="DCE5D8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Chess Platform Documentation Generator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Remaining Features and Release Backlog</dc:title>
  <dc:creator>Chess Platform Engineering</dc:creator>
  <dc:subject>Project handover</dc:subject>
  <dcterms:created xsi:type="dcterms:W3CDTF">2026-08-14T00:00:00Z</dcterms:created>
</cp:coreProperties>
</file>