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Deployment Guide</w:t>
      </w:r>
    </w:p>
    <w:p>
      <w:pPr>
        <w:pStyle w:val="Subtitle"/>
      </w:pPr>
      <w:r>
        <w:t xml:space="preserve">Django production infrastructure and Flutter Android/Play Store release</w:t>
      </w:r>
    </w:p>
    <w:p>
      <w:pPr>
        <w:pStyle w:val="Subtitle"/>
      </w:pPr>
      <w:r>
        <w:t xml:space="preserve">Verified against the repository on 14 August 2026</w:t>
      </w:r>
    </w:p>
    <w:p>
      <w:pPr>
        <w:pStyle w:val="Subtitle"/>
      </w:pPr>
      <w:r>
        <w:t xml:space="preserve">Repository: Chess Platform (Django website/API + Flutter Android app)</w:t>
      </w:r>
    </w:p>
    <w:p>
      <w:r>
        <w:br w:type="page"/>
      </w:r>
    </w:p>
    <w:p>
      <w:pPr>
        <w:pStyle w:val="Heading1"/>
      </w:pPr>
      <w:r>
        <w:t xml:space="preserve">1. Deployment target</w:t>
      </w:r>
    </w:p>
    <w:p>
      <w:r>
        <w:t xml:space="preserve">Recommended production topology: Nginx -&gt; Django ASGI web container; PostgreSQL database; Redis cache/Channels/Celery; Celery worker and beat; persistent static/media volumes; local Stockfish binary; optional Firebase service credential. The supplied Docker Compose production overlay implements this topology.</w:t>
      </w:r>
    </w:p>
    <w:p>
      <w:pPr>
        <w:pStyle w:val="Heading1"/>
      </w:pPr>
      <w:r>
        <w:t xml:space="preserve">2. Required infrastructure</w:t>
      </w:r>
    </w:p>
    <w:p>
      <w:pPr>
        <w:numPr>
          <w:ilvl w:val="0"/>
          <w:numId w:val="1"/>
        </w:numPr>
      </w:pPr>
      <w:r>
        <w:t xml:space="preserve">Linux server or VM with Docker Engine and Docker Compose v2.</w:t>
      </w:r>
    </w:p>
    <w:p>
      <w:pPr>
        <w:numPr>
          <w:ilvl w:val="0"/>
          <w:numId w:val="1"/>
        </w:numPr>
      </w:pPr>
      <w:r>
        <w:t xml:space="preserve">A registered domain with DNS A/AAAA records pointing to the server.</w:t>
      </w:r>
    </w:p>
    <w:p>
      <w:pPr>
        <w:numPr>
          <w:ilvl w:val="0"/>
          <w:numId w:val="1"/>
        </w:numPr>
      </w:pPr>
      <w:r>
        <w:t xml:space="preserve">HTTPS certificate terminated at Nginx or an upstream reverse proxy/load balancer.</w:t>
      </w:r>
    </w:p>
    <w:p>
      <w:pPr>
        <w:numPr>
          <w:ilvl w:val="0"/>
          <w:numId w:val="1"/>
        </w:numPr>
      </w:pPr>
      <w:r>
        <w:t xml:space="preserve">SMTP account for verification and password-reset email.</w:t>
      </w:r>
    </w:p>
    <w:p>
      <w:pPr>
        <w:numPr>
          <w:ilvl w:val="0"/>
          <w:numId w:val="1"/>
        </w:numPr>
      </w:pPr>
      <w:r>
        <w:t xml:space="preserve">Firebase project/service account for real push notifications (optional for basic chess).</w:t>
      </w:r>
    </w:p>
    <w:p>
      <w:pPr>
        <w:numPr>
          <w:ilvl w:val="0"/>
          <w:numId w:val="1"/>
        </w:numPr>
      </w:pPr>
      <w:r>
        <w:t xml:space="preserve">Encrypted off-site storage for PostgreSQL/media backups and Android signing material.</w:t>
      </w:r>
    </w:p>
    <w:p>
      <w:pPr>
        <w:pStyle w:val="Heading1"/>
      </w:pPr>
      <w:r>
        <w:t xml:space="preserve">3. Prepare production configuration</w:t>
      </w:r>
    </w:p>
    <w:p>
      <w:r>
        <w:t xml:space="preserve">Copy .env.production.example to .env.production. Never commit the resulting file.</w:t>
      </w:r>
    </w:p>
    <w:tbl>
      <w:tblPr>
        <w:tblStyle w:val="TableGrid"/>
        <w:tblW w:w="0" w:type="auto"/>
      </w:tblPr>
      <w:tr>
        <w:tc>
          <w:tcPr>
            <w:tcW w:w="2800" w:type="dxa"/>
            <w:shd w:fill="24563B"/>
          </w:tcPr>
          <w:p>
            <w:r>
              <w:rPr>
                <w:b/>
                <w:color w:val="FFFFFF"/>
              </w:rPr>
              <w:t xml:space="preserve">Setting</w:t>
            </w:r>
          </w:p>
        </w:tc>
        <w:tc>
          <w:tcPr>
            <w:tcW w:w="6400" w:type="dxa"/>
            <w:shd w:fill="24563B"/>
          </w:tcPr>
          <w:p>
            <w:r>
              <w:rPr>
                <w:b/>
                <w:color w:val="FFFFFF"/>
              </w:rPr>
              <w:t xml:space="preserve">Required production value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DJANGO_SECRET_KEY</w:t>
            </w:r>
          </w:p>
        </w:tc>
        <w:tc>
          <w:tcPr>
            <w:tcW w:w="6400" w:type="dxa"/>
          </w:tcPr>
          <w:p>
            <w:r>
              <w:rPr/>
              <w:t xml:space="preserve">Long random unique secret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DJANGO_ALLOWED_HOSTS</w:t>
            </w:r>
          </w:p>
        </w:tc>
        <w:tc>
          <w:tcPr>
            <w:tcW w:w="6400" w:type="dxa"/>
          </w:tcPr>
          <w:p>
            <w:r>
              <w:rPr/>
              <w:t xml:space="preserve">Production hostname(s), comma separated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CSRF_TRUSTED_ORIGINS</w:t>
            </w:r>
          </w:p>
        </w:tc>
        <w:tc>
          <w:tcPr>
            <w:tcW w:w="6400" w:type="dxa"/>
          </w:tcPr>
          <w:p>
            <w:r>
              <w:rPr/>
              <w:t xml:space="preserve">https://your-real-domain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DATABASE_URL / POSTGRES_*</w:t>
            </w:r>
          </w:p>
        </w:tc>
        <w:tc>
          <w:tcPr>
            <w:tcW w:w="6400" w:type="dxa"/>
          </w:tcPr>
          <w:p>
            <w:r>
              <w:rPr/>
              <w:t xml:space="preserve">Strong unique credentials matching the Compose database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REDIS/CELERY URLs</w:t>
            </w:r>
          </w:p>
        </w:tc>
        <w:tc>
          <w:tcPr>
            <w:tcW w:w="6400" w:type="dxa"/>
          </w:tcPr>
          <w:p>
            <w:r>
              <w:rPr/>
              <w:t xml:space="preserve">Internal Redis service databases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EMAIL_*</w:t>
            </w:r>
          </w:p>
        </w:tc>
        <w:tc>
          <w:tcPr>
            <w:tcW w:w="6400" w:type="dxa"/>
          </w:tcPr>
          <w:p>
            <w:r>
              <w:rPr/>
              <w:t xml:space="preserve">Real SMTP host, user, password and sender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STOCKFISH_BINARY</w:t>
            </w:r>
          </w:p>
        </w:tc>
        <w:tc>
          <w:tcPr>
            <w:tcW w:w="6400" w:type="dxa"/>
          </w:tcPr>
          <w:p>
            <w:r>
              <w:rPr/>
              <w:t xml:space="preserve">/usr/games/stockfish in the supplied image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FIREBASE_*</w:t>
            </w:r>
          </w:p>
        </w:tc>
        <w:tc>
          <w:tcPr>
            <w:tcW w:w="6400" w:type="dxa"/>
          </w:tcPr>
          <w:p>
            <w:r>
              <w:rPr/>
              <w:t xml:space="preserve">Mounted service account path when push is enabled</w:t>
            </w:r>
          </w:p>
        </w:tc>
      </w:tr>
    </w:tbl>
    <w:p>
      <w:pPr>
        <w:pStyle w:val="Heading1"/>
      </w:pPr>
      <w:r>
        <w:t xml:space="preserve">4. First production deployment</w:t>
      </w:r>
    </w:p>
    <w:p>
      <w:pPr>
        <w:numPr>
          <w:ilvl w:val="0"/>
          <w:numId w:val="1"/>
        </w:numPr>
      </w:pPr>
      <w:r>
        <w:t xml:space="preserve">Copy the repository to the server using Git or a clean transfer archive.</w:t>
      </w:r>
    </w:p>
    <w:p>
      <w:pPr>
        <w:numPr>
          <w:ilvl w:val="0"/>
          <w:numId w:val="1"/>
        </w:numPr>
      </w:pPr>
      <w:r>
        <w:t xml:space="preserve">Create .env.production and secrets/firebase-service-account.json outside Git.</w:t>
      </w:r>
    </w:p>
    <w:p>
      <w:pPr>
        <w:numPr>
          <w:ilvl w:val="0"/>
          <w:numId w:val="1"/>
        </w:numPr>
      </w:pPr>
      <w:r>
        <w:t xml:space="preserve">Run: .\scripts\deploy_production.ps1 -Build (Windows operator) or the documented docker compose command on Linux.</w:t>
      </w:r>
    </w:p>
    <w:p>
      <w:pPr>
        <w:numPr>
          <w:ilvl w:val="0"/>
          <w:numId w:val="1"/>
        </w:numPr>
      </w:pPr>
      <w:r>
        <w:t xml:space="preserve">The deployment script validates placeholders, starts services, applies migrations, collects static assets and runs Django deployment checks.</w:t>
      </w:r>
    </w:p>
    <w:p>
      <w:pPr>
        <w:numPr>
          <w:ilvl w:val="0"/>
          <w:numId w:val="1"/>
        </w:numPr>
      </w:pPr>
      <w:r>
        <w:t xml:space="preserve">Create the first administrator: docker compose ... exec web python manage.py createsuperuser.</w:t>
      </w:r>
    </w:p>
    <w:p>
      <w:pPr>
        <w:numPr>
          <w:ilvl w:val="0"/>
          <w:numId w:val="1"/>
        </w:numPr>
      </w:pPr>
      <w:r>
        <w:t xml:space="preserve">Confirm /health/ returns status ok with database/cache timings.</w:t>
      </w:r>
    </w:p>
    <w:p>
      <w:pPr>
        <w:numPr>
          <w:ilvl w:val="0"/>
          <w:numId w:val="1"/>
        </w:numPr>
      </w:pPr>
      <w:r>
        <w:t xml:space="preserve">Confirm HTTP redirects to HTTPS, secure cookies are set and WebSocket upgrade succeeds.</w:t>
      </w:r>
    </w:p>
    <w:p>
      <w:pPr>
        <w:pStyle w:val="Heading1"/>
      </w:pPr>
      <w:r>
        <w:t xml:space="preserve">5. Reverse proxy and network</w:t>
      </w:r>
    </w:p>
    <w:p>
      <w:pPr>
        <w:numPr>
          <w:ilvl w:val="0"/>
          <w:numId w:val="1"/>
        </w:numPr>
      </w:pPr>
      <w:r>
        <w:t xml:space="preserve">Expose only ports 80/443 publicly. PostgreSQL and Redis ports are reset/hidden by the production overlay.</w:t>
      </w:r>
    </w:p>
    <w:p>
      <w:pPr>
        <w:numPr>
          <w:ilvl w:val="0"/>
          <w:numId w:val="1"/>
        </w:numPr>
      </w:pPr>
      <w:r>
        <w:t xml:space="preserve">Proxy normal HTTP and WebSocket Upgrade/Connection headers to the ASGI service.</w:t>
      </w:r>
    </w:p>
    <w:p>
      <w:pPr>
        <w:numPr>
          <w:ilvl w:val="0"/>
          <w:numId w:val="1"/>
        </w:numPr>
      </w:pPr>
      <w:r>
        <w:t xml:space="preserve">Set trusted proxy/forwarded protocol behavior consistently with the TLS termination point.</w:t>
      </w:r>
    </w:p>
    <w:p>
      <w:pPr>
        <w:numPr>
          <w:ilvl w:val="0"/>
          <w:numId w:val="1"/>
        </w:numPr>
      </w:pPr>
      <w:r>
        <w:t xml:space="preserve">Restrict SSH, enable host firewall and apply operating-system/container security updates.</w:t>
      </w:r>
    </w:p>
    <w:p>
      <w:pPr>
        <w:pStyle w:val="Heading1"/>
      </w:pPr>
      <w:r>
        <w:t xml:space="preserve">6. Data migration and static files</w:t>
      </w:r>
    </w:p>
    <w:p>
      <w:pPr>
        <w:numPr>
          <w:ilvl w:val="0"/>
          <w:numId w:val="1"/>
        </w:numPr>
      </w:pPr>
      <w:r>
        <w:t xml:space="preserve">Run migrations on every deployment before serving changed code.</w:t>
      </w:r>
    </w:p>
    <w:p>
      <w:pPr>
        <w:numPr>
          <w:ilvl w:val="0"/>
          <w:numId w:val="1"/>
        </w:numPr>
      </w:pPr>
      <w:r>
        <w:t xml:space="preserve">Never delete migration files to fix production history.</w:t>
      </w:r>
    </w:p>
    <w:p>
      <w:pPr>
        <w:numPr>
          <w:ilvl w:val="0"/>
          <w:numId w:val="1"/>
        </w:numPr>
      </w:pPr>
      <w:r>
        <w:t xml:space="preserve">Run collectstatic after frontend/static changes.</w:t>
      </w:r>
    </w:p>
    <w:p>
      <w:pPr>
        <w:numPr>
          <w:ilvl w:val="0"/>
          <w:numId w:val="1"/>
        </w:numPr>
      </w:pPr>
      <w:r>
        <w:t xml:space="preserve">Back up PostgreSQL and media before schema changes; test restore regularly.</w:t>
      </w:r>
    </w:p>
    <w:p>
      <w:pPr>
        <w:pStyle w:val="Heading1"/>
      </w:pPr>
      <w:r>
        <w:t xml:space="preserve">7. Celery, Redis and Stockfish</w:t>
      </w:r>
    </w:p>
    <w:p>
      <w:pPr>
        <w:numPr>
          <w:ilvl w:val="0"/>
          <w:numId w:val="1"/>
        </w:numPr>
      </w:pPr>
      <w:r>
        <w:t xml:space="preserve">WebSocket rooms need Channels/Redis for multi-process production operation.</w:t>
      </w:r>
    </w:p>
    <w:p>
      <w:pPr>
        <w:numPr>
          <w:ilvl w:val="0"/>
          <w:numId w:val="1"/>
        </w:numPr>
      </w:pPr>
      <w:r>
        <w:t xml:space="preserve">Celery worker performs Stockfish reviews and push jobs; beat schedules clocks, abandonment and cleanup.</w:t>
      </w:r>
    </w:p>
    <w:p>
      <w:pPr>
        <w:numPr>
          <w:ilvl w:val="0"/>
          <w:numId w:val="1"/>
        </w:numPr>
      </w:pPr>
      <w:r>
        <w:t xml:space="preserve">Verify Stockfish inside the web/worker image and confirm /stockfish/status/.</w:t>
      </w:r>
    </w:p>
    <w:p>
      <w:pPr>
        <w:numPr>
          <w:ilvl w:val="0"/>
          <w:numId w:val="1"/>
        </w:numPr>
      </w:pPr>
      <w:r>
        <w:t xml:space="preserve">Limit Stockfish threads/hash per worker to avoid exhausting the host under concurrent analysis.</w:t>
      </w:r>
    </w:p>
    <w:p>
      <w:pPr>
        <w:pStyle w:val="Heading1"/>
      </w:pPr>
      <w:r>
        <w:t xml:space="preserve">8. Monitoring and backup operations</w:t>
      </w:r>
    </w:p>
    <w:p>
      <w:pPr>
        <w:numPr>
          <w:ilvl w:val="0"/>
          <w:numId w:val="1"/>
        </w:numPr>
      </w:pPr>
      <w:r>
        <w:t xml:space="preserve">Monitor /health/, container health, disk, memory, CPU, Redis and PostgreSQL connections.</w:t>
      </w:r>
    </w:p>
    <w:p>
      <w:pPr>
        <w:numPr>
          <w:ilvl w:val="0"/>
          <w:numId w:val="1"/>
        </w:numPr>
      </w:pPr>
      <w:r>
        <w:t xml:space="preserve">Use X-Request-ID and Server-Timing to correlate slow client requests with logs.</w:t>
      </w:r>
    </w:p>
    <w:p>
      <w:pPr>
        <w:numPr>
          <w:ilvl w:val="0"/>
          <w:numId w:val="1"/>
        </w:numPr>
      </w:pPr>
      <w:r>
        <w:t xml:space="preserve">Configure a hosted error/crash platform and alert destinations before public launch.</w:t>
      </w:r>
    </w:p>
    <w:p>
      <w:pPr>
        <w:numPr>
          <w:ilvl w:val="0"/>
          <w:numId w:val="1"/>
        </w:numPr>
      </w:pPr>
      <w:r>
        <w:t xml:space="preserve">Schedule scripts/backup_production.ps1, encrypt/copy off-site and perform restore drills with restore_production.ps1.</w:t>
      </w:r>
    </w:p>
    <w:p>
      <w:pPr>
        <w:numPr>
          <w:ilvl w:val="0"/>
          <w:numId w:val="1"/>
        </w:numPr>
      </w:pPr>
      <w:r>
        <w:t xml:space="preserve">Define retention for games, chat, reports, device tokens, logs and backups in the published privacy policy.</w:t>
      </w:r>
    </w:p>
    <w:p>
      <w:r>
        <w:br w:type="page"/>
      </w:r>
    </w:p>
    <w:p>
      <w:pPr>
        <w:pStyle w:val="Heading1"/>
      </w:pPr>
      <w:r>
        <w:t xml:space="preserve">9. Flutter Android production build</w:t>
      </w:r>
    </w:p>
    <w:p>
      <w:pPr>
        <w:numPr>
          <w:ilvl w:val="0"/>
          <w:numId w:val="1"/>
        </w:numPr>
      </w:pPr>
      <w:r>
        <w:t xml:space="preserve">Install stable Flutter, Android Studio/SDK Build Tools and Java 17.</w:t>
      </w:r>
    </w:p>
    <w:p>
      <w:pPr>
        <w:numPr>
          <w:ilvl w:val="0"/>
          <w:numId w:val="1"/>
        </w:numPr>
      </w:pPr>
      <w:r>
        <w:t xml:space="preserve">Repair the local SDK first if flutter --version does not return.</w:t>
      </w:r>
    </w:p>
    <w:p>
      <w:pPr>
        <w:numPr>
          <w:ilvl w:val="0"/>
          <w:numId w:val="1"/>
        </w:numPr>
      </w:pPr>
      <w:r>
        <w:t xml:space="preserve">Run flutter doctor -v and scripts/test_mobile.ps1.</w:t>
      </w:r>
    </w:p>
    <w:p>
      <w:pPr>
        <w:numPr>
          <w:ilvl w:val="0"/>
          <w:numId w:val="1"/>
        </w:numPr>
      </w:pPr>
      <w:r>
        <w:t xml:space="preserve">Run emulator integration: scripts/test_mobile.ps1 -Integration -DeviceId emulator-5554.</w:t>
      </w:r>
    </w:p>
    <w:p>
      <w:pPr>
        <w:numPr>
          <w:ilvl w:val="0"/>
          <w:numId w:val="1"/>
        </w:numPr>
      </w:pPr>
      <w:r>
        <w:t xml:space="preserve">Repeat with a physical phone device ID and record results.</w:t>
      </w:r>
    </w:p>
    <w:p>
      <w:pPr>
        <w:numPr>
          <w:ilvl w:val="0"/>
          <w:numId w:val="1"/>
        </w:numPr>
      </w:pPr>
      <w:r>
        <w:t xml:space="preserve">Use scripts/build_signed_apk.ps1 with secure StorePassword/KeyPassword and the real HTTPS ServerUrl.</w:t>
      </w:r>
    </w:p>
    <w:p>
      <w:pPr>
        <w:numPr>
          <w:ilvl w:val="0"/>
          <w:numId w:val="1"/>
        </w:numPr>
      </w:pPr>
      <w:r>
        <w:t xml:space="preserve">The script generates APK/AAB, verifies the APK signature when apksigner exists and prints SHA-256 hashes.</w:t>
      </w:r>
    </w:p>
    <w:p>
      <w:pPr>
        <w:pStyle w:val="Heading1"/>
      </w:pPr>
      <w:r>
        <w:t xml:space="preserve">10. Android signing safety</w:t>
      </w:r>
    </w:p>
    <w:p>
      <w:r>
        <w:t xml:space="preserve">The release keystore is the permanent application identity. Keep at least two encrypted backups in separate locations. Never send it with normal source transfers, never commit key.properties/password files, and never regenerate a different key for updates to an existing Play listing.</w:t>
      </w:r>
    </w:p>
    <w:p>
      <w:pPr>
        <w:pStyle w:val="Heading1"/>
      </w:pPr>
      <w:r>
        <w:t xml:space="preserve">11. Firebase and deep links</w:t>
      </w:r>
    </w:p>
    <w:p>
      <w:pPr>
        <w:numPr>
          <w:ilvl w:val="0"/>
          <w:numId w:val="1"/>
        </w:numPr>
      </w:pPr>
      <w:r>
        <w:t xml:space="preserve">Register application ID com.chessplatform.mobile in Firebase.</w:t>
      </w:r>
    </w:p>
    <w:p>
      <w:pPr>
        <w:numPr>
          <w:ilvl w:val="0"/>
          <w:numId w:val="1"/>
        </w:numPr>
      </w:pPr>
      <w:r>
        <w:t xml:space="preserve">Provide build-time Firebase defines and mount the Admin service account for the worker.</w:t>
      </w:r>
    </w:p>
    <w:p>
      <w:pPr>
        <w:numPr>
          <w:ilvl w:val="0"/>
          <w:numId w:val="1"/>
        </w:numPr>
      </w:pPr>
      <w:r>
        <w:t xml:space="preserve">Replace the example app-link domain in Android configuration.</w:t>
      </w:r>
    </w:p>
    <w:p>
      <w:pPr>
        <w:numPr>
          <w:ilvl w:val="0"/>
          <w:numId w:val="1"/>
        </w:numPr>
      </w:pPr>
      <w:r>
        <w:t xml:space="preserve">Host /.well-known/assetlinks.json containing the release certificate fingerprint.</w:t>
      </w:r>
    </w:p>
    <w:p>
      <w:pPr>
        <w:numPr>
          <w:ilvl w:val="0"/>
          <w:numId w:val="1"/>
        </w:numPr>
      </w:pPr>
      <w:r>
        <w:t xml:space="preserve">Test foreground, background and terminated notification navigation on a real phone.</w:t>
      </w:r>
    </w:p>
    <w:p>
      <w:pPr>
        <w:pStyle w:val="Heading1"/>
      </w:pPr>
      <w:r>
        <w:t xml:space="preserve">12. Play Store release procedure</w:t>
      </w:r>
    </w:p>
    <w:p>
      <w:pPr>
        <w:numPr>
          <w:ilvl w:val="0"/>
          <w:numId w:val="1"/>
        </w:numPr>
      </w:pPr>
      <w:r>
        <w:t xml:space="preserve">Publish a real HTTPS privacy-policy page and replace the operator-contact placeholder.</w:t>
      </w:r>
    </w:p>
    <w:p>
      <w:pPr>
        <w:numPr>
          <w:ilvl w:val="0"/>
          <w:numId w:val="1"/>
        </w:numPr>
      </w:pPr>
      <w:r>
        <w:t xml:space="preserve">Capture truthful screenshots from the production-configured build; phone and tablet where supported.</w:t>
      </w:r>
    </w:p>
    <w:p>
      <w:pPr>
        <w:numPr>
          <w:ilvl w:val="0"/>
          <w:numId w:val="1"/>
        </w:numPr>
      </w:pPr>
      <w:r>
        <w:t xml:space="preserve">Complete Data Safety, content rating, target audience and app access forms accurately.</w:t>
      </w:r>
    </w:p>
    <w:p>
      <w:pPr>
        <w:numPr>
          <w:ilvl w:val="0"/>
          <w:numId w:val="1"/>
        </w:numPr>
      </w:pPr>
      <w:r>
        <w:t xml:space="preserve">Upload AAB to Internal testing first; test fresh install and upgrade over the previous signed build.</w:t>
      </w:r>
    </w:p>
    <w:p>
      <w:pPr>
        <w:numPr>
          <w:ilvl w:val="0"/>
          <w:numId w:val="1"/>
        </w:numPr>
      </w:pPr>
      <w:r>
        <w:t xml:space="preserve">Promote to Closed/Open/Production only after crash, login, push, online game and purchase-free policy checks pass.</w:t>
      </w:r>
    </w:p>
    <w:p>
      <w:pPr>
        <w:pStyle w:val="Heading1"/>
      </w:pPr>
      <w:r>
        <w:t xml:space="preserve">13. Rollback</w:t>
      </w:r>
    </w:p>
    <w:p>
      <w:pPr>
        <w:numPr>
          <w:ilvl w:val="0"/>
          <w:numId w:val="1"/>
        </w:numPr>
      </w:pPr>
      <w:r>
        <w:t xml:space="preserve">Keep the prior image tag and deployment environment.</w:t>
      </w:r>
    </w:p>
    <w:p>
      <w:pPr>
        <w:numPr>
          <w:ilvl w:val="0"/>
          <w:numId w:val="1"/>
        </w:numPr>
      </w:pPr>
      <w:r>
        <w:t xml:space="preserve">Prefer forward-compatible database migrations; create explicit reverse migrations when feasible.</w:t>
      </w:r>
    </w:p>
    <w:p>
      <w:pPr>
        <w:numPr>
          <w:ilvl w:val="0"/>
          <w:numId w:val="1"/>
        </w:numPr>
      </w:pPr>
      <w:r>
        <w:t xml:space="preserve">Restore database/media only after confirming rollback compatibility and taking a pre-restore snapshot.</w:t>
      </w:r>
    </w:p>
    <w:p>
      <w:pPr>
        <w:numPr>
          <w:ilvl w:val="0"/>
          <w:numId w:val="1"/>
        </w:numPr>
      </w:pPr>
      <w:r>
        <w:t xml:space="preserve">Android releases cannot be silently rolled back for installed users; publish a higher version code containing the fix.</w:t>
      </w:r>
    </w:p>
    <w:p>
      <w:pPr>
        <w:pStyle w:val="Subtitle"/>
      </w:pPr>
      <w:r>
        <w:t xml:space="preserve">End of document</w:t>
      </w:r>
    </w:p>
    <w:sectPr>
      <w:pgSz w:w="11906" w:h="16838"/>
      <w:pgMar w:top="1134" w:right="1134" w:bottom="1134" w:left="1134"/>
      <w:footerReference xmlns:r="http://schemas.openxmlformats.org/officeDocument/2006/relationships"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8756B"/>
        <w:sz w:val="18"/>
      </w:rPr>
      <w:t>Chess Platform • Project Handover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jc w:val="center"/>
      <w:spacing w:before="1800" w:after="240"/>
    </w:pPr>
    <w:rPr>
      <w:color w:val="173B2A"/>
      <w:b/>
      <w:sz w:val="42"/>
    </w:rPr>
  </w:style>
  <w:style w:type="paragraph" w:styleId="Subtitle">
    <w:name w:val="Subtitle"/>
    <w:pPr>
      <w:jc w:val="center"/>
      <w:spacing w:after="140"/>
    </w:pPr>
    <w:rPr>
      <w:color w:val="55705D"/>
      <w:sz w:val="22"/>
    </w:rPr>
  </w:style>
  <w:style w:type="paragraph" w:styleId="Heading1">
    <w:name w:val="heading 1"/>
    <w:pPr>
      <w:keepNext/>
      <w:spacing w:before="300" w:after="160"/>
      <w:outlineLvl w:val="0"/>
    </w:pPr>
    <w:rPr>
      <w:color w:val="173B2A"/>
      <w:b/>
      <w:sz w:val="32"/>
    </w:rPr>
  </w:style>
  <w:style w:type="paragraph" w:styleId="Heading2">
    <w:name w:val="heading 2"/>
    <w:pPr>
      <w:keepNext/>
      <w:spacing w:before="220" w:after="120"/>
      <w:outlineLvl w:val="1"/>
    </w:pPr>
    <w:rPr>
      <w:color w:val="24563B"/>
      <w:b/>
      <w:sz w:val="26"/>
    </w:rPr>
  </w:style>
  <w:style w:type="paragraph" w:styleId="Heading3">
    <w:name w:val="heading 3"/>
    <w:pPr>
      <w:keepNext/>
      <w:spacing w:before="160" w:after="80"/>
      <w:outlineLvl w:val="2"/>
    </w:pPr>
    <w:rPr>
      <w:b/>
      <w:sz w:val="23"/>
    </w:rPr>
  </w:style>
  <w:style w:type="table" w:styleId="TableGrid">
    <w:name w:val="Table Grid"/>
    <w:tblPr>
      <w:tblBorders>
        <w:top w:val="single" w:sz="4" w:color="BAC8BA"/>
        <w:left w:val="single" w:sz="4" w:color="BAC8BA"/>
        <w:bottom w:val="single" w:sz="4" w:color="BAC8BA"/>
        <w:right w:val="single" w:sz="4" w:color="BAC8BA"/>
        <w:insideH w:val="single" w:sz="4" w:color="DCE5D8"/>
        <w:insideV w:val="single" w:sz="4" w:color="DCE5D8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Chess Platform Documentation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Deployment Guide</dc:title>
  <dc:creator>Chess Platform Engineering</dc:creator>
  <dc:subject>Project handover</dc:subject>
  <dcterms:created xsi:type="dcterms:W3CDTF">2026-08-14T00:00:00Z</dcterms:created>
</cp:coreProperties>
</file>