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Transfer and Cleanup Guide</w:t>
      </w:r>
    </w:p>
    <w:p>
      <w:pPr>
        <w:pStyle w:val="Subtitle"/>
      </w:pPr>
      <w:r>
        <w:t xml:space="preserve">What to delete, retain, protect and recreate on another PC</w:t>
      </w:r>
    </w:p>
    <w:p>
      <w:pPr>
        <w:pStyle w:val="Subtitle"/>
      </w:pPr>
      <w:r>
        <w:t xml:space="preserve">Verified against the repository on 14 August 2026</w:t>
      </w:r>
    </w:p>
    <w:p>
      <w:pPr>
        <w:pStyle w:val="Subtitle"/>
      </w:pPr>
      <w:r>
        <w:t xml:space="preserve">Repository: Chess Platform (Django website/API + Flutter Android app)</w:t>
      </w:r>
    </w:p>
    <w:p>
      <w:r>
        <w:br w:type="page"/>
      </w:r>
    </w:p>
    <w:p>
      <w:pPr>
        <w:pStyle w:val="Heading1"/>
      </w:pPr>
      <w:r>
        <w:t xml:space="preserve">1. Safest transfer method</w:t>
      </w:r>
    </w:p>
    <w:p>
      <w:r>
        <w:t xml:space="preserve">Preferred: commit intended source changes, then clone the repository on the second PC. This automatically excludes ignored caches and secrets. If Git is unavailable, copy a clean source folder after running the provided dry-run cleanup utility.</w:t>
      </w:r>
    </w:p>
    <w:p>
      <w:pPr>
        <w:pStyle w:val="Heading1"/>
      </w:pPr>
      <w:r>
        <w:t xml:space="preserve">2. Run the cleanup script</w:t>
      </w:r>
    </w:p>
    <w:p>
      <w:pPr>
        <w:numPr>
          <w:ilvl w:val="0"/>
          <w:numId w:val="1"/>
        </w:numPr>
      </w:pPr>
      <w:r>
        <w:t xml:space="preserve">Preview only: python scripts/prepare_project_transfer.py</w:t>
      </w:r>
    </w:p>
    <w:p>
      <w:pPr>
        <w:numPr>
          <w:ilvl w:val="0"/>
          <w:numId w:val="1"/>
        </w:numPr>
      </w:pPr>
      <w:r>
        <w:t xml:space="preserve">Delete generated/local artifacts: python scripts/prepare_project_transfer.py --apply</w:t>
      </w:r>
    </w:p>
    <w:p>
      <w:pPr>
        <w:numPr>
          <w:ilvl w:val="0"/>
          <w:numId w:val="1"/>
        </w:numPr>
      </w:pPr>
      <w:r>
        <w:t xml:space="preserve">Remove private configuration from this copy only: python scripts/prepare_project_transfer.py --apply --private-config --i-have-a-backup</w:t>
      </w:r>
    </w:p>
    <w:p>
      <w:pPr>
        <w:numPr>
          <w:ilvl w:val="0"/>
          <w:numId w:val="1"/>
        </w:numPr>
      </w:pPr>
      <w:r>
        <w:t xml:space="preserve">Remove the SQLite development database only after backup: python scripts/prepare_project_transfer.py --apply --local-data --i-have-a-backup</w:t>
      </w:r>
    </w:p>
    <w:p>
      <w:pPr>
        <w:numPr>
          <w:ilvl w:val="0"/>
          <w:numId w:val="1"/>
        </w:numPr>
      </w:pPr>
      <w:r>
        <w:t xml:space="preserve">The default is always dry-run. Read the printed target list before using --apply.</w:t>
      </w:r>
    </w:p>
    <w:p>
      <w:pPr>
        <w:numPr>
          <w:ilvl w:val="0"/>
          <w:numId w:val="1"/>
        </w:numPr>
      </w:pPr>
      <w:r>
        <w:t xml:space="preserve">The script never deletes release-keystore.jks, backups or media.</w:t>
      </w:r>
    </w:p>
    <w:p>
      <w:pPr>
        <w:pStyle w:val="Heading1"/>
      </w:pPr>
      <w:r>
        <w:t xml:space="preserve">3. Files that should not be sent as source</w:t>
      </w:r>
    </w:p>
    <w:tbl>
      <w:tblPr>
        <w:tblStyle w:val="TableGrid"/>
        <w:tblW w:w="0" w:type="auto"/>
      </w:tblPr>
      <w:tr>
        <w:tc>
          <w:tcPr>
            <w:tcW w:w="1800" w:type="dxa"/>
            <w:shd w:fill="24563B"/>
          </w:tcPr>
          <w:p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w="3400" w:type="dxa"/>
            <w:shd w:fill="24563B"/>
          </w:tcPr>
          <w:p>
            <w:r>
              <w:rPr>
                <w:b/>
                <w:color w:val="FFFFFF"/>
              </w:rPr>
              <w:t xml:space="preserve">Examples</w:t>
            </w:r>
          </w:p>
        </w:tc>
        <w:tc>
          <w:tcPr>
            <w:tcW w:w="4200" w:type="dxa"/>
            <w:shd w:fill="24563B"/>
          </w:tcPr>
          <w:p>
            <w:r>
              <w:rPr>
                <w:b/>
                <w:color w:val="FFFFFF"/>
              </w:rPr>
              <w:t xml:space="preserve">Reason / recreate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Python environment</w:t>
            </w:r>
          </w:p>
        </w:tc>
        <w:tc>
          <w:tcPr>
            <w:tcW w:w="3400" w:type="dxa"/>
          </w:tcPr>
          <w:p>
            <w:r>
              <w:rPr/>
              <w:t xml:space="preserve">venv, .venv</w:t>
            </w:r>
          </w:p>
        </w:tc>
        <w:tc>
          <w:tcPr>
            <w:tcW w:w="4200" w:type="dxa"/>
          </w:tcPr>
          <w:p>
            <w:r>
              <w:rPr/>
              <w:t xml:space="preserve">Machine-specific; recreate with python -m venv and pip install.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Python caches</w:t>
            </w:r>
          </w:p>
        </w:tc>
        <w:tc>
          <w:tcPr>
            <w:tcW w:w="3400" w:type="dxa"/>
          </w:tcPr>
          <w:p>
            <w:r>
              <w:rPr/>
              <w:t xml:space="preserve">__pycache__, *.pyc, .pytest_cache, .ruff_cache</w:t>
            </w:r>
          </w:p>
        </w:tc>
        <w:tc>
          <w:tcPr>
            <w:tcW w:w="4200" w:type="dxa"/>
          </w:tcPr>
          <w:p>
            <w:r>
              <w:rPr/>
              <w:t xml:space="preserve">Generated automatically.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Django output</w:t>
            </w:r>
          </w:p>
        </w:tc>
        <w:tc>
          <w:tcPr>
            <w:tcW w:w="3400" w:type="dxa"/>
          </w:tcPr>
          <w:p>
            <w:r>
              <w:rPr/>
              <w:t xml:space="preserve">staticfiles, *.log, .coverage, htmlcov</w:t>
            </w:r>
          </w:p>
        </w:tc>
        <w:tc>
          <w:tcPr>
            <w:tcW w:w="4200" w:type="dxa"/>
          </w:tcPr>
          <w:p>
            <w:r>
              <w:rPr/>
              <w:t xml:space="preserve">Generated by collectstatic/tests/runtime.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Local database</w:t>
            </w:r>
          </w:p>
        </w:tc>
        <w:tc>
          <w:tcPr>
            <w:tcW w:w="3400" w:type="dxa"/>
          </w:tcPr>
          <w:p>
            <w:r>
              <w:rPr/>
              <w:t xml:space="preserve">db.sqlite3</w:t>
            </w:r>
          </w:p>
        </w:tc>
        <w:tc>
          <w:tcPr>
            <w:tcW w:w="4200" w:type="dxa"/>
          </w:tcPr>
          <w:p>
            <w:r>
              <w:rPr/>
              <w:t xml:space="preserve">May contain useful data; protected by default. Back up, then remove explicitly with --local-data when an empty copy is intended.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Flutter output</w:t>
            </w:r>
          </w:p>
        </w:tc>
        <w:tc>
          <w:tcPr>
            <w:tcW w:w="3400" w:type="dxa"/>
          </w:tcPr>
          <w:p>
            <w:r>
              <w:rPr/>
              <w:t xml:space="preserve">mobile_app/build, .dart_tool, .flutter-plugins-dependencies</w:t>
            </w:r>
          </w:p>
        </w:tc>
        <w:tc>
          <w:tcPr>
            <w:tcW w:w="4200" w:type="dxa"/>
          </w:tcPr>
          <w:p>
            <w:r>
              <w:rPr/>
              <w:t xml:space="preserve">Recreated by flutter pub get/build.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Android local</w:t>
            </w:r>
          </w:p>
        </w:tc>
        <w:tc>
          <w:tcPr>
            <w:tcW w:w="3400" w:type="dxa"/>
          </w:tcPr>
          <w:p>
            <w:r>
              <w:rPr/>
              <w:t xml:space="preserve">.gradle, local.properties, *.iml, .idea</w:t>
            </w:r>
          </w:p>
        </w:tc>
        <w:tc>
          <w:tcPr>
            <w:tcW w:w="4200" w:type="dxa"/>
          </w:tcPr>
          <w:p>
            <w:r>
              <w:rPr/>
              <w:t xml:space="preserve">SDK/IDE/machine paths; regenerated.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Private configuration</w:t>
            </w:r>
          </w:p>
        </w:tc>
        <w:tc>
          <w:tcPr>
            <w:tcW w:w="3400" w:type="dxa"/>
          </w:tcPr>
          <w:p>
            <w:r>
              <w:rPr/>
              <w:t xml:space="preserve">.env, .env.production, secrets/</w:t>
            </w:r>
          </w:p>
        </w:tc>
        <w:tc>
          <w:tcPr>
            <w:tcW w:w="4200" w:type="dxa"/>
          </w:tcPr>
          <w:p>
            <w:r>
              <w:rPr/>
              <w:t xml:space="preserve">Contains secrets and machine/domain-specific values.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Signing password files</w:t>
            </w:r>
          </w:p>
        </w:tc>
        <w:tc>
          <w:tcPr>
            <w:tcW w:w="3400" w:type="dxa"/>
          </w:tcPr>
          <w:p>
            <w:r>
              <w:rPr/>
              <w:t xml:space="preserve">key.properties, *.dpapi</w:t>
            </w:r>
          </w:p>
        </w:tc>
        <w:tc>
          <w:tcPr>
            <w:tcW w:w="4200" w:type="dxa"/>
          </w:tcPr>
          <w:p>
            <w:r>
              <w:rPr/>
              <w:t xml:space="preserve">Secret/machine-bound; transfer only through a secure password channel if necessary.</w:t>
            </w:r>
          </w:p>
        </w:tc>
      </w:tr>
    </w:tbl>
    <w:p>
      <w:pPr>
        <w:pStyle w:val="Heading1"/>
      </w:pPr>
      <w:r>
        <w:t xml:space="preserve">4. Files that must be kept</w:t>
      </w:r>
    </w:p>
    <w:p>
      <w:pPr>
        <w:numPr>
          <w:ilvl w:val="0"/>
          <w:numId w:val="1"/>
        </w:numPr>
      </w:pPr>
      <w:r>
        <w:t xml:space="preserve">All tracked source under apps, chess_platform, templates, static, mobile_app/lib and Android project source.</w:t>
      </w:r>
    </w:p>
    <w:p>
      <w:pPr>
        <w:numPr>
          <w:ilvl w:val="0"/>
          <w:numId w:val="1"/>
        </w:numPr>
      </w:pPr>
      <w:r>
        <w:t xml:space="preserve">All Django migration .py files (except generated __pycache__).</w:t>
      </w:r>
    </w:p>
    <w:p>
      <w:pPr>
        <w:numPr>
          <w:ilvl w:val="0"/>
          <w:numId w:val="1"/>
        </w:numPr>
      </w:pPr>
      <w:r>
        <w:t xml:space="preserve">requirements files, pubspec.yaml/pubspec.lock, Gradle wrapper/project configuration, Dockerfiles and Compose files.</w:t>
      </w:r>
    </w:p>
    <w:p>
      <w:pPr>
        <w:numPr>
          <w:ilvl w:val="0"/>
          <w:numId w:val="1"/>
        </w:numPr>
      </w:pPr>
      <w:r>
        <w:t xml:space="preserve">Scripts, tests, CI workflow, Nginx configuration, README and project documentation.</w:t>
      </w:r>
    </w:p>
    <w:p>
      <w:pPr>
        <w:numPr>
          <w:ilvl w:val="0"/>
          <w:numId w:val="1"/>
        </w:numPr>
      </w:pPr>
      <w:r>
        <w:t xml:space="preserve">.env.example and .env.production.example because they contain safe templates, not real secrets.</w:t>
      </w:r>
    </w:p>
    <w:p>
      <w:pPr>
        <w:pStyle w:val="Heading1"/>
      </w:pPr>
      <w:r>
        <w:t xml:space="preserve">5. Sensitive or irreplaceable items: transfer separately</w:t>
      </w:r>
    </w:p>
    <w:tbl>
      <w:tblPr>
        <w:tblStyle w:val="TableGrid"/>
        <w:tblW w:w="0" w:type="auto"/>
      </w:tblPr>
      <w:tr>
        <w:tc>
          <w:tcPr>
            <w:tcW w:w="3000" w:type="dxa"/>
            <w:shd w:fill="24563B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200" w:type="dxa"/>
            <w:shd w:fill="24563B"/>
          </w:tcPr>
          <w:p>
            <w:r>
              <w:rPr>
                <w:b/>
                <w:color w:val="FFFFFF"/>
              </w:rPr>
              <w:t xml:space="preserve">Handling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release-keystore.jks</w:t>
            </w:r>
          </w:p>
        </w:tc>
        <w:tc>
          <w:tcPr>
            <w:tcW w:w="6200" w:type="dxa"/>
          </w:tcPr>
          <w:p>
            <w:r>
              <w:rPr/>
              <w:t xml:space="preserve">Encrypt, checksum and transfer separately. Keep backups. Never include in ordinary source ZIP.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Signing passwords</w:t>
            </w:r>
          </w:p>
        </w:tc>
        <w:tc>
          <w:tcPr>
            <w:tcW w:w="6200" w:type="dxa"/>
          </w:tcPr>
          <w:p>
            <w:r>
              <w:rPr/>
              <w:t xml:space="preserve">Use a password manager/secure channel, not email or source control.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Production .env</w:t>
            </w:r>
          </w:p>
        </w:tc>
        <w:tc>
          <w:tcPr>
            <w:tcW w:w="6200" w:type="dxa"/>
          </w:tcPr>
          <w:p>
            <w:r>
              <w:rPr/>
              <w:t xml:space="preserve">Recreate or transfer encrypted; rotate secrets if exposure is possible.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Firebase service account</w:t>
            </w:r>
          </w:p>
        </w:tc>
        <w:tc>
          <w:tcPr>
            <w:tcW w:w="6200" w:type="dxa"/>
          </w:tcPr>
          <w:p>
            <w:r>
              <w:rPr/>
              <w:t xml:space="preserve">Download/transfer securely; rotate/revoke if mishandled.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Database/media backups</w:t>
            </w:r>
          </w:p>
        </w:tc>
        <w:tc>
          <w:tcPr>
            <w:tcW w:w="6200" w:type="dxa"/>
          </w:tcPr>
          <w:p>
            <w:r>
              <w:rPr/>
              <w:t xml:space="preserve">Encrypt, checksum and restore deliberately; these contain user data.</w:t>
            </w:r>
          </w:p>
        </w:tc>
      </w:tr>
    </w:tbl>
    <w:p>
      <w:pPr>
        <w:pStyle w:val="Heading1"/>
      </w:pPr>
      <w:r>
        <w:t xml:space="preserve">6. Empty local app folders</w:t>
      </w:r>
    </w:p>
    <w:p>
      <w:r>
        <w:t xml:space="preserve">apps/blog, apps/cms, apps/payments and apps/users currently contain only ignored __pycache__ bytecode and are not listed in INSTALLED_APPS. After cleanup they may be absent. Do not describe them as implemented modules.</w:t>
      </w:r>
    </w:p>
    <w:p>
      <w:pPr>
        <w:pStyle w:val="Heading1"/>
      </w:pPr>
      <w:r>
        <w:t xml:space="preserve">7. Second-PC setup</w:t>
      </w:r>
    </w:p>
    <w:p>
      <w:pPr>
        <w:numPr>
          <w:ilvl w:val="0"/>
          <w:numId w:val="1"/>
        </w:numPr>
      </w:pPr>
      <w:r>
        <w:t xml:space="preserve">Install Git, Python 3.11+, Flutter stable, Android Studio/SDK, Java 17, Docker Desktop and Stockfish as required.</w:t>
      </w:r>
    </w:p>
    <w:p>
      <w:pPr>
        <w:numPr>
          <w:ilvl w:val="0"/>
          <w:numId w:val="1"/>
        </w:numPr>
      </w:pPr>
      <w:r>
        <w:t xml:space="preserve">Copy/clone the clean source folder.</w:t>
      </w:r>
    </w:p>
    <w:p>
      <w:pPr>
        <w:numPr>
          <w:ilvl w:val="0"/>
          <w:numId w:val="1"/>
        </w:numPr>
      </w:pPr>
      <w:r>
        <w:t xml:space="preserve">Run .\scripts\setup_windows.ps1 (or -SkipMobile for website only).</w:t>
      </w:r>
    </w:p>
    <w:p>
      <w:pPr>
        <w:numPr>
          <w:ilvl w:val="0"/>
          <w:numId w:val="1"/>
        </w:numPr>
      </w:pPr>
      <w:r>
        <w:t xml:space="preserve">Review the newly created .env; use 10.0.2.2 for Android emulator access or the PC LAN IP for a physical phone.</w:t>
      </w:r>
    </w:p>
    <w:p>
      <w:pPr>
        <w:numPr>
          <w:ilvl w:val="0"/>
          <w:numId w:val="1"/>
        </w:numPr>
      </w:pPr>
      <w:r>
        <w:t xml:space="preserve">Run python manage.py migrate, check and pytest -q.</w:t>
      </w:r>
    </w:p>
    <w:p>
      <w:pPr>
        <w:numPr>
          <w:ilvl w:val="0"/>
          <w:numId w:val="1"/>
        </w:numPr>
      </w:pPr>
      <w:r>
        <w:t xml:space="preserve">Run flutter doctor -v, flutter pub get, flutter analyze and scripts/test_mobile.ps1.</w:t>
      </w:r>
    </w:p>
    <w:p>
      <w:pPr>
        <w:numPr>
          <w:ilvl w:val="0"/>
          <w:numId w:val="1"/>
        </w:numPr>
      </w:pPr>
      <w:r>
        <w:t xml:space="preserve">Start with scripts/run_local.ps1 or scripts/run_local.ps1 -Mobile -ServerUrl http://10.0.2.2:8000.</w:t>
      </w:r>
    </w:p>
    <w:p>
      <w:pPr>
        <w:pStyle w:val="Heading1"/>
      </w:pPr>
      <w:r>
        <w:t xml:space="preserve">8. Verification checklist after transfer</w:t>
      </w:r>
    </w:p>
    <w:p>
      <w:pPr>
        <w:numPr>
          <w:ilvl w:val="0"/>
          <w:numId w:val="1"/>
        </w:numPr>
      </w:pPr>
      <w:r>
        <w:t xml:space="preserve">Website opens; static CSS/JS return 200; no missing vendor files.</w:t>
      </w:r>
    </w:p>
    <w:p>
      <w:pPr>
        <w:numPr>
          <w:ilvl w:val="0"/>
          <w:numId w:val="1"/>
        </w:numPr>
      </w:pPr>
      <w:r>
        <w:t xml:space="preserve">Register/verify/login/logout and password reset work with configured email backend.</w:t>
      </w:r>
    </w:p>
    <w:p>
      <w:pPr>
        <w:numPr>
          <w:ilvl w:val="0"/>
          <w:numId w:val="1"/>
        </w:numPr>
      </w:pPr>
      <w:r>
        <w:t xml:space="preserve">Bot move works with Stockfish or documented fallback; bot victory advances level.</w:t>
      </w:r>
    </w:p>
    <w:p>
      <w:pPr>
        <w:numPr>
          <w:ilvl w:val="0"/>
          <w:numId w:val="1"/>
        </w:numPr>
      </w:pPr>
      <w:r>
        <w:t xml:space="preserve">Room code works between browser/emulator; WebSocket moves and reconnect work.</w:t>
      </w:r>
    </w:p>
    <w:p>
      <w:pPr>
        <w:numPr>
          <w:ilvl w:val="0"/>
          <w:numId w:val="1"/>
        </w:numPr>
      </w:pPr>
      <w:r>
        <w:t xml:space="preserve">Puzzles are seeded/published; empty puzzle data is not mistaken for a rendering defect.</w:t>
      </w:r>
    </w:p>
    <w:p>
      <w:pPr>
        <w:numPr>
          <w:ilvl w:val="0"/>
          <w:numId w:val="1"/>
        </w:numPr>
      </w:pPr>
      <w:r>
        <w:t xml:space="preserve">Flutter installs on emulator/phone and reaches the PC using the correct host address.</w:t>
      </w:r>
    </w:p>
    <w:p>
      <w:pPr>
        <w:numPr>
          <w:ilvl w:val="0"/>
          <w:numId w:val="1"/>
        </w:numPr>
      </w:pPr>
      <w:r>
        <w:t xml:space="preserve">Do not copy the old venv, local.properties or build folders to fix setup errors—recreate them.</w:t>
      </w:r>
    </w:p>
    <w:p>
      <w:pPr>
        <w:pStyle w:val="Subtitle"/>
      </w:pPr>
      <w:r>
        <w:t xml:space="preserve">End of document</w:t>
      </w:r>
    </w:p>
    <w:sectPr>
      <w:pgSz w:w="11906" w:h="16838"/>
      <w:pgMar w:top="1134" w:right="1134" w:bottom="1134" w:left="1134"/>
      <w:footerReference xmlns:r="http://schemas.openxmlformats.org/officeDocument/2006/relationships"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8756B"/>
        <w:sz w:val="18"/>
      </w:rPr>
      <w:t>Chess Platform • Project Handover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jc w:val="center"/>
      <w:spacing w:before="1800" w:after="240"/>
    </w:pPr>
    <w:rPr>
      <w:color w:val="173B2A"/>
      <w:b/>
      <w:sz w:val="42"/>
    </w:rPr>
  </w:style>
  <w:style w:type="paragraph" w:styleId="Subtitle">
    <w:name w:val="Subtitle"/>
    <w:pPr>
      <w:jc w:val="center"/>
      <w:spacing w:after="140"/>
    </w:pPr>
    <w:rPr>
      <w:color w:val="55705D"/>
      <w:sz w:val="22"/>
    </w:rPr>
  </w:style>
  <w:style w:type="paragraph" w:styleId="Heading1">
    <w:name w:val="heading 1"/>
    <w:pPr>
      <w:keepNext/>
      <w:spacing w:before="300" w:after="160"/>
      <w:outlineLvl w:val="0"/>
    </w:pPr>
    <w:rPr>
      <w:color w:val="173B2A"/>
      <w:b/>
      <w:sz w:val="32"/>
    </w:rPr>
  </w:style>
  <w:style w:type="paragraph" w:styleId="Heading2">
    <w:name w:val="heading 2"/>
    <w:pPr>
      <w:keepNext/>
      <w:spacing w:before="220" w:after="120"/>
      <w:outlineLvl w:val="1"/>
    </w:pPr>
    <w:rPr>
      <w:color w:val="24563B"/>
      <w:b/>
      <w:sz w:val="26"/>
    </w:rPr>
  </w:style>
  <w:style w:type="paragraph" w:styleId="Heading3">
    <w:name w:val="heading 3"/>
    <w:pPr>
      <w:keepNext/>
      <w:spacing w:before="160" w:after="80"/>
      <w:outlineLvl w:val="2"/>
    </w:pPr>
    <w:rPr>
      <w:b/>
      <w:sz w:val="23"/>
    </w:rPr>
  </w:style>
  <w:style w:type="table" w:styleId="TableGrid">
    <w:name w:val="Table Grid"/>
    <w:tblPr>
      <w:tblBorders>
        <w:top w:val="single" w:sz="4" w:color="BAC8BA"/>
        <w:left w:val="single" w:sz="4" w:color="BAC8BA"/>
        <w:bottom w:val="single" w:sz="4" w:color="BAC8BA"/>
        <w:right w:val="single" w:sz="4" w:color="BAC8BA"/>
        <w:insideH w:val="single" w:sz="4" w:color="DCE5D8"/>
        <w:insideV w:val="single" w:sz="4" w:color="DCE5D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Chess Platform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Transfer and Cleanup Guide</dc:title>
  <dc:creator>Chess Platform Engineering</dc:creator>
  <dc:subject>Project handover</dc:subject>
  <dcterms:created xsi:type="dcterms:W3CDTF">2026-08-14T00:00:00Z</dcterms:created>
</cp:coreProperties>
</file>