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Kicker"/>
      </w:pPr>
      <w:r>
        <w:t xml:space="preserve">Product direction</w:t>
      </w:r>
    </w:p>
    <w:p>
      <w:pPr>
        <w:pStyle w:val="Title"/>
      </w:pPr>
      <w:r>
        <w:t xml:space="preserve">Upcoming Feature Roadmap</w:t>
      </w:r>
    </w:p>
    <w:p>
      <w:pPr>
        <w:pStyle w:val="Normal"/>
      </w:pPr>
      <w:r>
        <w:t xml:space="preserve">Ten feature-wise recommendations for Jaunpur launch and growth</w:t>
      </w:r>
    </w:p>
    <w:p>
      <w:pPr>
        <w:pStyle w:val="Normal"/>
      </w:pPr>
      <w:r>
        <w:t xml:space="preserve">Prepared 8 October 2026 · Repository review · Branch: sartaj</w:t>
      </w:r>
    </w:p>
    <w:p>
      <w:pPr>
        <w:pStyle w:val="Heading1"/>
      </w:pPr>
      <w:r>
        <w:t xml:space="preserve">How to use this roadmap</w:t>
      </w:r>
    </w:p>
    <w:p>
      <w:pPr>
        <w:pStyle w:val="Normal"/>
      </w:pPr>
      <w:r>
        <w:t xml:space="preserve">The first feature is now implemented in the repository; the other entries remain recommendations. Priorities reflect Jaunpur pilot risk first, then seller/customer growth and portfolio value. Ship a narrow, verifiable slice of each feature and keep it in a separate feature-focused commit.</w:t>
      </w:r>
    </w:p>
    <w:p>
      <w:pPr>
        <w:pStyle w:val="Heading1"/>
      </w:pPr>
      <w:r>
        <w:t xml:space="preserve">Next 10 features</w:t>
      </w:r>
    </w:p>
    <w:p>
      <w:pPr>
        <w:pStyle w:val="Heading2"/>
      </w:pPr>
      <w:r>
        <w:t xml:space="preserve">Implemented · Inventory reservation expiry</w:t>
      </w:r>
    </w:p>
    <w:p>
      <w:pPr>
        <w:pStyle w:val="Normal"/>
      </w:pPr>
      <w:r>
        <w:t xml:space="preserve">Implemented: Razorpay checkout reserves stock for a configurable 15-minute window; Celery Beat cancels expired unpaid orders, closes active payment attempts, restores stock once, and records a cancellation event.</w:t>
      </w:r>
    </w:p>
    <w:p>
      <w:pPr>
        <w:pStyle w:val="Normal"/>
      </w:pPr>
      <w:r>
        <w:t xml:space="preserve">Status: Checkout uses database row locks, and expiry rechecks the order/payment state while locked so a concurrent payment callback is not cancelled twice.</w:t>
      </w:r>
    </w:p>
    <w:p>
      <w:pPr>
        <w:pStyle w:val="Normal"/>
      </w:pPr>
      <w:r>
        <w:t xml:space="preserve">Interview value: Strong Django transactions, PostgreSQL, and race-condition discussion.</w:t>
      </w:r>
    </w:p>
    <w:p>
      <w:pPr>
        <w:pStyle w:val="Heading2"/>
      </w:pPr>
      <w:r>
        <w:t xml:space="preserve">P0 · Cancellation and refund lifecycle</w:t>
      </w:r>
    </w:p>
    <w:p>
      <w:pPr>
        <w:pStyle w:val="Normal"/>
      </w:pPr>
      <w:r>
        <w:t xml:space="preserve">Build: Add customer/seller cancellation rules, eligibility windows, refund status transitions, retries, and reconciliation visibility.</w:t>
      </w:r>
    </w:p>
    <w:p>
      <w:pPr>
        <w:pStyle w:val="Normal"/>
      </w:pPr>
      <w:r>
        <w:t xml:space="preserve">Done when: Each cancellation/refund is idempotent, auditable, and shows pending/succeeded/failed/manual-review state.</w:t>
      </w:r>
    </w:p>
    <w:p>
      <w:pPr>
        <w:pStyle w:val="Normal"/>
      </w:pPr>
      <w:r>
        <w:t xml:space="preserve">Interview value: State machines, webhooks, idempotency, and failure handling.</w:t>
      </w:r>
    </w:p>
    <w:p>
      <w:pPr>
        <w:pStyle w:val="Heading2"/>
      </w:pPr>
      <w:r>
        <w:t xml:space="preserve">P0 · Production operations and alerting</w:t>
      </w:r>
    </w:p>
    <w:p>
      <w:pPr>
        <w:pStyle w:val="Normal"/>
      </w:pPr>
      <w:r>
        <w:t xml:space="preserve">Build: Add error reporting, job-failure alerts, payment/order exception dashboards, and a tested backup-restore runbook.</w:t>
      </w:r>
    </w:p>
    <w:p>
      <w:pPr>
        <w:pStyle w:val="Normal"/>
      </w:pPr>
      <w:r>
        <w:t xml:space="preserve">Done when: A staging release can be monitored; a backup is restored and a failed job is surfaced to an operator.</w:t>
      </w:r>
    </w:p>
    <w:p>
      <w:pPr>
        <w:pStyle w:val="Normal"/>
      </w:pPr>
      <w:r>
        <w:t xml:space="preserve">Interview value: Reliability, observability, and operational ownership.</w:t>
      </w:r>
    </w:p>
    <w:p>
      <w:pPr>
        <w:pStyle w:val="Heading2"/>
      </w:pPr>
      <w:r>
        <w:t xml:space="preserve">P1 · Customer address book</w:t>
      </w:r>
    </w:p>
    <w:p>
      <w:pPr>
        <w:pStyle w:val="Normal"/>
      </w:pPr>
      <w:r>
        <w:t xml:space="preserve">Build: Save multiple addresses with PIN code, validation, default selection, and a clear checkout address snapshot.</w:t>
      </w:r>
    </w:p>
    <w:p>
      <w:pPr>
        <w:pStyle w:val="Normal"/>
      </w:pPr>
      <w:r>
        <w:t xml:space="preserve">Done when: A customer can select an address and the placed order preserves the delivery address used at purchase.</w:t>
      </w:r>
    </w:p>
    <w:p>
      <w:pPr>
        <w:pStyle w:val="Normal"/>
      </w:pPr>
      <w:r>
        <w:t xml:space="preserve">Interview value: Data modeling, validation, privacy, and historical snapshots.</w:t>
      </w:r>
    </w:p>
    <w:p>
      <w:pPr>
        <w:pStyle w:val="Heading2"/>
      </w:pPr>
      <w:r>
        <w:t xml:space="preserve">P1 · Seller analytics</w:t>
      </w:r>
    </w:p>
    <w:p>
      <w:pPr>
        <w:pStyle w:val="Normal"/>
      </w:pPr>
      <w:r>
        <w:t xml:space="preserve">Build: Provide per-shop date filters for sales, units, returns, average order value, and low-stock products.</w:t>
      </w:r>
    </w:p>
    <w:p>
      <w:pPr>
        <w:pStyle w:val="Normal"/>
      </w:pPr>
      <w:r>
        <w:t xml:space="preserve">Done when: Seller sees only their own data; totals reconcile with shop orders and CSV export.</w:t>
      </w:r>
    </w:p>
    <w:p>
      <w:pPr>
        <w:pStyle w:val="Normal"/>
      </w:pPr>
      <w:r>
        <w:t xml:space="preserve">Interview value: Query design, aggregation, indexes, permissions.</w:t>
      </w:r>
    </w:p>
    <w:p>
      <w:pPr>
        <w:pStyle w:val="Heading2"/>
      </w:pPr>
      <w:r>
        <w:t xml:space="preserve">P1 · Full Hindi localization</w:t>
      </w:r>
    </w:p>
    <w:p>
      <w:pPr>
        <w:pStyle w:val="Normal"/>
      </w:pPr>
      <w:r>
        <w:t xml:space="preserve">Build: Translate navigation, forms, validation, emails, and order statuses; keep bilingual product content and locale-aware formatting.</w:t>
      </w:r>
    </w:p>
    <w:p>
      <w:pPr>
        <w:pStyle w:val="Normal"/>
      </w:pPr>
      <w:r>
        <w:t xml:space="preserve">Done when: A Hindi-first customer can complete browse-to-order without switching to English.</w:t>
      </w:r>
    </w:p>
    <w:p>
      <w:pPr>
        <w:pStyle w:val="Normal"/>
      </w:pPr>
      <w:r>
        <w:t xml:space="preserve">Interview value: Django internationalization, translation workflow, accessibility.</w:t>
      </w:r>
    </w:p>
    <w:p>
      <w:pPr>
        <w:pStyle w:val="Heading2"/>
      </w:pPr>
      <w:r>
        <w:t xml:space="preserve">P1 · Customer notification center</w:t>
      </w:r>
    </w:p>
    <w:p>
      <w:pPr>
        <w:pStyle w:val="Normal"/>
      </w:pPr>
      <w:r>
        <w:t xml:space="preserve">Build: Let customers choose email/WhatsApp/SMS preferences, view delivery outcomes, and opt out while preserving required transactional notices.</w:t>
      </w:r>
    </w:p>
    <w:p>
      <w:pPr>
        <w:pStyle w:val="Normal"/>
      </w:pPr>
      <w:r>
        <w:t xml:space="preserve">Done when: Consent and delivery attempts are stored and failures can be retried without duplicate messages.</w:t>
      </w:r>
    </w:p>
    <w:p>
      <w:pPr>
        <w:pStyle w:val="Normal"/>
      </w:pPr>
      <w:r>
        <w:t xml:space="preserve">Interview value: Celery retries, provider boundaries, consent and audit.</w:t>
      </w:r>
    </w:p>
    <w:p>
      <w:pPr>
        <w:pStyle w:val="Heading2"/>
      </w:pPr>
      <w:r>
        <w:t xml:space="preserve">P2 · Rider mobile/PWA workflow</w:t>
      </w:r>
    </w:p>
    <w:p>
      <w:pPr>
        <w:pStyle w:val="Normal"/>
      </w:pPr>
      <w:r>
        <w:t xml:space="preserve">Build: Provide a phone-friendly route list, delivery status actions, and offline proof-of-delivery capture with later sync.</w:t>
      </w:r>
    </w:p>
    <w:p>
      <w:pPr>
        <w:pStyle w:val="Normal"/>
      </w:pPr>
      <w:r>
        <w:t xml:space="preserve">Done when: Rider can complete a route on a mobile browser and safely sync offline changes without duplicate delivery events.</w:t>
      </w:r>
    </w:p>
    <w:p>
      <w:pPr>
        <w:pStyle w:val="Normal"/>
      </w:pPr>
      <w:r>
        <w:t xml:space="preserve">Interview value: Progressive web apps, resilient sync, authorization.</w:t>
      </w:r>
    </w:p>
    <w:p>
      <w:pPr>
        <w:pStyle w:val="Heading2"/>
      </w:pPr>
      <w:r>
        <w:t xml:space="preserve">P2 · Local product discovery and SEO</w:t>
      </w:r>
    </w:p>
    <w:p>
      <w:pPr>
        <w:pStyle w:val="Normal"/>
      </w:pPr>
      <w:r>
        <w:t xml:space="preserve">Build: Add Jaunpur area landing pages, canonical product metadata, structured data, sitemap, and nearby-stock sorting.</w:t>
      </w:r>
    </w:p>
    <w:p>
      <w:pPr>
        <w:pStyle w:val="Normal"/>
      </w:pPr>
      <w:r>
        <w:t xml:space="preserve">Done when: Search engines can index public catalog pages and customers can filter for local availability.</w:t>
      </w:r>
    </w:p>
    <w:p>
      <w:pPr>
        <w:pStyle w:val="Normal"/>
      </w:pPr>
      <w:r>
        <w:t xml:space="preserve">Interview value: SEO fundamentals, caching, query optimization.</w:t>
      </w:r>
    </w:p>
    <w:p>
      <w:pPr>
        <w:pStyle w:val="Heading2"/>
      </w:pPr>
      <w:r>
        <w:t xml:space="preserve">P2 · Seller payout batches</w:t>
      </w:r>
    </w:p>
    <w:p>
      <w:pPr>
        <w:pStyle w:val="Normal"/>
      </w:pPr>
      <w:r>
        <w:t xml:space="preserve">Build: Turn the staff-entered payout ledger into reviewed payout batches with deductions, evidence, exports, and reconciliation.</w:t>
      </w:r>
    </w:p>
    <w:p>
      <w:pPr>
        <w:pStyle w:val="Normal"/>
      </w:pPr>
      <w:r>
        <w:t xml:space="preserve">Done when: Each batch ties order-level commission/returns to the shop amount paid and has a review trail.</w:t>
      </w:r>
    </w:p>
    <w:p>
      <w:pPr>
        <w:pStyle w:val="Normal"/>
      </w:pPr>
      <w:r>
        <w:t xml:space="preserve">Interview value: Financial ledgers, reconciliation, permissions.</w:t>
      </w:r>
    </w:p>
    <w:p>
      <w:pPr>
        <w:pStyle w:val="Heading1"/>
      </w:pPr>
      <w:r>
        <w:t xml:space="preserve">Suggested sequence</w:t>
      </w:r>
    </w:p>
    <w:tbl>
      <w:tblPr>
        <w:tblW w:w="9700" w:type="dxa"/>
        <w:tblLayout w:type="fixed"/>
        <w:tblBorders>
          <w:top w:val="single" w:sz="5" w:color="AAB8C5"/>
          <w:left w:val="single" w:sz="5" w:color="AAB8C5"/>
          <w:bottom w:val="single" w:sz="5" w:color="AAB8C5"/>
          <w:right w:val="single" w:sz="5" w:color="AAB8C5"/>
          <w:insideH w:val="single" w:sz="4" w:color="C6D0D8"/>
          <w:insideV w:val="single" w:sz="4" w:color="C6D0D8"/>
        </w:tblBorders>
        <w:tblCellMar>
          <w:top w:w="70" w:type="dxa"/>
          <w:left w:w="90" w:type="dxa"/>
          <w:bottom w:w="70" w:type="dxa"/>
          <w:right w:w="90" w:type="dxa"/>
        </w:tblCellMar>
      </w:tblPr>
      <w:tblGrid>
        <w:gridCol w:w="3233"/>
        <w:gridCol w:w="3233"/>
        <w:gridCol w:w="3234"/>
      </w:tblGrid>
      <w:tr>
        <w:trPr>
          <w:cantSplit/>
          <w:tblHeader w:val="true"/>
        </w:trPr>
        <w:tc>
          <w:tcPr>
            <w:tcW w:w="3233" w:type="dxa"/>
            <w:shd w:fill="12304A"/>
          </w:tcPr>
          <w:p>
            <w:pPr>
              <w:pStyle w:val="TableHeader"/>
            </w:pPr>
            <w:r>
              <w:t xml:space="preserve">Wave</w:t>
            </w:r>
          </w:p>
        </w:tc>
        <w:tc>
          <w:tcPr>
            <w:tcW w:w="3233" w:type="dxa"/>
            <w:shd w:fill="12304A"/>
          </w:tcPr>
          <w:p>
            <w:pPr>
              <w:pStyle w:val="TableHeader"/>
            </w:pPr>
            <w:r>
              <w:t xml:space="preserve">Features</w:t>
            </w:r>
          </w:p>
        </w:tc>
        <w:tc>
          <w:tcPr>
            <w:tcW w:w="3234" w:type="dxa"/>
            <w:shd w:fill="12304A"/>
          </w:tcPr>
          <w:p>
            <w:pPr>
              <w:pStyle w:val="TableHeader"/>
            </w:pPr>
            <w:r>
              <w:t xml:space="preserve">Why this order</w:t>
            </w:r>
          </w:p>
        </w:tc>
      </w:tr>
      <w:tr>
        <w:trPr>
          <w:cantSplit/>
        </w:trPr>
        <w:tc>
          <w:tcPr>
            <w:tcW w:w="3233" w:type="dxa"/>
            <w:shd w:fill="FFFFFF"/>
          </w:tcPr>
          <w:p>
            <w:pPr>
              <w:pStyle w:val="TableText"/>
            </w:pPr>
            <w:r>
              <w:t xml:space="preserve">Pilot safety</w:t>
            </w:r>
          </w:p>
        </w:tc>
        <w:tc>
          <w:tcPr>
            <w:tcW w:w="3233" w:type="dxa"/>
            <w:shd w:fill="FFFFFF"/>
          </w:tcPr>
          <w:p>
            <w:pPr>
              <w:pStyle w:val="TableText"/>
            </w:pPr>
            <w:r>
              <w:t xml:space="preserve">Completed: inventory reservation expiry · Next: cancellation/refund lifecycle · Production alerting/restore</w:t>
            </w:r>
          </w:p>
        </w:tc>
        <w:tc>
          <w:tcPr>
            <w:tcW w:w="3234" w:type="dxa"/>
            <w:shd w:fill="FFFFFF"/>
          </w:tcPr>
          <w:p>
            <w:pPr>
              <w:pStyle w:val="TableText"/>
            </w:pPr>
            <w:r>
              <w:t xml:space="preserve">Protect stock, payments, and customer trust before increasing order volume.</w:t>
            </w:r>
          </w:p>
        </w:tc>
      </w:tr>
      <w:tr>
        <w:trPr>
          <w:cantSplit/>
        </w:trPr>
        <w:tc>
          <w:tcPr>
            <w:tcW w:w="3233" w:type="dxa"/>
            <w:shd w:fill="F2F6F8"/>
          </w:tcPr>
          <w:p>
            <w:pPr>
              <w:pStyle w:val="TableText"/>
            </w:pPr>
            <w:r>
              <w:t xml:space="preserve">Seller operations</w:t>
            </w:r>
          </w:p>
        </w:tc>
        <w:tc>
          <w:tcPr>
            <w:tcW w:w="3233" w:type="dxa"/>
            <w:shd w:fill="F2F6F8"/>
          </w:tcPr>
          <w:p>
            <w:pPr>
              <w:pStyle w:val="TableText"/>
            </w:pPr>
            <w:r>
              <w:t xml:space="preserve">4. Address book · 5. Seller analytics · 10. Payout batches</w:t>
            </w:r>
          </w:p>
        </w:tc>
        <w:tc>
          <w:tcPr>
            <w:tcW w:w="3234" w:type="dxa"/>
            <w:shd w:fill="F2F6F8"/>
          </w:tcPr>
          <w:p>
            <w:pPr>
              <w:pStyle w:val="TableText"/>
            </w:pPr>
            <w:r>
              <w:t xml:space="preserve">Reduce checkout friction and help shops understand sales and settlements.</w:t>
            </w:r>
          </w:p>
        </w:tc>
      </w:tr>
      <w:tr>
        <w:trPr>
          <w:cantSplit/>
        </w:trPr>
        <w:tc>
          <w:tcPr>
            <w:tcW w:w="3233" w:type="dxa"/>
            <w:shd w:fill="FFFFFF"/>
          </w:tcPr>
          <w:p>
            <w:pPr>
              <w:pStyle w:val="TableText"/>
            </w:pPr>
            <w:r>
              <w:t xml:space="preserve">Customer growth</w:t>
            </w:r>
          </w:p>
        </w:tc>
        <w:tc>
          <w:tcPr>
            <w:tcW w:w="3233" w:type="dxa"/>
            <w:shd w:fill="FFFFFF"/>
          </w:tcPr>
          <w:p>
            <w:pPr>
              <w:pStyle w:val="TableText"/>
            </w:pPr>
            <w:r>
              <w:t xml:space="preserve">6. Hindi localization · 7. Notification center · 9. Local discovery/SEO</w:t>
            </w:r>
          </w:p>
        </w:tc>
        <w:tc>
          <w:tcPr>
            <w:tcW w:w="3234" w:type="dxa"/>
            <w:shd w:fill="FFFFFF"/>
          </w:tcPr>
          <w:p>
            <w:pPr>
              <w:pStyle w:val="TableText"/>
            </w:pPr>
            <w:r>
              <w:t xml:space="preserve">Improve Jaunpur usability, repeat orders, and discovery.</w:t>
            </w:r>
          </w:p>
        </w:tc>
      </w:tr>
      <w:tr>
        <w:trPr>
          <w:cantSplit/>
        </w:trPr>
        <w:tc>
          <w:tcPr>
            <w:tcW w:w="3233" w:type="dxa"/>
            <w:shd w:fill="F2F6F8"/>
          </w:tcPr>
          <w:p>
            <w:pPr>
              <w:pStyle w:val="TableText"/>
            </w:pPr>
            <w:r>
              <w:t xml:space="preserve">Delivery scale</w:t>
            </w:r>
          </w:p>
        </w:tc>
        <w:tc>
          <w:tcPr>
            <w:tcW w:w="3233" w:type="dxa"/>
            <w:shd w:fill="F2F6F8"/>
          </w:tcPr>
          <w:p>
            <w:pPr>
              <w:pStyle w:val="TableText"/>
            </w:pPr>
            <w:r>
              <w:t xml:space="preserve">8. Rider mobile/PWA workflow</w:t>
            </w:r>
          </w:p>
        </w:tc>
        <w:tc>
          <w:tcPr>
            <w:tcW w:w="3234" w:type="dxa"/>
            <w:shd w:fill="F2F6F8"/>
          </w:tcPr>
          <w:p>
            <w:pPr>
              <w:pStyle w:val="TableText"/>
            </w:pPr>
            <w:r>
              <w:t xml:space="preserve">Build after route assignment and proof-of-delivery are exercised in a small pilot.</w:t>
            </w:r>
          </w:p>
        </w:tc>
      </w:tr>
    </w:tbl>
    <w:p>
      <w:pPr>
        <w:pStyle w:val="Heading1"/>
      </w:pPr>
      <w:r>
        <w:t xml:space="preserve">Feature-wise delivery and commits</w:t>
      </w:r>
    </w:p>
    <w:p>
      <w:pPr>
        <w:pStyle w:val="Normal"/>
        <w:ind w:left="360" w:hanging="240"/>
      </w:pPr>
      <w:r>
        <w:t xml:space="preserve">• Create one branch or PR per cohesive feature; include model/migration, permissions, UI/API, and focused tests in that feature's change.</w:t>
      </w:r>
    </w:p>
    <w:p>
      <w:pPr>
        <w:pStyle w:val="Normal"/>
        <w:ind w:left="360" w:hanging="240"/>
      </w:pPr>
      <w:r>
        <w:t xml:space="preserve">• Use a verb-led commit such as `Add expiring stock reservations` or `Track refund reconciliation states`.</w:t>
      </w:r>
    </w:p>
    <w:p>
      <w:pPr>
        <w:pStyle w:val="Normal"/>
        <w:ind w:left="360" w:hanging="240"/>
      </w:pPr>
      <w:r>
        <w:t xml:space="preserve">• Keep roadmap status current; mark a feature complete only after its acceptance criteria and review are met.</w:t>
      </w:r>
    </w:p>
    <w:p>
      <w:pPr>
        <w:pStyle w:val="Normal"/>
        <w:ind w:left="360" w:hanging="240"/>
      </w:pPr>
      <w:r>
        <w:t xml:space="preserve">• Prefer a smaller change with migration/backfill notes and rollback awareness over one large release containing unrelated features.</w:t>
      </w:r>
    </w:p>
    <w:p>
      <w:pPr>
        <w:pStyle w:val="Heading1"/>
      </w:pPr>
      <w:r>
        <w:t xml:space="preserve">Launch and interview advice</w:t>
      </w:r>
    </w:p>
    <w:p>
      <w:pPr>
        <w:pStyle w:val="Normal"/>
      </w:pPr>
      <w:r>
        <w:t xml:space="preserve">For a pilot, start with a handful of verified shops and a small delivery area. Agree on stock accuracy, delivery ownership, support hours, returns, commission, and payout timing before onboarding customers. Keep marketplace connectors optional until a seller has valid account access.</w:t>
      </w:r>
    </w:p>
    <w:p>
      <w:pPr>
        <w:pStyle w:val="Normal"/>
      </w:pPr>
      <w:r>
        <w:t xml:space="preserve">For interviews, this roadmap helps you present engineering judgment: identify launch risks, choose an order, define acceptance criteria, and state partner dependencies. It is stronger to explain one completed feature with tests and tradeoffs than to claim ten unfinished items.</w:t>
      </w:r>
    </w:p>
    <w:sectPr>
      <w:footerReference w:type="default" r:id="rId2"/>
      <w:pgSz w:w="11906" w:h="16838"/>
      <w:pgMar w:top="980" w:right="1008" w:bottom="1008" w:left="1008" w:header="480" w:footer="480" w:gutter="0"/>
    </w:sectPr>
  </w:body>
</w:document>
</file>

<file path=word/footer1.xml><?xml version="1.0" encoding="utf-8"?>
<w:ftr xmlns:w="http://schemas.openxmlformats.org/wordprocessingml/2006/main">
  <w:p>
    <w:pPr>
      <w:jc w:val="center"/>
    </w:pPr>
    <w:r>
      <w:rPr>
        <w:color w:val="586B7D"/>
        <w:sz w:val="16"/>
      </w:rPr>
      <w:t>Jaunpur Footwear | Page </w:t>
    </w:r>
    <w:fldSimple w:instr="PAGE">
      <w:r>
        <w:t>1</w:t>
      </w:r>
    </w:fldSimple>
  </w:p>
</w:ftr>
</file>

<file path=word/styles.xml><?xml version="1.0" encoding="utf-8"?>
<w:styles xmlns:w="http://schemas.openxmlformats.org/wordprocessingml/2006/main">
  <w:docDefaults>
    <w:rPrDefault>
      <w:rPr>
        <w:rFonts w:ascii="Arial" w:hAnsi="Arial"/>
        <w:sz w:val="19"/>
      </w:rPr>
    </w:rPrDefault>
    <w:pPrDefault>
      <w:pPr>
        <w:spacing w:after="100" w:line="276" w:lineRule="auto"/>
      </w:pPr>
    </w:pPrDefault>
  </w:docDefaults>
  <w:style w:type="paragraph" w:styleId="Normal">
    <w:name w:val="Normal"/>
    <w:rPr>
      <w:rFonts w:ascii="Arial" w:hAnsi="Arial"/>
      <w:color w:val="263445"/>
      <w:sz w:val="19"/>
    </w:rPr>
  </w:style>
  <w:style w:type="paragraph" w:styleId="Title">
    <w:name w:val="Title"/>
    <w:basedOn w:val="Normal"/>
    <w:pPr>
      <w:spacing w:before="60" w:after="100"/>
    </w:pPr>
    <w:rPr>
      <w:rFonts w:ascii="Arial" w:hAnsi="Arial"/>
      <w:b/>
      <w:color w:val="12304A"/>
      <w:sz w:val="50"/>
    </w:rPr>
  </w:style>
  <w:style w:type="paragraph" w:styleId="Subtitle">
    <w:name w:val="Subtitle"/>
    <w:basedOn w:val="Normal"/>
    <w:pPr>
      <w:spacing w:after="100"/>
    </w:pPr>
    <w:rPr>
      <w:rFonts w:ascii="Arial" w:hAnsi="Arial"/>
      <w:color w:val="52657A"/>
      <w:sz w:val="24"/>
    </w:rPr>
  </w:style>
  <w:style w:type="paragraph" w:styleId="Heading1">
    <w:name w:val="Heading1"/>
    <w:basedOn w:val="Normal"/>
    <w:pPr>
      <w:keepNext/>
      <w:spacing w:before="220" w:after="80"/>
    </w:pPr>
    <w:rPr>
      <w:rFonts w:ascii="Arial" w:hAnsi="Arial"/>
      <w:b/>
      <w:color w:val="12304A"/>
      <w:sz w:val="32"/>
    </w:rPr>
  </w:style>
  <w:style w:type="paragraph" w:styleId="Heading2">
    <w:name w:val="Heading2"/>
    <w:basedOn w:val="Normal"/>
    <w:pPr>
      <w:keepNext/>
      <w:spacing w:before="220" w:after="80"/>
    </w:pPr>
    <w:rPr>
      <w:rFonts w:ascii="Arial" w:hAnsi="Arial"/>
      <w:b/>
      <w:color w:val="216279"/>
      <w:sz w:val="24"/>
    </w:rPr>
  </w:style>
  <w:style w:type="paragraph" w:styleId="Heading3">
    <w:name w:val="Heading3"/>
    <w:basedOn w:val="Normal"/>
    <w:pPr>
      <w:keepNext/>
      <w:spacing w:before="220" w:after="80"/>
    </w:pPr>
    <w:rPr>
      <w:rFonts w:ascii="Arial" w:hAnsi="Arial"/>
      <w:b/>
      <w:color w:val="216279"/>
      <w:sz w:val="22"/>
    </w:rPr>
  </w:style>
  <w:style w:type="paragraph" w:styleId="Kicker">
    <w:name w:val="Kicker"/>
    <w:basedOn w:val="Normal"/>
    <w:rPr>
      <w:rFonts w:ascii="Arial" w:hAnsi="Arial"/>
      <w:b/>
      <w:color w:val="98621F"/>
      <w:sz w:val="18"/>
    </w:rPr>
  </w:style>
  <w:style w:type="paragraph" w:styleId="Small">
    <w:name w:val="Small"/>
    <w:basedOn w:val="Normal"/>
    <w:rPr>
      <w:rFonts w:ascii="Arial" w:hAnsi="Arial"/>
      <w:color w:val="586B7D"/>
      <w:sz w:val="15"/>
    </w:rPr>
  </w:style>
  <w:style w:type="paragraph" w:styleId="TableText">
    <w:name w:val="TableText"/>
    <w:basedOn w:val="Normal"/>
    <w:rPr>
      <w:rFonts w:ascii="Arial" w:hAnsi="Arial"/>
      <w:color w:val="263445"/>
      <w:sz w:val="16"/>
    </w:rPr>
  </w:style>
  <w:style w:type="paragraph" w:styleId="TableHeader">
    <w:name w:val="TableHeader"/>
    <w:basedOn w:val="Normal"/>
    <w:rPr>
      <w:rFonts w:ascii="Arial" w:hAnsi="Arial"/>
      <w:b/>
      <w:color w:val="FFFFFF"/>
      <w:sz w:val="1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Jaunpur Footwear Project Document</dc:title>
  <dc:creator>Sartaj</dc:creator>
  <dc:subject>Project documentation</dc:subject>
</cp:coreProperties>
</file>