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Kicker"/>
      </w:pPr>
      <w:r>
        <w:t xml:space="preserve">Project reference</w:t>
      </w:r>
    </w:p>
    <w:p>
      <w:pPr>
        <w:pStyle w:val="Title"/>
      </w:pPr>
      <w:r>
        <w:t xml:space="preserve">Feature Catalog</w:t>
      </w:r>
    </w:p>
    <w:p>
      <w:pPr>
        <w:pStyle w:val="Normal"/>
      </w:pPr>
      <w:r>
        <w:t xml:space="preserve">Implemented capabilities, integration boundaries, stack, and launch assessment</w:t>
      </w:r>
    </w:p>
    <w:p>
      <w:pPr>
        <w:pStyle w:val="Normal"/>
      </w:pPr>
      <w:r>
        <w:t xml:space="preserve">Prepared 7 October 2026 · Repository review · Branch: sartaj</w:t>
      </w:r>
    </w:p>
    <w:p>
      <w:pPr>
        <w:pStyle w:val="Heading1"/>
      </w:pPr>
      <w:r>
        <w:t xml:space="preserve">Project snapshot</w:t>
      </w:r>
    </w:p>
    <w:p>
      <w:pPr>
        <w:pStyle w:val="Normal"/>
      </w:pPr>
      <w:r>
        <w:t xml:space="preserve">A Jaunpur-first, multi-seller footwear marketplace built as a server-rendered Django application. It includes customer shopping, seller tooling, staff operations, and several external-channel workflows. This catalog records the current repository scope and labels partner-dependent work clearly.</w:t>
      </w:r>
    </w:p>
    <w:p>
      <w:pPr>
        <w:pStyle w:val="Heading1"/>
      </w:pPr>
      <w:r>
        <w:t xml:space="preserve">Status key</w:t>
      </w:r>
    </w:p>
    <w:tbl>
      <w:tblPr>
        <w:tblW w:w="9700" w:type="dxa"/>
        <w:tblLayout w:type="fixed"/>
        <w:tblBorders>
          <w:top w:val="single" w:sz="5" w:color="AAB8C5"/>
          <w:left w:val="single" w:sz="5" w:color="AAB8C5"/>
          <w:bottom w:val="single" w:sz="5" w:color="AAB8C5"/>
          <w:right w:val="single" w:sz="5" w:color="AAB8C5"/>
          <w:insideH w:val="single" w:sz="4" w:color="C6D0D8"/>
          <w:insideV w:val="single" w:sz="4" w:color="C6D0D8"/>
        </w:tblBorders>
        <w:tblCellMar>
          <w:top w:w="70" w:type="dxa"/>
          <w:left w:w="90" w:type="dxa"/>
          <w:bottom w:w="70" w:type="dxa"/>
          <w:right w:w="90" w:type="dxa"/>
        </w:tblCellMar>
      </w:tblPr>
      <w:tblGrid>
        <w:gridCol w:w="4850"/>
        <w:gridCol w:w="4850"/>
      </w:tblGrid>
      <w:tr>
        <w:trPr>
          <w:cantSplit/>
          <w:tblHeader w:val="true"/>
        </w:trPr>
        <w:tc>
          <w:tcPr>
            <w:tcW w:w="4850" w:type="dxa"/>
            <w:shd w:fill="12304A"/>
          </w:tcPr>
          <w:p>
            <w:pPr>
              <w:pStyle w:val="TableHeader"/>
            </w:pPr>
            <w:r>
              <w:t xml:space="preserve">Label</w:t>
            </w:r>
          </w:p>
        </w:tc>
        <w:tc>
          <w:tcPr>
            <w:tcW w:w="4850" w:type="dxa"/>
            <w:shd w:fill="12304A"/>
          </w:tcPr>
          <w:p>
            <w:pPr>
              <w:pStyle w:val="TableHeader"/>
            </w:pPr>
            <w:r>
              <w:t xml:space="preserve">Meaning</w:t>
            </w:r>
          </w:p>
        </w:tc>
      </w:tr>
      <w:tr>
        <w:trPr>
          <w:cantSplit/>
        </w:trPr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Implemented in repository</w:t>
            </w:r>
          </w:p>
        </w:tc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Application code and/or tests exist for the workflow. External service credentials may still be required.</w:t>
            </w:r>
          </w:p>
        </w:tc>
      </w:tr>
      <w:tr>
        <w:trPr>
          <w:cantSplit/>
        </w:trPr>
        <w:tc>
          <w:tcPr>
            <w:tcW w:w="4850" w:type="dxa"/>
            <w:shd w:fill="F2F6F8"/>
          </w:tcPr>
          <w:p>
            <w:pPr>
              <w:pStyle w:val="TableText"/>
            </w:pPr>
            <w:r>
              <w:t xml:space="preserve">Configured / authorized</w:t>
            </w:r>
          </w:p>
        </w:tc>
        <w:tc>
          <w:tcPr>
            <w:tcW w:w="4850" w:type="dxa"/>
            <w:shd w:fill="F2F6F8"/>
          </w:tcPr>
          <w:p>
            <w:pPr>
              <w:pStyle w:val="TableText"/>
            </w:pPr>
            <w:r>
              <w:t xml:space="preserve">The feature runs only after provider setup, seller authorization, customer opt-in, or staff review.</w:t>
            </w:r>
          </w:p>
        </w:tc>
      </w:tr>
      <w:tr>
        <w:trPr>
          <w:cantSplit/>
        </w:trPr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Foundation only</w:t>
            </w:r>
          </w:p>
        </w:tc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The repository contains onboarding, data preparation, or an adapter hook; it is not a live network integration.</w:t>
            </w:r>
          </w:p>
        </w:tc>
      </w:tr>
      <w:tr>
        <w:trPr>
          <w:cantSplit/>
        </w:trPr>
        <w:tc>
          <w:tcPr>
            <w:tcW w:w="4850" w:type="dxa"/>
            <w:shd w:fill="F2F6F8"/>
          </w:tcPr>
          <w:p>
            <w:pPr>
              <w:pStyle w:val="TableText"/>
            </w:pPr>
            <w:r>
              <w:t xml:space="preserve">Future recommendation</w:t>
            </w:r>
          </w:p>
        </w:tc>
        <w:tc>
          <w:tcPr>
            <w:tcW w:w="4850" w:type="dxa"/>
            <w:shd w:fill="F2F6F8"/>
          </w:tcPr>
          <w:p>
            <w:pPr>
              <w:pStyle w:val="TableText"/>
            </w:pPr>
            <w:r>
              <w:t xml:space="preserve">A useful extension; do not describe it as implemented.</w:t>
            </w:r>
          </w:p>
        </w:tc>
      </w:tr>
    </w:tbl>
    <w:p>
      <w:pPr>
        <w:pStyle w:val="Heading1"/>
      </w:pPr>
      <w:r>
        <w:t xml:space="preserve">Customer features</w:t>
      </w:r>
    </w:p>
    <w:tbl>
      <w:tblPr>
        <w:tblW w:w="9700" w:type="dxa"/>
        <w:tblLayout w:type="fixed"/>
        <w:tblBorders>
          <w:top w:val="single" w:sz="5" w:color="AAB8C5"/>
          <w:left w:val="single" w:sz="5" w:color="AAB8C5"/>
          <w:bottom w:val="single" w:sz="5" w:color="AAB8C5"/>
          <w:right w:val="single" w:sz="5" w:color="AAB8C5"/>
          <w:insideH w:val="single" w:sz="4" w:color="C6D0D8"/>
          <w:insideV w:val="single" w:sz="4" w:color="C6D0D8"/>
        </w:tblBorders>
        <w:tblCellMar>
          <w:top w:w="70" w:type="dxa"/>
          <w:left w:w="90" w:type="dxa"/>
          <w:bottom w:w="70" w:type="dxa"/>
          <w:right w:w="90" w:type="dxa"/>
        </w:tblCellMar>
      </w:tblPr>
      <w:tblGrid>
        <w:gridCol w:w="4850"/>
        <w:gridCol w:w="4850"/>
      </w:tblGrid>
      <w:tr>
        <w:trPr>
          <w:cantSplit/>
          <w:tblHeader w:val="true"/>
        </w:trPr>
        <w:tc>
          <w:tcPr>
            <w:tcW w:w="4850" w:type="dxa"/>
            <w:shd w:fill="12304A"/>
          </w:tcPr>
          <w:p>
            <w:pPr>
              <w:pStyle w:val="TableHeader"/>
            </w:pPr>
            <w:r>
              <w:t xml:space="preserve">Feature</w:t>
            </w:r>
          </w:p>
        </w:tc>
        <w:tc>
          <w:tcPr>
            <w:tcW w:w="4850" w:type="dxa"/>
            <w:shd w:fill="12304A"/>
          </w:tcPr>
          <w:p>
            <w:pPr>
              <w:pStyle w:val="TableHeader"/>
            </w:pPr>
            <w:r>
              <w:t xml:space="preserve">Status and practical note</w:t>
            </w:r>
          </w:p>
        </w:tc>
      </w:tr>
      <w:tr>
        <w:trPr>
          <w:cantSplit/>
        </w:trPr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Catalog discovery</w:t>
            </w:r>
          </w:p>
        </w:tc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Home, product listings, details, search, brand/category/size filters, and English/Hindi catalog search matching.</w:t>
            </w:r>
          </w:p>
        </w:tc>
      </w:tr>
      <w:tr>
        <w:trPr>
          <w:cantSplit/>
        </w:trPr>
        <w:tc>
          <w:tcPr>
            <w:tcW w:w="4850" w:type="dxa"/>
            <w:shd w:fill="F2F6F8"/>
          </w:tcPr>
          <w:p>
            <w:pPr>
              <w:pStyle w:val="TableText"/>
            </w:pPr>
            <w:r>
              <w:t xml:space="preserve">Jaunpur shop discovery</w:t>
            </w:r>
          </w:p>
        </w:tc>
        <w:tc>
          <w:tcPr>
            <w:tcW w:w="4850" w:type="dxa"/>
            <w:shd w:fill="F2F6F8"/>
          </w:tcPr>
          <w:p>
            <w:pPr>
              <w:pStyle w:val="TableText"/>
            </w:pPr>
            <w:r>
              <w:t xml:space="preserve">Public seller directory and shop storefronts, delivery PIN-code coverage, fee/ETA display, and capacity-limited fulfillment slots.</w:t>
            </w:r>
          </w:p>
        </w:tc>
      </w:tr>
      <w:tr>
        <w:trPr>
          <w:cantSplit/>
        </w:trPr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Cart and checkout</w:t>
            </w:r>
          </w:p>
        </w:tc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Size/color variants, coupon discounts, delivery-fee calculation, multi-shop checkout split into seller-specific orders, and pickup/local delivery choices.</w:t>
            </w:r>
          </w:p>
        </w:tc>
      </w:tr>
      <w:tr>
        <w:trPr>
          <w:cantSplit/>
        </w:trPr>
        <w:tc>
          <w:tcPr>
            <w:tcW w:w="4850" w:type="dxa"/>
            <w:shd w:fill="F2F6F8"/>
          </w:tcPr>
          <w:p>
            <w:pPr>
              <w:pStyle w:val="TableText"/>
            </w:pPr>
            <w:r>
              <w:t xml:space="preserve">Payments</w:t>
            </w:r>
          </w:p>
        </w:tc>
        <w:tc>
          <w:tcPr>
            <w:tcW w:w="4850" w:type="dxa"/>
            <w:shd w:fill="F2F6F8"/>
          </w:tcPr>
          <w:p>
            <w:pPr>
              <w:pStyle w:val="TableText"/>
            </w:pPr>
            <w:r>
              <w:t xml:space="preserve">Cash on Delivery plus Razorpay checkout; API keys and a captured-payment webhook are needed for live online payment.</w:t>
            </w:r>
          </w:p>
        </w:tc>
      </w:tr>
      <w:tr>
        <w:trPr>
          <w:cantSplit/>
        </w:trPr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Accounts and shopping tools</w:t>
            </w:r>
          </w:p>
        </w:tc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Customer registration/login, wishlist, and a shoe-size finder.</w:t>
            </w:r>
          </w:p>
        </w:tc>
      </w:tr>
      <w:tr>
        <w:trPr>
          <w:cantSplit/>
        </w:trPr>
        <w:tc>
          <w:tcPr>
            <w:tcW w:w="4850" w:type="dxa"/>
            <w:shd w:fill="F2F6F8"/>
          </w:tcPr>
          <w:p>
            <w:pPr>
              <w:pStyle w:val="TableText"/>
            </w:pPr>
            <w:r>
              <w:t xml:space="preserve">Orders and documents</w:t>
            </w:r>
          </w:p>
        </w:tc>
        <w:tc>
          <w:tcPr>
            <w:tcW w:w="4850" w:type="dxa"/>
            <w:shd w:fill="F2F6F8"/>
          </w:tcPr>
          <w:p>
            <w:pPr>
              <w:pStyle w:val="TableText"/>
            </w:pPr>
            <w:r>
              <w:t xml:space="preserve">Customer order history, status timeline, email updates, and a receipt PDF limited to the owning customer.</w:t>
            </w:r>
          </w:p>
        </w:tc>
      </w:tr>
      <w:tr>
        <w:trPr>
          <w:cantSplit/>
        </w:trPr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Reviews and support</w:t>
            </w:r>
          </w:p>
        </w:tc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Product ratings/reviews, eligible delivered-shop reviews, and private support tickets with staff assignment/replies.</w:t>
            </w:r>
          </w:p>
        </w:tc>
      </w:tr>
      <w:tr>
        <w:trPr>
          <w:cantSplit/>
        </w:trPr>
        <w:tc>
          <w:tcPr>
            <w:tcW w:w="4850" w:type="dxa"/>
            <w:shd w:fill="F2F6F8"/>
          </w:tcPr>
          <w:p>
            <w:pPr>
              <w:pStyle w:val="TableText"/>
            </w:pPr>
            <w:r>
              <w:t xml:space="preserve">Returns and exchanges</w:t>
            </w:r>
          </w:p>
        </w:tc>
        <w:tc>
          <w:tcPr>
            <w:tcW w:w="4850" w:type="dxa"/>
            <w:shd w:fill="F2F6F8"/>
          </w:tcPr>
          <w:p>
            <w:pPr>
              <w:pStyle w:val="TableText"/>
            </w:pPr>
            <w:r>
              <w:t xml:space="preserve">Customer request workflow; staff can queue an eligible Razorpay refund after an online return is received.</w:t>
            </w:r>
          </w:p>
        </w:tc>
      </w:tr>
      <w:tr>
        <w:trPr>
          <w:cantSplit/>
        </w:trPr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Local retention and messaging</w:t>
            </w:r>
          </w:p>
        </w:tc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Jaunpur loyalty points/reward coupons; WhatsApp updates are opt-in and require approved Meta template/configuration.</w:t>
            </w:r>
          </w:p>
        </w:tc>
      </w:tr>
    </w:tbl>
    <w:p>
      <w:pPr>
        <w:pStyle w:val="Heading1"/>
      </w:pPr>
      <w:r>
        <w:t xml:space="preserve">Seller features</w:t>
      </w:r>
    </w:p>
    <w:tbl>
      <w:tblPr>
        <w:tblW w:w="9700" w:type="dxa"/>
        <w:tblLayout w:type="fixed"/>
        <w:tblBorders>
          <w:top w:val="single" w:sz="5" w:color="AAB8C5"/>
          <w:left w:val="single" w:sz="5" w:color="AAB8C5"/>
          <w:bottom w:val="single" w:sz="5" w:color="AAB8C5"/>
          <w:right w:val="single" w:sz="5" w:color="AAB8C5"/>
          <w:insideH w:val="single" w:sz="4" w:color="C6D0D8"/>
          <w:insideV w:val="single" w:sz="4" w:color="C6D0D8"/>
        </w:tblBorders>
        <w:tblCellMar>
          <w:top w:w="70" w:type="dxa"/>
          <w:left w:w="90" w:type="dxa"/>
          <w:bottom w:w="70" w:type="dxa"/>
          <w:right w:w="90" w:type="dxa"/>
        </w:tblCellMar>
      </w:tblPr>
      <w:tblGrid>
        <w:gridCol w:w="4850"/>
        <w:gridCol w:w="4850"/>
      </w:tblGrid>
      <w:tr>
        <w:trPr>
          <w:cantSplit/>
          <w:tblHeader w:val="true"/>
        </w:trPr>
        <w:tc>
          <w:tcPr>
            <w:tcW w:w="4850" w:type="dxa"/>
            <w:shd w:fill="12304A"/>
          </w:tcPr>
          <w:p>
            <w:pPr>
              <w:pStyle w:val="TableHeader"/>
            </w:pPr>
            <w:r>
              <w:t xml:space="preserve">Feature</w:t>
            </w:r>
          </w:p>
        </w:tc>
        <w:tc>
          <w:tcPr>
            <w:tcW w:w="4850" w:type="dxa"/>
            <w:shd w:fill="12304A"/>
          </w:tcPr>
          <w:p>
            <w:pPr>
              <w:pStyle w:val="TableHeader"/>
            </w:pPr>
            <w:r>
              <w:t xml:space="preserve">Status and practical note</w:t>
            </w:r>
          </w:p>
        </w:tc>
      </w:tr>
      <w:tr>
        <w:trPr>
          <w:cantSplit/>
        </w:trPr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Onboarding and trust</w:t>
            </w:r>
          </w:p>
        </w:tc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Shop application, staff approval, verification review, public shop profile, contact details, and storefront.</w:t>
            </w:r>
          </w:p>
        </w:tc>
      </w:tr>
      <w:tr>
        <w:trPr>
          <w:cantSplit/>
        </w:trPr>
        <w:tc>
          <w:tcPr>
            <w:tcW w:w="4850" w:type="dxa"/>
            <w:shd w:fill="F2F6F8"/>
          </w:tcPr>
          <w:p>
            <w:pPr>
              <w:pStyle w:val="TableText"/>
            </w:pPr>
            <w:r>
              <w:t xml:space="preserve">Seller inventory</w:t>
            </w:r>
          </w:p>
        </w:tc>
        <w:tc>
          <w:tcPr>
            <w:tcW w:w="4850" w:type="dxa"/>
            <w:shd w:fill="F2F6F8"/>
          </w:tcPr>
          <w:p>
            <w:pPr>
              <w:pStyle w:val="TableText"/>
            </w:pPr>
            <w:r>
              <w:t xml:space="preserve">Shop-scoped product management, size/color quantities, seller SKU, inventory movement records, low-stock thresholds, alerts, and reorder suggestions.</w:t>
            </w:r>
          </w:p>
        </w:tc>
      </w:tr>
      <w:tr>
        <w:trPr>
          <w:cantSplit/>
        </w:trPr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Catalog import</w:t>
            </w:r>
          </w:p>
        </w:tc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CSV catalog import with product-photo uploads and marketplace category/listing mappings.</w:t>
            </w:r>
          </w:p>
        </w:tc>
      </w:tr>
      <w:tr>
        <w:trPr>
          <w:cantSplit/>
        </w:trPr>
        <w:tc>
          <w:tcPr>
            <w:tcW w:w="4850" w:type="dxa"/>
            <w:shd w:fill="F2F6F8"/>
          </w:tcPr>
          <w:p>
            <w:pPr>
              <w:pStyle w:val="TableText"/>
            </w:pPr>
            <w:r>
              <w:t xml:space="preserve">Seller orders and fulfillment</w:t>
            </w:r>
          </w:p>
        </w:tc>
        <w:tc>
          <w:tcPr>
            <w:tcW w:w="4850" w:type="dxa"/>
            <w:shd w:fill="F2F6F8"/>
          </w:tcPr>
          <w:p>
            <w:pPr>
              <w:pStyle w:val="TableText"/>
            </w:pPr>
            <w:r>
              <w:t xml:space="preserve">Shop-specific order inbox, pickup/local delivery appointments, route grouping by PIN cluster, and proof-of-delivery records.</w:t>
            </w:r>
          </w:p>
        </w:tc>
      </w:tr>
      <w:tr>
        <w:trPr>
          <w:cantSplit/>
        </w:trPr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Commercial operations</w:t>
            </w:r>
          </w:p>
        </w:tc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Shop commission statements and staff-recorded payout ledger.</w:t>
            </w:r>
          </w:p>
        </w:tc>
      </w:tr>
    </w:tbl>
    <w:p>
      <w:pPr>
        <w:pStyle w:val="Heading1"/>
      </w:pPr>
      <w:r>
        <w:t xml:space="preserve">Staff, admin, and platform features</w:t>
      </w:r>
    </w:p>
    <w:tbl>
      <w:tblPr>
        <w:tblW w:w="9700" w:type="dxa"/>
        <w:tblLayout w:type="fixed"/>
        <w:tblBorders>
          <w:top w:val="single" w:sz="5" w:color="AAB8C5"/>
          <w:left w:val="single" w:sz="5" w:color="AAB8C5"/>
          <w:bottom w:val="single" w:sz="5" w:color="AAB8C5"/>
          <w:right w:val="single" w:sz="5" w:color="AAB8C5"/>
          <w:insideH w:val="single" w:sz="4" w:color="C6D0D8"/>
          <w:insideV w:val="single" w:sz="4" w:color="C6D0D8"/>
        </w:tblBorders>
        <w:tblCellMar>
          <w:top w:w="70" w:type="dxa"/>
          <w:left w:w="90" w:type="dxa"/>
          <w:bottom w:w="70" w:type="dxa"/>
          <w:right w:w="90" w:type="dxa"/>
        </w:tblCellMar>
      </w:tblPr>
      <w:tblGrid>
        <w:gridCol w:w="4850"/>
        <w:gridCol w:w="4850"/>
      </w:tblGrid>
      <w:tr>
        <w:trPr>
          <w:cantSplit/>
          <w:tblHeader w:val="true"/>
        </w:trPr>
        <w:tc>
          <w:tcPr>
            <w:tcW w:w="4850" w:type="dxa"/>
            <w:shd w:fill="12304A"/>
          </w:tcPr>
          <w:p>
            <w:pPr>
              <w:pStyle w:val="TableHeader"/>
            </w:pPr>
            <w:r>
              <w:t xml:space="preserve">Feature</w:t>
            </w:r>
          </w:p>
        </w:tc>
        <w:tc>
          <w:tcPr>
            <w:tcW w:w="4850" w:type="dxa"/>
            <w:shd w:fill="12304A"/>
          </w:tcPr>
          <w:p>
            <w:pPr>
              <w:pStyle w:val="TableHeader"/>
            </w:pPr>
            <w:r>
              <w:t xml:space="preserve">Status and practical note</w:t>
            </w:r>
          </w:p>
        </w:tc>
      </w:tr>
      <w:tr>
        <w:trPr>
          <w:cantSplit/>
        </w:trPr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Staff/admin views</w:t>
            </w:r>
          </w:p>
        </w:tc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Separate staff dashboards, seller review, product/order/customer tools, low-stock alerts, featured products, sales reports, and staff-only sales CSV exports.</w:t>
            </w:r>
          </w:p>
        </w:tc>
      </w:tr>
      <w:tr>
        <w:trPr>
          <w:cantSplit/>
        </w:trPr>
        <w:tc>
          <w:tcPr>
            <w:tcW w:w="4850" w:type="dxa"/>
            <w:shd w:fill="F2F6F8"/>
          </w:tcPr>
          <w:p>
            <w:pPr>
              <w:pStyle w:val="TableText"/>
            </w:pPr>
            <w:r>
              <w:t xml:space="preserve">Operational accountability</w:t>
            </w:r>
          </w:p>
        </w:tc>
        <w:tc>
          <w:tcPr>
            <w:tcW w:w="4850" w:type="dxa"/>
            <w:shd w:fill="F2F6F8"/>
          </w:tcPr>
          <w:p>
            <w:pPr>
              <w:pStyle w:val="TableText"/>
            </w:pPr>
            <w:r>
              <w:t xml:space="preserve">Staff action audit trail and admin-visible background job outcomes.</w:t>
            </w:r>
          </w:p>
        </w:tc>
      </w:tr>
      <w:tr>
        <w:trPr>
          <w:cantSplit/>
        </w:trPr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API</w:t>
            </w:r>
          </w:p>
        </w:tc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Django REST Framework v1 read-only product/shop endpoints and an authenticated endpoint for the current customer's own orders.</w:t>
            </w:r>
          </w:p>
        </w:tc>
      </w:tr>
      <w:tr>
        <w:trPr>
          <w:cantSplit/>
        </w:trPr>
        <w:tc>
          <w:tcPr>
            <w:tcW w:w="4850" w:type="dxa"/>
            <w:shd w:fill="F2F6F8"/>
          </w:tcPr>
          <w:p>
            <w:pPr>
              <w:pStyle w:val="TableText"/>
            </w:pPr>
            <w:r>
              <w:t xml:space="preserve">Background jobs</w:t>
            </w:r>
          </w:p>
        </w:tc>
        <w:tc>
          <w:tcPr>
            <w:tcW w:w="4850" w:type="dxa"/>
            <w:shd w:fill="F2F6F8"/>
          </w:tcPr>
          <w:p>
            <w:pPr>
              <w:pStyle w:val="TableText"/>
            </w:pPr>
            <w:r>
              <w:t xml:space="preserve">Celery/Redis integration for queued notifications and periodic authorized marketplace sync; local development can run tasks inline.</w:t>
            </w:r>
          </w:p>
        </w:tc>
      </w:tr>
      <w:tr>
        <w:trPr>
          <w:cantSplit/>
        </w:trPr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Reliability hooks</w:t>
            </w:r>
          </w:p>
        </w:tc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`/health/` endpoint, Django production security settings, and GitHub Actions for Django checks, migration drift, and tests.</w:t>
            </w:r>
          </w:p>
        </w:tc>
      </w:tr>
      <w:tr>
        <w:trPr>
          <w:cantSplit/>
        </w:trPr>
        <w:tc>
          <w:tcPr>
            <w:tcW w:w="4850" w:type="dxa"/>
            <w:shd w:fill="F2F6F8"/>
          </w:tcPr>
          <w:p>
            <w:pPr>
              <w:pStyle w:val="TableText"/>
            </w:pPr>
            <w:r>
              <w:t xml:space="preserve">Automated tests</w:t>
            </w:r>
          </w:p>
        </w:tc>
        <w:tc>
          <w:tcPr>
            <w:tcW w:w="4850" w:type="dxa"/>
            <w:shd w:fill="F2F6F8"/>
          </w:tcPr>
          <w:p>
            <w:pPr>
              <w:pStyle w:val="TableText"/>
            </w:pPr>
            <w:r>
              <w:t xml:space="preserve">Selected tests cover checkout, payment webhooks, refunds, customer/API access, seller reviews, support, marketplace settlements, ONDC adapter checks, audit, and other focused workflows. Coverage is not exhaustive.</w:t>
            </w:r>
          </w:p>
        </w:tc>
      </w:tr>
    </w:tbl>
    <w:p>
      <w:pPr>
        <w:pStyle w:val="Heading1"/>
      </w:pPr>
      <w:r>
        <w:t xml:space="preserve">Marketplace and network scope</w:t>
      </w:r>
    </w:p>
    <w:tbl>
      <w:tblPr>
        <w:tblW w:w="9700" w:type="dxa"/>
        <w:tblLayout w:type="fixed"/>
        <w:tblBorders>
          <w:top w:val="single" w:sz="5" w:color="AAB8C5"/>
          <w:left w:val="single" w:sz="5" w:color="AAB8C5"/>
          <w:bottom w:val="single" w:sz="5" w:color="AAB8C5"/>
          <w:right w:val="single" w:sz="5" w:color="AAB8C5"/>
          <w:insideH w:val="single" w:sz="4" w:color="C6D0D8"/>
          <w:insideV w:val="single" w:sz="4" w:color="C6D0D8"/>
        </w:tblBorders>
        <w:tblCellMar>
          <w:top w:w="70" w:type="dxa"/>
          <w:left w:w="90" w:type="dxa"/>
          <w:bottom w:w="70" w:type="dxa"/>
          <w:right w:w="90" w:type="dxa"/>
        </w:tblCellMar>
      </w:tblPr>
      <w:tblGrid>
        <w:gridCol w:w="4850"/>
        <w:gridCol w:w="4850"/>
      </w:tblGrid>
      <w:tr>
        <w:trPr>
          <w:cantSplit/>
          <w:tblHeader w:val="true"/>
        </w:trPr>
        <w:tc>
          <w:tcPr>
            <w:tcW w:w="4850" w:type="dxa"/>
            <w:shd w:fill="12304A"/>
          </w:tcPr>
          <w:p>
            <w:pPr>
              <w:pStyle w:val="TableHeader"/>
            </w:pPr>
            <w:r>
              <w:t xml:space="preserve">Feature</w:t>
            </w:r>
          </w:p>
        </w:tc>
        <w:tc>
          <w:tcPr>
            <w:tcW w:w="4850" w:type="dxa"/>
            <w:shd w:fill="12304A"/>
          </w:tcPr>
          <w:p>
            <w:pPr>
              <w:pStyle w:val="TableHeader"/>
            </w:pPr>
            <w:r>
              <w:t xml:space="preserve">Status and practical note</w:t>
            </w:r>
          </w:p>
        </w:tc>
      </w:tr>
      <w:tr>
        <w:trPr>
          <w:cantSplit/>
        </w:trPr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Amazon seller authorization</w:t>
            </w:r>
          </w:p>
        </w:tc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SP-API/LWA application and seller authorization flow with encrypted token storage; registered app, roles, seller consent, and region configuration required.</w:t>
            </w:r>
          </w:p>
        </w:tc>
      </w:tr>
      <w:tr>
        <w:trPr>
          <w:cantSplit/>
        </w:trPr>
        <w:tc>
          <w:tcPr>
            <w:tcW w:w="4850" w:type="dxa"/>
            <w:shd w:fill="F2F6F8"/>
          </w:tcPr>
          <w:p>
            <w:pPr>
              <w:pStyle w:val="TableText"/>
            </w:pPr>
            <w:r>
              <w:t xml:space="preserve">Flipkart seller authorization</w:t>
            </w:r>
          </w:p>
        </w:tc>
        <w:tc>
          <w:tcPr>
            <w:tcW w:w="4850" w:type="dxa"/>
            <w:shd w:fill="F2F6F8"/>
          </w:tcPr>
          <w:p>
            <w:pPr>
              <w:pStyle w:val="TableText"/>
            </w:pPr>
            <w:r>
              <w:t xml:space="preserve">Seller OAuth flow and encrypted token storage; registered partner app and seller authorization required.</w:t>
            </w:r>
          </w:p>
        </w:tc>
      </w:tr>
      <w:tr>
        <w:trPr>
          <w:cantSplit/>
        </w:trPr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Supported channel operations</w:t>
            </w:r>
          </w:p>
        </w:tc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Mapped SKUs, shared stock reservations, supported order sync, unified seller inbox, and seller-uploaded settlement CSV reconciliation for authorized connections.</w:t>
            </w:r>
          </w:p>
        </w:tc>
      </w:tr>
      <w:tr>
        <w:trPr>
          <w:cantSplit/>
        </w:trPr>
        <w:tc>
          <w:tcPr>
            <w:tcW w:w="4850" w:type="dxa"/>
            <w:shd w:fill="F2F6F8"/>
          </w:tcPr>
          <w:p>
            <w:pPr>
              <w:pStyle w:val="TableText"/>
            </w:pPr>
            <w:r>
              <w:t xml:space="preserve">Settlement boundary</w:t>
            </w:r>
          </w:p>
        </w:tc>
        <w:tc>
          <w:tcPr>
            <w:tcW w:w="4850" w:type="dxa"/>
            <w:shd w:fill="F2F6F8"/>
          </w:tcPr>
          <w:p>
            <w:pPr>
              <w:pStyle w:val="TableText"/>
            </w:pPr>
            <w:r>
              <w:t xml:space="preserve">CSV imports are seller initiated and scoped to the chosen connection. Automated settlement report download is not present.</w:t>
            </w:r>
          </w:p>
        </w:tc>
      </w:tr>
      <w:tr>
        <w:trPr>
          <w:cantSplit/>
        </w:trPr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ONDC</w:t>
            </w:r>
          </w:p>
        </w:tc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Seller Network Participant onboarding, catalog snapshot handoff, and configurable authenticated connection-check adapter hook. This is not live ONDC order, inventory, catalog, or settlement sync.</w:t>
            </w:r>
          </w:p>
        </w:tc>
      </w:tr>
    </w:tbl>
    <w:p>
      <w:pPr>
        <w:pStyle w:val="Heading1"/>
      </w:pPr>
      <w:r>
        <w:t xml:space="preserve">Technology in this project</w:t>
      </w:r>
    </w:p>
    <w:tbl>
      <w:tblPr>
        <w:tblW w:w="9700" w:type="dxa"/>
        <w:tblLayout w:type="fixed"/>
        <w:tblBorders>
          <w:top w:val="single" w:sz="5" w:color="AAB8C5"/>
          <w:left w:val="single" w:sz="5" w:color="AAB8C5"/>
          <w:bottom w:val="single" w:sz="5" w:color="AAB8C5"/>
          <w:right w:val="single" w:sz="5" w:color="AAB8C5"/>
          <w:insideH w:val="single" w:sz="4" w:color="C6D0D8"/>
          <w:insideV w:val="single" w:sz="4" w:color="C6D0D8"/>
        </w:tblBorders>
        <w:tblCellMar>
          <w:top w:w="70" w:type="dxa"/>
          <w:left w:w="90" w:type="dxa"/>
          <w:bottom w:w="70" w:type="dxa"/>
          <w:right w:w="90" w:type="dxa"/>
        </w:tblCellMar>
      </w:tblPr>
      <w:tblGrid>
        <w:gridCol w:w="4850"/>
        <w:gridCol w:w="4850"/>
      </w:tblGrid>
      <w:tr>
        <w:trPr>
          <w:cantSplit/>
          <w:tblHeader w:val="true"/>
        </w:trPr>
        <w:tc>
          <w:tcPr>
            <w:tcW w:w="4850" w:type="dxa"/>
            <w:shd w:fill="12304A"/>
          </w:tcPr>
          <w:p>
            <w:pPr>
              <w:pStyle w:val="TableHeader"/>
            </w:pPr>
            <w:r>
              <w:t xml:space="preserve">Layer</w:t>
            </w:r>
          </w:p>
        </w:tc>
        <w:tc>
          <w:tcPr>
            <w:tcW w:w="4850" w:type="dxa"/>
            <w:shd w:fill="12304A"/>
          </w:tcPr>
          <w:p>
            <w:pPr>
              <w:pStyle w:val="TableHeader"/>
            </w:pPr>
            <w:r>
              <w:t xml:space="preserve">Current repository stack</w:t>
            </w:r>
          </w:p>
        </w:tc>
      </w:tr>
      <w:tr>
        <w:trPr>
          <w:cantSplit/>
        </w:trPr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Backend</w:t>
            </w:r>
          </w:p>
        </w:tc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Python 3.11 in CI; Django 5.2; Django ORM, migrations, auth, sessions, and admin.</w:t>
            </w:r>
          </w:p>
        </w:tc>
      </w:tr>
      <w:tr>
        <w:trPr>
          <w:cantSplit/>
        </w:trPr>
        <w:tc>
          <w:tcPr>
            <w:tcW w:w="4850" w:type="dxa"/>
            <w:shd w:fill="F2F6F8"/>
          </w:tcPr>
          <w:p>
            <w:pPr>
              <w:pStyle w:val="TableText"/>
            </w:pPr>
            <w:r>
              <w:t xml:space="preserve">UI</w:t>
            </w:r>
          </w:p>
        </w:tc>
        <w:tc>
          <w:tcPr>
            <w:tcW w:w="4850" w:type="dxa"/>
            <w:shd w:fill="F2F6F8"/>
          </w:tcPr>
          <w:p>
            <w:pPr>
              <w:pStyle w:val="TableText"/>
            </w:pPr>
            <w:r>
              <w:t xml:space="preserve">Django templates, HTML, CSS, and JavaScript; server-rendered pages.</w:t>
            </w:r>
          </w:p>
        </w:tc>
      </w:tr>
      <w:tr>
        <w:trPr>
          <w:cantSplit/>
        </w:trPr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Data</w:t>
            </w:r>
          </w:p>
        </w:tc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SQLite for local development; PostgreSQL for production.</w:t>
            </w:r>
          </w:p>
        </w:tc>
      </w:tr>
      <w:tr>
        <w:trPr>
          <w:cantSplit/>
        </w:trPr>
        <w:tc>
          <w:tcPr>
            <w:tcW w:w="4850" w:type="dxa"/>
            <w:shd w:fill="F2F6F8"/>
          </w:tcPr>
          <w:p>
            <w:pPr>
              <w:pStyle w:val="TableText"/>
            </w:pPr>
            <w:r>
              <w:t xml:space="preserve">API / jobs</w:t>
            </w:r>
          </w:p>
        </w:tc>
        <w:tc>
          <w:tcPr>
            <w:tcW w:w="4850" w:type="dxa"/>
            <w:shd w:fill="F2F6F8"/>
          </w:tcPr>
          <w:p>
            <w:pPr>
              <w:pStyle w:val="TableText"/>
            </w:pPr>
            <w:r>
              <w:t xml:space="preserve">Django REST Framework; Celery with Redis.</w:t>
            </w:r>
          </w:p>
        </w:tc>
      </w:tr>
      <w:tr>
        <w:trPr>
          <w:cantSplit/>
        </w:trPr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Files / documents</w:t>
            </w:r>
          </w:p>
        </w:tc>
        <w:tc>
          <w:tcPr>
            <w:tcW w:w="4850" w:type="dxa"/>
            <w:shd w:fill="FFFFFF"/>
          </w:tcPr>
          <w:p>
            <w:pPr>
              <w:pStyle w:val="TableText"/>
            </w:pPr>
            <w:r>
              <w:t xml:space="preserve">Pillow, S3-compatible production media storage, ReportLab receipts.</w:t>
            </w:r>
          </w:p>
        </w:tc>
      </w:tr>
      <w:tr>
        <w:trPr>
          <w:cantSplit/>
        </w:trPr>
        <w:tc>
          <w:tcPr>
            <w:tcW w:w="4850" w:type="dxa"/>
            <w:shd w:fill="F2F6F8"/>
          </w:tcPr>
          <w:p>
            <w:pPr>
              <w:pStyle w:val="TableText"/>
            </w:pPr>
            <w:r>
              <w:t xml:space="preserve">Integrations / checks</w:t>
            </w:r>
          </w:p>
        </w:tc>
        <w:tc>
          <w:tcPr>
            <w:tcW w:w="4850" w:type="dxa"/>
            <w:shd w:fill="F2F6F8"/>
          </w:tcPr>
          <w:p>
            <w:pPr>
              <w:pStyle w:val="TableText"/>
            </w:pPr>
            <w:r>
              <w:t xml:space="preserve">Razorpay, WhatsApp Cloud API, Amazon SP-API, Flipkart APIs, ONDC adapter; Django tests and GitHub Actions.</w:t>
            </w:r>
          </w:p>
        </w:tc>
      </w:tr>
    </w:tbl>
    <w:p>
      <w:pPr>
        <w:pStyle w:val="Heading1"/>
      </w:pPr>
      <w:r>
        <w:t xml:space="preserve">Launch decision</w:t>
      </w:r>
    </w:p>
    <w:p>
      <w:pPr>
        <w:pStyle w:val="Normal"/>
      </w:pPr>
      <w:r>
        <w:t xml:space="preserve">Portfolio: Ready to demonstrate after preparing a short walkthrough and being able to explain the main Django flows. Controlled Jaunpur pilot: Feasible after production configuration, test-data and payment rehearsals, seller support procedures, and restore checks. Broad public launch: Wait until operational and load risks have been measured; more feature breadth alone will not make the launch safe.</w:t>
      </w:r>
    </w:p>
    <w:p>
      <w:pPr>
        <w:pStyle w:val="Heading2"/>
      </w:pPr>
      <w:r>
        <w:t xml:space="preserve">Before taking real orders</w:t>
      </w:r>
    </w:p>
    <w:p>
      <w:pPr>
        <w:pStyle w:val="Normal"/>
        <w:ind w:left="360" w:hanging="240"/>
      </w:pPr>
      <w:r>
        <w:t xml:space="preserve">• Deploy with PostgreSQL, HTTPS, secret-managed settings, object storage, a production WSGI/ASGI server, and verified backups.</w:t>
      </w:r>
    </w:p>
    <w:p>
      <w:pPr>
        <w:pStyle w:val="Normal"/>
        <w:ind w:left="360" w:hanging="240"/>
      </w:pPr>
      <w:r>
        <w:t xml:space="preserve">• Exercise checkout, simultaneous stock claims, COD, Razorpay success/failure/duplicate webhooks, return/refund, and seller permissions in staging.</w:t>
      </w:r>
    </w:p>
    <w:p>
      <w:pPr>
        <w:pStyle w:val="Normal"/>
        <w:ind w:left="360" w:hanging="240"/>
      </w:pPr>
      <w:r>
        <w:t xml:space="preserve">• Confirm provider and seller approvals for each external connection; keep test credentials separate from production credentials.</w:t>
      </w:r>
    </w:p>
    <w:p>
      <w:pPr>
        <w:pStyle w:val="Normal"/>
        <w:ind w:left="360" w:hanging="240"/>
      </w:pPr>
      <w:r>
        <w:t xml:space="preserve">• Set up monitoring and an owner for order exceptions, failed jobs, customer support, returns, and payout reconciliation.</w:t>
      </w:r>
    </w:p>
    <w:sectPr>
      <w:footerReference w:type="default" r:id="rId2"/>
      <w:pgSz w:w="11906" w:h="16838"/>
      <w:pgMar w:top="980" w:right="1008" w:bottom="1008" w:left="1008" w:header="480" w:footer="48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rPr>
        <w:color w:val="586B7D"/>
        <w:sz w:val="16"/>
      </w:rPr>
      <w:t>Jaunpur Footwear | Page </w:t>
    </w:r>
    <w:fldSimple w:instr="PAGE">
      <w:r>
        <w:t>1</w:t>
      </w:r>
    </w:fldSimple>
  </w:p>
</w:ftr>
</file>

<file path=word/styles.xml><?xml version="1.0" encoding="utf-8"?>
<w:styles xmlns:w="http://schemas.openxmlformats.org/wordprocessingml/2006/main">
  <w:docDefaults>
    <w:rPrDefault>
      <w:rPr>
        <w:rFonts w:ascii="Arial" w:hAnsi="Arial"/>
        <w:sz w:val="19"/>
      </w:rPr>
    </w:rPrDefault>
    <w:pPrDefault>
      <w:pPr>
        <w:spacing w:after="100" w:line="276" w:lineRule="auto"/>
      </w:pPr>
    </w:pPrDefault>
  </w:docDefaults>
  <w:style w:type="paragraph" w:styleId="Normal">
    <w:name w:val="Normal"/>
    <w:rPr>
      <w:rFonts w:ascii="Arial" w:hAnsi="Arial"/>
      <w:color w:val="263445"/>
      <w:sz w:val="19"/>
    </w:rPr>
  </w:style>
  <w:style w:type="paragraph" w:styleId="Title">
    <w:name w:val="Title"/>
    <w:basedOn w:val="Normal"/>
    <w:pPr>
      <w:spacing w:before="60" w:after="100"/>
    </w:pPr>
    <w:rPr>
      <w:rFonts w:ascii="Arial" w:hAnsi="Arial"/>
      <w:b/>
      <w:color w:val="12304A"/>
      <w:sz w:val="50"/>
    </w:rPr>
  </w:style>
  <w:style w:type="paragraph" w:styleId="Subtitle">
    <w:name w:val="Subtitle"/>
    <w:basedOn w:val="Normal"/>
    <w:pPr>
      <w:spacing w:after="100"/>
    </w:pPr>
    <w:rPr>
      <w:rFonts w:ascii="Arial" w:hAnsi="Arial"/>
      <w:color w:val="52657A"/>
      <w:sz w:val="24"/>
    </w:rPr>
  </w:style>
  <w:style w:type="paragraph" w:styleId="Heading1">
    <w:name w:val="Heading1"/>
    <w:basedOn w:val="Normal"/>
    <w:pPr>
      <w:keepNext/>
      <w:spacing w:before="220" w:after="80"/>
    </w:pPr>
    <w:rPr>
      <w:rFonts w:ascii="Arial" w:hAnsi="Arial"/>
      <w:b/>
      <w:color w:val="12304A"/>
      <w:sz w:val="32"/>
    </w:rPr>
  </w:style>
  <w:style w:type="paragraph" w:styleId="Heading2">
    <w:name w:val="Heading2"/>
    <w:basedOn w:val="Normal"/>
    <w:pPr>
      <w:keepNext/>
      <w:spacing w:before="220" w:after="80"/>
    </w:pPr>
    <w:rPr>
      <w:rFonts w:ascii="Arial" w:hAnsi="Arial"/>
      <w:b/>
      <w:color w:val="216279"/>
      <w:sz w:val="24"/>
    </w:rPr>
  </w:style>
  <w:style w:type="paragraph" w:styleId="Heading3">
    <w:name w:val="Heading3"/>
    <w:basedOn w:val="Normal"/>
    <w:pPr>
      <w:keepNext/>
      <w:spacing w:before="220" w:after="80"/>
    </w:pPr>
    <w:rPr>
      <w:rFonts w:ascii="Arial" w:hAnsi="Arial"/>
      <w:b/>
      <w:color w:val="216279"/>
      <w:sz w:val="22"/>
    </w:rPr>
  </w:style>
  <w:style w:type="paragraph" w:styleId="Kicker">
    <w:name w:val="Kicker"/>
    <w:basedOn w:val="Normal"/>
    <w:rPr>
      <w:rFonts w:ascii="Arial" w:hAnsi="Arial"/>
      <w:b/>
      <w:color w:val="98621F"/>
      <w:sz w:val="18"/>
    </w:rPr>
  </w:style>
  <w:style w:type="paragraph" w:styleId="Small">
    <w:name w:val="Small"/>
    <w:basedOn w:val="Normal"/>
    <w:rPr>
      <w:rFonts w:ascii="Arial" w:hAnsi="Arial"/>
      <w:color w:val="586B7D"/>
      <w:sz w:val="15"/>
    </w:rPr>
  </w:style>
  <w:style w:type="paragraph" w:styleId="TableText">
    <w:name w:val="TableText"/>
    <w:basedOn w:val="Normal"/>
    <w:rPr>
      <w:rFonts w:ascii="Arial" w:hAnsi="Arial"/>
      <w:color w:val="263445"/>
      <w:sz w:val="16"/>
    </w:rPr>
  </w:style>
  <w:style w:type="paragraph" w:styleId="TableHeader">
    <w:name w:val="TableHeader"/>
    <w:basedOn w:val="Normal"/>
    <w:rPr>
      <w:rFonts w:ascii="Arial" w:hAnsi="Arial"/>
      <w:b/>
      <w:color w:val="FFFFFF"/>
      <w:sz w:val="1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/Relationships>
</file>

<file path=docProps/core.xml><?xml version="1.0" encoding="utf-8"?>
<cp:coreProperties xmlns:cp="http://schemas.openxmlformats.org/package/2006/metadata/core-properties" xmlns:dc="http://purl.org/dc/elements/1.1/">
  <dc:title>Jaunpur Footwear Project Document</dc:title>
  <dc:creator>Sartaj</dc:creator>
  <dc:subject>Project documentation</dc:subject>
</cp:coreProperties>
</file>