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t xml:space="preserve">Operations handbook</w:t>
      </w:r>
    </w:p>
    <w:p>
      <w:pPr>
        <w:pStyle w:val="Title"/>
      </w:pPr>
      <w:r>
        <w:t xml:space="preserve">Deployment &amp; Setup Guide</w:t>
      </w:r>
    </w:p>
    <w:p>
      <w:pPr>
        <w:pStyle w:val="Normal"/>
      </w:pPr>
      <w:r>
        <w:t xml:space="preserve">Local setup, production requirements, release sequence, and verification checklist</w:t>
      </w:r>
    </w:p>
    <w:p>
      <w:pPr>
        <w:pStyle w:val="Normal"/>
      </w:pPr>
      <w:r>
        <w:t xml:space="preserve">Prepared 7 October 2026 · Repository review · Branch: sartaj</w:t>
      </w:r>
    </w:p>
    <w:p>
      <w:pPr>
        <w:pStyle w:val="Heading1"/>
      </w:pPr>
      <w:r>
        <w:t xml:space="preserve">Purpose and deployment status</w:t>
      </w:r>
    </w:p>
    <w:p>
      <w:pPr>
        <w:pStyle w:val="Normal"/>
      </w:pPr>
      <w:r>
        <w:t xml:space="preserve">This guide describes local setup and a provider-neutral production release for the repository as reviewed on 7 October 2026. The hosting provider is not specified, and this repository does not include a production WSGI server dependency. Add and pin the server required by the selected host before deployment. No deployment URL or live production environment is claimed here.</w:t>
      </w:r>
    </w:p>
    <w:p>
      <w:pPr>
        <w:pStyle w:val="Heading1"/>
      </w:pPr>
      <w:r>
        <w:t xml:space="preserve">1. Local setup on Windows PowerShell</w:t>
      </w:r>
    </w:p>
    <w:p>
      <w:pPr>
        <w:pStyle w:val="Normal"/>
      </w:pPr>
      <w:r>
        <w:t xml:space="preserve">Install Python 3.11 or newer supported by Django 5.2 and Git. From the repository root, run:</w:t>
      </w:r>
    </w:p>
    <w:p>
      <w:pPr>
        <w:pStyle w:val="TableText"/>
      </w:pPr>
      <w:r>
        <w:t xml:space="preserve">py -3.11 -m venv .venv</w:t>
      </w:r>
    </w:p>
    <w:p>
      <w:pPr>
        <w:pStyle w:val="TableText"/>
      </w:pPr>
      <w:r>
        <w:t xml:space="preserve">.\.venv\Scripts\Activate.ps1</w:t>
      </w:r>
    </w:p>
    <w:p>
      <w:pPr>
        <w:pStyle w:val="TableText"/>
      </w:pPr>
      <w:r>
        <w:t xml:space="preserve">python -m pip install --upgrade pip</w:t>
      </w:r>
    </w:p>
    <w:p>
      <w:pPr>
        <w:pStyle w:val="TableText"/>
      </w:pPr>
      <w:r>
        <w:t xml:space="preserve">python -m pip install -r requirements.txt</w:t>
      </w:r>
    </w:p>
    <w:p>
      <w:pPr>
        <w:pStyle w:val="TableText"/>
      </w:pPr>
      <w:r>
        <w:t xml:space="preserve">python manage.py migrate</w:t>
      </w:r>
    </w:p>
    <w:p>
      <w:pPr>
        <w:pStyle w:val="TableText"/>
      </w:pPr>
      <w:r>
        <w:t xml:space="preserve">python manage.py createsuperuser</w:t>
      </w:r>
    </w:p>
    <w:p>
      <w:pPr>
        <w:pStyle w:val="TableText"/>
      </w:pPr>
      <w:r>
        <w:t xml:space="preserve">python manage.py runserver</w:t>
      </w:r>
    </w:p>
    <w:p>
      <w:pPr>
        <w:pStyle w:val="Normal"/>
      </w:pPr>
      <w:r>
        <w:t xml:space="preserve">Open `http://127.0.0.1:8000/`. Local defaults use SQLite. The `.env.example` file is a reference; Django does not automatically load it. Optional values can be set in the shell or a secrets manager. For example, Razorpay test keys use `$env:RAZORPAY_KEY_ID`, `$env:RAZORPAY_KEY_SECRET`, and `$env:RAZORPAY_WEBHOOK_SECRET`.</w:t>
      </w:r>
    </w:p>
    <w:p>
      <w:pPr>
        <w:pStyle w:val="Heading1"/>
      </w:pPr>
      <w:r>
        <w:t xml:space="preserve">2. What production services are needed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Service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Purpose / notes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Web app + domain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Run `footwear.wsgi:application` behind the hosting provider's production server and HTTPS proxy. Add and pin a compatible WSGI server in requirements if the host requires it.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PostgreSQL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Required in production through `DJANGO_DATABASE_URL`; production settings require PostgreSQL and request SSL when not specified.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Redis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Required broker through `CELERY_BROKER_URL` in production; run a Celery worker and beat scheduler as managed processes.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S3-compatible object storage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Production media default is S3; set bucket and region plus provider credentials/endpoint where needed. Product uploads need durable storage.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Static files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Run `collectstatic`; configure the host/CDN/static service to serve collected static assets.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Secrets and HTTPS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Use host secret settings for Django key, DB/broker credentials, provider secrets, exact hosts, CSRF origins, and TLS.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Operations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Enable DB/media backups, tested restore, logs, health monitoring, error/job alerts, and a support owner.</w:t>
            </w:r>
          </w:p>
        </w:tc>
      </w:tr>
    </w:tbl>
    <w:p>
      <w:pPr>
        <w:pStyle w:val="Heading1"/>
      </w:pPr>
      <w:r>
        <w:t xml:space="preserve">3. Environment variables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233"/>
        <w:gridCol w:w="3233"/>
        <w:gridCol w:w="3234"/>
      </w:tblGrid>
      <w:tr>
        <w:trPr>
          <w:cantSplit/>
          <w:tblHeader w:val="true"/>
        </w:trPr>
        <w:tc>
          <w:tcPr>
            <w:tcW w:w="3233" w:type="dxa"/>
            <w:shd w:fill="12304A"/>
          </w:tcPr>
          <w:p>
            <w:pPr>
              <w:pStyle w:val="TableHeader"/>
            </w:pPr>
            <w:r>
              <w:t xml:space="preserve">Variable</w:t>
            </w:r>
          </w:p>
        </w:tc>
        <w:tc>
          <w:tcPr>
            <w:tcW w:w="3233" w:type="dxa"/>
            <w:shd w:fill="12304A"/>
          </w:tcPr>
          <w:p>
            <w:pPr>
              <w:pStyle w:val="TableHeader"/>
            </w:pPr>
            <w:r>
              <w:t xml:space="preserve">Required when</w:t>
            </w:r>
          </w:p>
        </w:tc>
        <w:tc>
          <w:tcPr>
            <w:tcW w:w="3234" w:type="dxa"/>
            <w:shd w:fill="12304A"/>
          </w:tcPr>
          <w:p>
            <w:pPr>
              <w:pStyle w:val="TableHeader"/>
            </w:pPr>
            <w:r>
              <w:t xml:space="preserve">Purpose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`DJANGO_ENV=production`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Activates production security and required-setting checks.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`DJANGO_SECRET_KEY`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Always in production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Long random secret; never commit it.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`DJANGO_ALLOWED_HOSTS`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Comma-separated exact hostnames.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`DJANGO_CSRF_TRUSTED_ORIGINS`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Production/browser POSTs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HTTPS origins such as `https://shop.example.com`.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`DJANGO_DATABASE_URL`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Managed PostgreSQL URL; protect its credentials.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`CELERY_BROKER_URL`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Redis broker URL.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`DJANGO_MEDIA_STORAGE=s3`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Production default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Selects durable media storage.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`AWS_STORAGE_BUCKET_NAME`, `AWS_S3_REGION_NAME`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Production media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S3 bucket and region; set provider credentials/endpoint as required.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`RAZORPAY_KEY_ID`, `RAZORPAY_KEY_SECRET`, `RAZORPAY_WEBHOOK_SECRET`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Online payment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API credentials and separate webhook signing secret.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`WHATSAPP_GRAPH_API_VERSION`, `WHATSAPP_PHONE_NUMBER_ID`, `WHATSAPP_ACCESS_TOKEN`, `WHATSAPP_ORDER_TEMPLATE`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WhatsApp notifications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Meta Cloud API setup; use approved templates and customer opt-in.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`FLIPKART_CLIENT_ID`, `FLIPKART_CLIENT_SECRET`, `FLIPKART_REDIRECT_URI`, `MARKETPLACE_TOKEN_ENCRYPTION_KEY`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Flipkart seller authorization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Registered partner app and stable encryption key.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`AMAZON_APPLICATION_ID`, `AMAZON_LWA_CLIENT_ID`, `AMAZON_LWA_CLIENT_SECRET`, `AMAZON_REDIRECT_URI`, `MARKETPLACE_TOKEN_ENCRYPTION_KEY`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Amazon SP-API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Registered application, seller consent, roles, and region endpoint.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`ONDC_PARTICIPANT_ADAPTER`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Optional ONDC check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Dotted import path for the participant-specific adapter; credentials stay in a secret manager.</w:t>
            </w:r>
          </w:p>
        </w:tc>
      </w:tr>
    </w:tbl>
    <w:p>
      <w:pPr>
        <w:pStyle w:val="Heading1"/>
      </w:pPr>
      <w:r>
        <w:t xml:space="preserve">4. Release sequence</w:t>
      </w:r>
    </w:p>
    <w:p>
      <w:pPr>
        <w:pStyle w:val="Normal"/>
        <w:ind w:left="360"/>
      </w:pPr>
      <w:r>
        <w:t xml:space="preserve">– Provision PostgreSQL, Redis, media storage, app service, HTTPS domain, and secret settings.</w:t>
      </w:r>
    </w:p>
    <w:p>
      <w:pPr>
        <w:pStyle w:val="Normal"/>
        <w:ind w:left="360"/>
      </w:pPr>
      <w:r>
        <w:t xml:space="preserve">– Install the pinned requirements plus the chosen production WSGI/ASGI server dependency.</w:t>
      </w:r>
    </w:p>
    <w:p>
      <w:pPr>
        <w:pStyle w:val="Normal"/>
        <w:ind w:left="360"/>
      </w:pPr>
      <w:r>
        <w:t xml:space="preserve">– Run python manage.py check --deploy using production environment settings; fix every configuration issue.</w:t>
      </w:r>
    </w:p>
    <w:p>
      <w:pPr>
        <w:pStyle w:val="Normal"/>
        <w:ind w:left="360"/>
      </w:pPr>
      <w:r>
        <w:t xml:space="preserve">– Run python manage.py showmigrations, then apply python manage.py migrate as a release step.</w:t>
      </w:r>
    </w:p>
    <w:p>
      <w:pPr>
        <w:pStyle w:val="Normal"/>
        <w:ind w:left="360"/>
      </w:pPr>
      <w:r>
        <w:t xml:space="preserve">– Run python manage.py collectstatic --noinput and verify static assets and uploaded media from the public app.</w:t>
      </w:r>
    </w:p>
    <w:p>
      <w:pPr>
        <w:pStyle w:val="Normal"/>
        <w:ind w:left="360"/>
      </w:pPr>
      <w:r>
        <w:t xml:space="preserve">– Start the web process, Celery worker, and Celery beat scheduler. The WSGI target is footwear.wsgi:application.</w:t>
      </w:r>
    </w:p>
    <w:p>
      <w:pPr>
        <w:pStyle w:val="Normal"/>
        <w:ind w:left="360"/>
      </w:pPr>
      <w:r>
        <w:t xml:space="preserve">– Verify /health/, login, seller/staff permissions, catalog images, checkout, and logs before opening the site.</w:t>
      </w:r>
    </w:p>
    <w:p>
      <w:pPr>
        <w:pStyle w:val="Heading1"/>
      </w:pPr>
      <w:r>
        <w:t xml:space="preserve">5. Verify business-critical paths in staging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Area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Rehearsal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Checkout and stock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COD, variant stock changes, delivery PIN coverage/slot capacity, multi-shop split, and concurrent attempts on the last unit.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Razorpay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Test success, failure, bad signature, duplicate event, amount mismatch, delayed callback, refund queue, and manual-review case using test credentials.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Seller operations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Shop approval, role/data boundaries, CSV import validation, fulfillment route, proof of delivery, return/exchange, commission, and payout record.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External providers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Use approved sandbox/test accounts first. Confirm callbacks, token encryption-key backup, API roles, provider rate limits, opt-in and consent behavior.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Recovery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Take database/media backups and restore to a separate staging environment; record elapsed time and missing steps.</w:t>
            </w:r>
          </w:p>
        </w:tc>
      </w:tr>
    </w:tbl>
    <w:p>
      <w:pPr>
        <w:pStyle w:val="Heading1"/>
      </w:pPr>
      <w:r>
        <w:t xml:space="preserve">6. Background processes and operations</w:t>
      </w:r>
    </w:p>
    <w:p>
      <w:pPr>
        <w:pStyle w:val="TableText"/>
      </w:pPr>
      <w:r>
        <w:t xml:space="preserve">celery -A footwear worker -l INFO</w:t>
      </w:r>
    </w:p>
    <w:p>
      <w:pPr>
        <w:pStyle w:val="TableText"/>
      </w:pPr>
      <w:r>
        <w:t xml:space="preserve">celery -A footwear beat -l INFO</w:t>
      </w:r>
    </w:p>
    <w:p>
      <w:pPr>
        <w:pStyle w:val="Normal"/>
      </w:pPr>
      <w:r>
        <w:t xml:space="preserve">Run these as separate supervised services, not manually in a one-off shell. Configure process restart, logs, alerting, and a controlled release procedure. Read [`docs/production-operations.md`](../docs/production-operations.md) for backup and operational notes.</w:t>
      </w:r>
    </w:p>
    <w:p>
      <w:pPr>
        <w:pStyle w:val="Heading1"/>
      </w:pPr>
      <w:r>
        <w:t xml:space="preserve">7. Launch checklist</w:t>
      </w:r>
    </w:p>
    <w:p>
      <w:pPr>
        <w:pStyle w:val="Normal"/>
        <w:ind w:left="360" w:hanging="240"/>
      </w:pPr>
      <w:r>
        <w:t xml:space="preserve">• Production-only secret values are set in the hosting platform; no keys are in Git or the document.</w:t>
      </w:r>
    </w:p>
    <w:p>
      <w:pPr>
        <w:pStyle w:val="Normal"/>
        <w:ind w:left="360" w:hanging="240"/>
      </w:pPr>
      <w:r>
        <w:t xml:space="preserve">• `DEBUG` is false, allowed hosts and CSRF origins are exact, TLS/secure cookies are active, and `check --deploy` passes.</w:t>
      </w:r>
    </w:p>
    <w:p>
      <w:pPr>
        <w:pStyle w:val="Normal"/>
        <w:ind w:left="360" w:hanging="240"/>
      </w:pPr>
      <w:r>
        <w:t xml:space="preserve">• PostgreSQL migration, backup, and restore are verified; media upload and retrieval survive a redeploy.</w:t>
      </w:r>
    </w:p>
    <w:p>
      <w:pPr>
        <w:pStyle w:val="Normal"/>
        <w:ind w:left="360" w:hanging="240"/>
      </w:pPr>
      <w:r>
        <w:t xml:space="preserve">• Production server and static serving are configured; Celery processes are supervised if tasks are enabled.</w:t>
      </w:r>
    </w:p>
    <w:p>
      <w:pPr>
        <w:pStyle w:val="Normal"/>
        <w:ind w:left="360" w:hanging="240"/>
      </w:pPr>
      <w:r>
        <w:t xml:space="preserve">• Payment webhook URL and secret are configured and rehearsed; staff know how to handle mismatches and uncertain refunds.</w:t>
      </w:r>
    </w:p>
    <w:p>
      <w:pPr>
        <w:pStyle w:val="Normal"/>
        <w:ind w:left="360" w:hanging="240"/>
      </w:pPr>
      <w:r>
        <w:t xml:space="preserve">• Seller, support, delivery, return, payout, privacy, and incident processes have named owners for the Jaunpur pilot.</w:t>
      </w:r>
    </w:p>
    <w:p>
      <w:pPr>
        <w:pStyle w:val="Normal"/>
        <w:ind w:left="360" w:hanging="240"/>
      </w:pPr>
      <w:r>
        <w:t xml:space="preserve">• Provider approvals and account authorizations are complete for every enabled integration; unavailable integrations remain disabled.</w:t>
      </w:r>
    </w:p>
    <w:p>
      <w:pPr>
        <w:pStyle w:val="Heading1"/>
      </w:pPr>
      <w:r>
        <w:t xml:space="preserve">References</w:t>
      </w:r>
    </w:p>
    <w:p>
      <w:pPr>
        <w:pStyle w:val="Normal"/>
        <w:ind w:left="360" w:hanging="240"/>
      </w:pPr>
      <w:r>
        <w:t xml:space="preserve">• Django 5.2 deployment checklist</w:t>
      </w:r>
    </w:p>
    <w:p>
      <w:pPr>
        <w:pStyle w:val="Normal"/>
        <w:ind w:left="360" w:hanging="240"/>
      </w:pPr>
      <w:r>
        <w:t xml:space="preserve">• Django static files deployment</w:t>
      </w:r>
    </w:p>
    <w:p>
      <w:pPr>
        <w:pStyle w:val="Normal"/>
        <w:ind w:left="360" w:hanging="240"/>
      </w:pPr>
      <w:r>
        <w:t xml:space="preserve">• Celery with Django</w:t>
      </w:r>
    </w:p>
    <w:p>
      <w:pPr>
        <w:pStyle w:val="Normal"/>
        <w:ind w:left="360" w:hanging="240"/>
      </w:pPr>
      <w:r>
        <w:t xml:space="preserve">• Repository production operations notes</w:t>
      </w:r>
    </w:p>
    <w:p>
      <w:pPr>
        <w:pStyle w:val="Normal"/>
      </w:pPr>
      <w:r>
        <w:t xml:space="preserve">Before production: review the current official documentation for the selected host, provider APIs, and service versions; platform-specific networking, server command, secrets, and static hosting vary by provider.</w:t>
      </w:r>
    </w:p>
    <w:sectPr>
      <w:footerReference w:type="default" r:id="rId2"/>
      <w:pgSz w:w="11906" w:h="16838"/>
      <w:pgMar w:top="980" w:right="1008" w:bottom="1008" w:left="1008" w:header="480" w:footer="4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586B7D"/>
        <w:sz w:val="16"/>
      </w:rPr>
      <w:t>Jaunpur Footwear | 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100" w:line="276" w:lineRule="auto"/>
      </w:pPr>
    </w:pPrDefault>
  </w:docDefaults>
  <w:style w:type="paragraph" w:styleId="Normal">
    <w:name w:val="Normal"/>
    <w:rPr>
      <w:rFonts w:ascii="Arial" w:hAnsi="Arial"/>
      <w:color w:val="263445"/>
      <w:sz w:val="19"/>
    </w:rPr>
  </w:style>
  <w:style w:type="paragraph" w:styleId="Title">
    <w:name w:val="Title"/>
    <w:basedOn w:val="Normal"/>
    <w:pPr>
      <w:spacing w:before="60" w:after="100"/>
    </w:pPr>
    <w:rPr>
      <w:rFonts w:ascii="Arial" w:hAnsi="Arial"/>
      <w:b/>
      <w:color w:val="12304A"/>
      <w:sz w:val="50"/>
    </w:rPr>
  </w:style>
  <w:style w:type="paragraph" w:styleId="Subtitle">
    <w:name w:val="Subtitle"/>
    <w:basedOn w:val="Normal"/>
    <w:pPr>
      <w:spacing w:after="100"/>
    </w:pPr>
    <w:rPr>
      <w:rFonts w:ascii="Arial" w:hAnsi="Arial"/>
      <w:color w:val="52657A"/>
      <w:sz w:val="24"/>
    </w:rPr>
  </w:style>
  <w:style w:type="paragraph" w:styleId="Heading1">
    <w:name w:val="Heading1"/>
    <w:basedOn w:val="Normal"/>
    <w:pPr>
      <w:keepNext/>
      <w:spacing w:before="220" w:after="80"/>
    </w:pPr>
    <w:rPr>
      <w:rFonts w:ascii="Arial" w:hAnsi="Arial"/>
      <w:b/>
      <w:color w:val="12304A"/>
      <w:sz w:val="32"/>
    </w:rPr>
  </w:style>
  <w:style w:type="paragraph" w:styleId="Heading2">
    <w:name w:val="Heading2"/>
    <w:basedOn w:val="Normal"/>
    <w:pPr>
      <w:keepNext/>
      <w:spacing w:before="220" w:after="80"/>
    </w:pPr>
    <w:rPr>
      <w:rFonts w:ascii="Arial" w:hAnsi="Arial"/>
      <w:b/>
      <w:color w:val="216279"/>
      <w:sz w:val="24"/>
    </w:rPr>
  </w:style>
  <w:style w:type="paragraph" w:styleId="Heading3">
    <w:name w:val="Heading3"/>
    <w:basedOn w:val="Normal"/>
    <w:pPr>
      <w:keepNext/>
      <w:spacing w:before="220" w:after="80"/>
    </w:pPr>
    <w:rPr>
      <w:rFonts w:ascii="Arial" w:hAnsi="Arial"/>
      <w:b/>
      <w:color w:val="216279"/>
      <w:sz w:val="22"/>
    </w:rPr>
  </w:style>
  <w:style w:type="paragraph" w:styleId="Kicker">
    <w:name w:val="Kicker"/>
    <w:basedOn w:val="Normal"/>
    <w:rPr>
      <w:rFonts w:ascii="Arial" w:hAnsi="Arial"/>
      <w:b/>
      <w:color w:val="98621F"/>
      <w:sz w:val="18"/>
    </w:rPr>
  </w:style>
  <w:style w:type="paragraph" w:styleId="Small">
    <w:name w:val="Small"/>
    <w:basedOn w:val="Normal"/>
    <w:rPr>
      <w:rFonts w:ascii="Arial" w:hAnsi="Arial"/>
      <w:color w:val="586B7D"/>
      <w:sz w:val="15"/>
    </w:rPr>
  </w:style>
  <w:style w:type="paragraph" w:styleId="TableText">
    <w:name w:val="TableText"/>
    <w:basedOn w:val="Normal"/>
    <w:rPr>
      <w:rFonts w:ascii="Arial" w:hAnsi="Arial"/>
      <w:color w:val="263445"/>
      <w:sz w:val="16"/>
    </w:rPr>
  </w:style>
  <w:style w:type="paragraph" w:styleId="TableHeader">
    <w:name w:val="TableHeader"/>
    <w:basedOn w:val="Normal"/>
    <w:rPr>
      <w:rFonts w:ascii="Arial" w:hAnsi="Arial"/>
      <w:b/>
      <w:color w:val="FFFFFF"/>
      <w:sz w:val="1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Jaunpur Footwear Project Document</dc:title>
  <dc:creator>Sartaj</dc:creator>
  <dc:subject>Project documentation</dc:subject>
</cp:coreProperties>
</file>