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黑体" w:hAnsi="黑体" w:eastAsia="黑体"/>
          <w:b/>
          <w:sz w:val="44"/>
        </w:rPr>
        <w:t>地形遮挡环境下跨域无人集群</w:t>
        <w:br/>
        <w:t>通信感知协同路径规划</w:t>
        <w:br/>
        <w:t>——通信能力建模方法</w:t>
      </w:r>
    </w:p>
    <w:p/>
    <w:p>
      <w:pPr>
        <w:jc w:val="center"/>
      </w:pPr>
      <w:r>
        <w:rPr>
          <w:rFonts w:ascii="宋体" w:hAnsi="宋体" w:eastAsia="宋体"/>
          <w:sz w:val="28"/>
        </w:rPr>
        <w:t>（通信约束设计与通信指标体系）</w:t>
      </w:r>
    </w:p>
    <w:p/>
    <w:p/>
    <w:p>
      <w:pPr>
        <w:jc w:val="center"/>
      </w:pPr>
      <w:r>
        <w:rPr>
          <w:rFonts w:ascii="宋体" w:hAnsi="宋体" w:eastAsia="宋体"/>
          <w:sz w:val="24"/>
        </w:rPr>
        <w:t>2026年6月</w:t>
      </w:r>
    </w:p>
    <w:p>
      <w:r>
        <w:br w:type="page"/>
      </w:r>
    </w:p>
    <w:p>
      <w:pPr>
        <w:pStyle w:val="Heading1"/>
      </w:pPr>
      <w:r>
        <w:t>目  录</w:t>
      </w:r>
    </w:p>
    <w:p>
      <w:r>
        <w:rPr>
          <w:rFonts w:ascii="宋体" w:hAnsi="宋体" w:eastAsia="宋体"/>
          <w:sz w:val="22"/>
        </w:rPr>
        <w:t>一、研究定位与建模思路.......................................3</w:t>
      </w:r>
    </w:p>
    <w:p>
      <w:r>
        <w:rPr>
          <w:rFonts w:ascii="宋体" w:hAnsi="宋体" w:eastAsia="宋体"/>
          <w:sz w:val="22"/>
        </w:rPr>
        <w:t>二、场景与问题描述.........................................4</w:t>
      </w:r>
    </w:p>
    <w:p>
      <w:r>
        <w:rPr>
          <w:rFonts w:ascii="宋体" w:hAnsi="宋体" w:eastAsia="宋体"/>
          <w:sz w:val="22"/>
        </w:rPr>
        <w:t xml:space="preserve">  2.1 任务场景........................................4</w:t>
      </w:r>
    </w:p>
    <w:p>
      <w:r>
        <w:rPr>
          <w:rFonts w:ascii="宋体" w:hAnsi="宋体" w:eastAsia="宋体"/>
          <w:sz w:val="22"/>
        </w:rPr>
        <w:t xml:space="preserve">  2.2 平台建模........................................4</w:t>
      </w:r>
    </w:p>
    <w:p>
      <w:r>
        <w:rPr>
          <w:rFonts w:ascii="宋体" w:hAnsi="宋体" w:eastAsia="宋体"/>
          <w:sz w:val="22"/>
        </w:rPr>
        <w:t xml:space="preserve">  2.3 地形与通信遮挡.....................................4</w:t>
      </w:r>
    </w:p>
    <w:p>
      <w:r>
        <w:rPr>
          <w:rFonts w:ascii="宋体" w:hAnsi="宋体" w:eastAsia="宋体"/>
          <w:sz w:val="22"/>
        </w:rPr>
        <w:t>三、物理层信道模型.........................................5</w:t>
      </w:r>
    </w:p>
    <w:p>
      <w:r>
        <w:rPr>
          <w:rFonts w:ascii="宋体" w:hAnsi="宋体" w:eastAsia="宋体"/>
          <w:sz w:val="22"/>
        </w:rPr>
        <w:t xml:space="preserve">  3.1 信号与干扰加噪声比（SINR）模型...........................5</w:t>
      </w:r>
    </w:p>
    <w:p>
      <w:r>
        <w:rPr>
          <w:rFonts w:ascii="宋体" w:hAnsi="宋体" w:eastAsia="宋体"/>
          <w:sz w:val="22"/>
        </w:rPr>
        <w:t xml:space="preserve">  3.2 路径损耗模型......................................6</w:t>
      </w:r>
    </w:p>
    <w:p>
      <w:r>
        <w:rPr>
          <w:rFonts w:ascii="宋体" w:hAnsi="宋体" w:eastAsia="宋体"/>
          <w:sz w:val="22"/>
        </w:rPr>
        <w:t xml:space="preserve">  3.3 按视距/非视距区分的路径损耗指数............................6</w:t>
      </w:r>
    </w:p>
    <w:p>
      <w:r>
        <w:rPr>
          <w:rFonts w:ascii="宋体" w:hAnsi="宋体" w:eastAsia="宋体"/>
          <w:sz w:val="22"/>
        </w:rPr>
        <w:t xml:space="preserve">  3.4 简化Fresnel净空判定...............................7</w:t>
      </w:r>
    </w:p>
    <w:p>
      <w:r>
        <w:rPr>
          <w:rFonts w:ascii="宋体" w:hAnsi="宋体" w:eastAsia="宋体"/>
          <w:sz w:val="22"/>
        </w:rPr>
        <w:t xml:space="preserve">  3.5 链路数据率.......................................7</w:t>
      </w:r>
    </w:p>
    <w:p>
      <w:r>
        <w:rPr>
          <w:rFonts w:ascii="宋体" w:hAnsi="宋体" w:eastAsia="宋体"/>
          <w:sz w:val="22"/>
        </w:rPr>
        <w:t>四、双层通信图模型.........................................8</w:t>
      </w:r>
    </w:p>
    <w:p>
      <w:r>
        <w:rPr>
          <w:rFonts w:ascii="宋体" w:hAnsi="宋体" w:eastAsia="宋体"/>
          <w:sz w:val="22"/>
        </w:rPr>
        <w:t xml:space="preserve">  4.1 基本通信图 G^B...................................8</w:t>
      </w:r>
    </w:p>
    <w:p>
      <w:r>
        <w:rPr>
          <w:rFonts w:ascii="宋体" w:hAnsi="宋体" w:eastAsia="宋体"/>
          <w:sz w:val="22"/>
        </w:rPr>
        <w:t xml:space="preserve">  4.2 视距优质通信图 G^L.................................8</w:t>
      </w:r>
    </w:p>
    <w:p>
      <w:r>
        <w:rPr>
          <w:rFonts w:ascii="宋体" w:hAnsi="宋体" w:eastAsia="宋体"/>
          <w:sz w:val="22"/>
        </w:rPr>
        <w:t xml:space="preserve">  4.3 服务接入变量......................................9</w:t>
      </w:r>
    </w:p>
    <w:p>
      <w:r>
        <w:rPr>
          <w:rFonts w:ascii="宋体" w:hAnsi="宋体" w:eastAsia="宋体"/>
          <w:sz w:val="22"/>
        </w:rPr>
        <w:t xml:space="preserve">  4.4 中继与多跳连通.....................................9</w:t>
      </w:r>
    </w:p>
    <w:p>
      <w:r>
        <w:rPr>
          <w:rFonts w:ascii="宋体" w:hAnsi="宋体" w:eastAsia="宋体"/>
          <w:sz w:val="22"/>
        </w:rPr>
        <w:t>五、通信硬约束设计.........................................10</w:t>
      </w:r>
    </w:p>
    <w:p>
      <w:r>
        <w:rPr>
          <w:rFonts w:ascii="宋体" w:hAnsi="宋体" w:eastAsia="宋体"/>
          <w:sz w:val="22"/>
        </w:rPr>
        <w:t xml:space="preserve">  5.1 基本通信服务率约束...................................10</w:t>
      </w:r>
    </w:p>
    <w:p>
      <w:r>
        <w:rPr>
          <w:rFonts w:ascii="宋体" w:hAnsi="宋体" w:eastAsia="宋体"/>
          <w:sz w:val="22"/>
        </w:rPr>
        <w:t xml:space="preserve">  5.2 最大连续断连时长约束..................................10</w:t>
      </w:r>
    </w:p>
    <w:p>
      <w:r>
        <w:rPr>
          <w:rFonts w:ascii="宋体" w:hAnsi="宋体" w:eastAsia="宋体"/>
          <w:sz w:val="22"/>
        </w:rPr>
        <w:t xml:space="preserve">  5.3 约束的算法集成方式...................................11</w:t>
      </w:r>
    </w:p>
    <w:p>
      <w:r>
        <w:rPr>
          <w:rFonts w:ascii="宋体" w:hAnsi="宋体" w:eastAsia="宋体"/>
          <w:sz w:val="22"/>
        </w:rPr>
        <w:t>六、通信评价指标体系........................................12</w:t>
      </w:r>
    </w:p>
    <w:p>
      <w:r>
        <w:rPr>
          <w:rFonts w:ascii="宋体" w:hAnsi="宋体" w:eastAsia="宋体"/>
          <w:sz w:val="22"/>
        </w:rPr>
        <w:t xml:space="preserve">  6.1 指标总览........................................12</w:t>
      </w:r>
    </w:p>
    <w:p>
      <w:r>
        <w:rPr>
          <w:rFonts w:ascii="宋体" w:hAnsi="宋体" w:eastAsia="宋体"/>
          <w:sz w:val="22"/>
        </w:rPr>
        <w:t xml:space="preserve">  6.2 指标详解........................................12</w:t>
      </w:r>
    </w:p>
    <w:p>
      <w:r>
        <w:rPr>
          <w:rFonts w:ascii="宋体" w:hAnsi="宋体" w:eastAsia="宋体"/>
          <w:sz w:val="22"/>
        </w:rPr>
        <w:t>七、推荐参数配置..........................................15</w:t>
      </w:r>
    </w:p>
    <w:p>
      <w:r>
        <w:rPr>
          <w:rFonts w:ascii="宋体" w:hAnsi="宋体" w:eastAsia="宋体"/>
          <w:sz w:val="22"/>
        </w:rPr>
        <w:t>八、在协同路径规划中的作用.....................................16</w:t>
      </w:r>
    </w:p>
    <w:p>
      <w:r>
        <w:rPr>
          <w:rFonts w:ascii="宋体" w:hAnsi="宋体" w:eastAsia="宋体"/>
          <w:sz w:val="22"/>
        </w:rPr>
        <w:t xml:space="preserve">  8.1 决策评分函数......................................16</w:t>
      </w:r>
    </w:p>
    <w:p>
      <w:r>
        <w:rPr>
          <w:rFonts w:ascii="宋体" w:hAnsi="宋体" w:eastAsia="宋体"/>
          <w:sz w:val="22"/>
        </w:rPr>
        <w:t xml:space="preserve">  8.2 信息融合机制......................................17</w:t>
      </w:r>
    </w:p>
    <w:p>
      <w:r>
        <w:rPr>
          <w:rFonts w:ascii="宋体" w:hAnsi="宋体" w:eastAsia="宋体"/>
          <w:sz w:val="22"/>
        </w:rPr>
        <w:t>九、论文创新点阐述.........................................18</w:t>
      </w:r>
    </w:p>
    <w:p>
      <w:r>
        <w:rPr>
          <w:rFonts w:ascii="宋体" w:hAnsi="宋体" w:eastAsia="宋体"/>
          <w:sz w:val="22"/>
        </w:rPr>
        <w:t>十、总结..............................................19</w:t>
      </w:r>
    </w:p>
    <w:p>
      <w:r>
        <w:br w:type="page"/>
      </w:r>
    </w:p>
    <w:p>
      <w:pPr>
        <w:pStyle w:val="Heading1"/>
      </w:pPr>
      <w:r>
        <w:t>一、研究定位与建模思路</w:t>
      </w:r>
    </w:p>
    <w:p>
      <w:pPr>
        <w:ind w:firstLine="420"/>
      </w:pPr>
      <w:r>
        <w:rPr>
          <w:rFonts w:ascii="宋体" w:hAnsi="宋体" w:eastAsia="宋体"/>
        </w:rPr>
        <w:t>本研究面向地形遮挡环境下UAV-USV跨域无人集群协同搜索任务，从航空宇航科学与技术的学科视角出发，探索通过协同路径规划技术来提升通信效果的方法。研究定位为"通信感知的协同路径规划"（Communication-Aware Cooperative Path Planning），即：通信建模是路径规划的输入和约束，路径规划是提升通信效果的手段，而非研究通信技术本身。</w:t>
      </w:r>
    </w:p>
    <w:p>
      <w:pPr>
        <w:ind w:firstLine="420"/>
      </w:pPr>
      <w:r>
        <w:rPr>
          <w:rFonts w:ascii="宋体" w:hAnsi="宋体" w:eastAsia="宋体"/>
        </w:rPr>
        <w:t>基于上述定位，通信建模遵循"够用、清晰、可计算"的原则：</w:t>
      </w:r>
    </w:p>
    <w:p>
      <w:pPr>
        <w:pStyle w:val="ListBullet"/>
        <w:ind w:left="720"/>
      </w:pPr>
      <w:r>
        <w:t>够用——引入物理层SINR模型和LoS/NLoS区分，但不超过路径规划决策所需的信息粒度；</w:t>
      </w:r>
    </w:p>
    <w:p>
      <w:pPr>
        <w:pStyle w:val="ListBullet"/>
        <w:ind w:left="720"/>
      </w:pPr>
      <w:r>
        <w:t>清晰——通信约束的物理含义明确，不引入难以解释或难以标定的自由参数；</w:t>
      </w:r>
    </w:p>
    <w:p>
      <w:pPr>
        <w:pStyle w:val="ListBullet"/>
        <w:ind w:left="720"/>
      </w:pPr>
      <w:r>
        <w:t>可计算——所有模型在MATLAB环境下高效运行，不因通信计算过度拖累路径规划的实时性。</w:t>
      </w:r>
    </w:p>
    <w:p>
      <w:pPr>
        <w:ind w:firstLine="420"/>
      </w:pPr>
      <w:r>
        <w:rPr>
          <w:rFonts w:ascii="宋体" w:hAnsi="宋体" w:eastAsia="宋体"/>
        </w:rPr>
        <w:t>整体建模框架采用"硬约束 + 评价指标"双层架构。硬约束嵌入路径规划的候选动作筛选环节，从规划层面保障通信的最低服务水平；评价指标在仿真结束后统计，为通信效果的多维度分析提供依据。通信优化目标不再以加权项形式进入目标函数，而是以约束的形式保障底线。</w:t>
      </w:r>
    </w:p>
    <w:p>
      <w:r>
        <w:br w:type="page"/>
      </w:r>
    </w:p>
    <w:p>
      <w:pPr>
        <w:pStyle w:val="Heading1"/>
      </w:pPr>
      <w:r>
        <w:t>二、场景与问题描述</w:t>
      </w:r>
    </w:p>
    <w:p>
      <w:pPr>
        <w:pStyle w:val="Heading2"/>
      </w:pPr>
      <w:r>
        <w:t>2.1 任务场景</w:t>
      </w:r>
    </w:p>
    <w:p>
      <w:pPr>
        <w:ind w:firstLine="420"/>
      </w:pPr>
      <w:r>
        <w:rPr>
          <w:rFonts w:ascii="宋体" w:hAnsi="宋体" w:eastAsia="宋体"/>
        </w:rPr>
        <w:t>任务区域为一片含有岛屿/山体地形的海域，范围 10 km × 10 km。由 Nu 架固定翼UAV（无人机）和 Ns 艘USV（无人艇）组成的异构集群在该区域执行协同搜索覆盖任务。UAV在空中以较高速度飞行，搭载视觉/光电传感器对海面及岛屿表面进行搜索；USV在水面以较低速度航行，搭载声纳/雷达对海域进行搜索，同时充当UAV编队的移动通信中继节点（锚节点）。地形（岛屿山体）对UAV之间的无线通信链路造成遮挡，UAV-USV之间的链路同样受地形影响。通信约束成为协同搜索任务中的关键制约因素。</w:t>
      </w:r>
    </w:p>
    <w:p>
      <w:pPr>
        <w:pStyle w:val="Heading2"/>
      </w:pPr>
      <w:r>
        <w:t>2.2 平台建模</w:t>
      </w:r>
    </w:p>
    <w:p>
      <w:pPr>
        <w:ind w:firstLine="420"/>
      </w:pPr>
      <w:r>
        <w:rPr>
          <w:rFonts w:ascii="宋体" w:hAnsi="宋体" w:eastAsia="宋体"/>
        </w:rPr>
        <w:t>节点集合定义为：</w:t>
      </w:r>
    </w:p>
    <w:p>
      <w:pPr>
        <w:spacing w:before="120" w:after="120"/>
        <w:jc w:val="center"/>
      </w:pPr>
      <w:r>
        <w:rPr>
          <w:rFonts w:ascii="Times New Roman" w:hAnsi="Times New Roman"/>
          <w:i/>
          <w:sz w:val="22"/>
        </w:rPr>
        <w:t>V = U ∪ S,    U = {u₁, u₂, ..., u_{Nu}},    S = {s₁, s₂, ..., s_{Ns}}</w:t>
      </w:r>
    </w:p>
    <w:p>
      <w:pPr>
        <w:ind w:firstLine="420"/>
      </w:pPr>
      <w:r>
        <w:rPr>
          <w:rFonts w:ascii="宋体" w:hAnsi="宋体" w:eastAsia="宋体"/>
        </w:rPr>
        <w:t>其中 U 为UAV集合，S 为USV集合。通信锚节点集合 A = S（即所有USV均可作为中继锚节点，也可扩展为 A = S ∪ {C}，其中 C 为岸基指挥中心）。</w:t>
      </w:r>
    </w:p>
    <w:p>
      <w:pPr>
        <w:ind w:firstLine="420"/>
      </w:pPr>
      <w:r>
        <w:rPr>
          <w:rFonts w:ascii="宋体" w:hAnsi="宋体" w:eastAsia="宋体"/>
        </w:rPr>
        <w:t>在离散时刻 k (k = 1, 2, ..., K)，平台 i 的三维位置为：</w:t>
      </w:r>
    </w:p>
    <w:p>
      <w:pPr>
        <w:spacing w:before="120" w:after="120"/>
        <w:jc w:val="center"/>
      </w:pPr>
      <w:r>
        <w:rPr>
          <w:rFonts w:ascii="Times New Roman" w:hAnsi="Times New Roman"/>
          <w:i/>
          <w:sz w:val="22"/>
        </w:rPr>
        <w:t>pᵢ(k) = [xᵢ(k),  yᵢ(k),  zᵢ(k)]ᵀ</w:t>
      </w:r>
    </w:p>
    <w:p>
      <w:pPr>
        <w:ind w:firstLine="420"/>
      </w:pPr>
      <w:r>
        <w:rPr>
          <w:rFonts w:ascii="宋体" w:hAnsi="宋体" w:eastAsia="宋体"/>
        </w:rPr>
        <w:t>三维欧氏距离定义为：</w:t>
      </w:r>
    </w:p>
    <w:p>
      <w:pPr>
        <w:spacing w:before="120" w:after="120"/>
        <w:jc w:val="center"/>
      </w:pPr>
      <w:r>
        <w:rPr>
          <w:rFonts w:ascii="Times New Roman" w:hAnsi="Times New Roman"/>
          <w:i/>
          <w:sz w:val="22"/>
        </w:rPr>
        <w:t>dᵢⱼ(k) = ‖pᵢ(k) - pⱼ(k)‖₂</w:t>
      </w:r>
    </w:p>
    <w:p>
      <w:pPr>
        <w:ind w:firstLine="420"/>
      </w:pPr>
      <w:r>
        <w:rPr>
          <w:rFonts w:ascii="宋体" w:hAnsi="宋体" w:eastAsia="宋体"/>
        </w:rPr>
        <w:t>UAV的飞行高度自适应地形：z_UAV(k) = max(H_cruise, H(x,y) + δ_clear)，即UAV在平坦海域以巡航高度飞行，经过山体上空时自动爬升以保持安全净空。USV的天线高度固定为 h_USV = 15 m。两项取值确保了UAV与USV之间的垂直高度差，为LoS链路提供了基础条件。</w:t>
      </w:r>
    </w:p>
    <w:p>
      <w:pPr>
        <w:pStyle w:val="Heading2"/>
      </w:pPr>
      <w:r>
        <w:t>2.3 地形与通信遮挡</w:t>
      </w:r>
    </w:p>
    <w:p>
      <w:pPr>
        <w:ind w:firstLine="420"/>
      </w:pPr>
      <w:r>
        <w:rPr>
          <w:rFonts w:ascii="宋体" w:hAnsi="宋体" w:eastAsia="宋体"/>
        </w:rPr>
        <w:t>地形由数字高程模型（DEM）H(x,y) 描述。地图网格分辨率为 50 m，总网格点数 200×200。地形通过高斯山峰叠加 + 主山脊 + 海岸线衰减生成，最大高程 420 m。</w:t>
      </w:r>
    </w:p>
    <w:p>
      <w:pPr>
        <w:ind w:firstLine="420"/>
      </w:pPr>
      <w:r>
        <w:rPr>
          <w:rFonts w:ascii="宋体" w:hAnsi="宋体" w:eastAsia="宋体"/>
        </w:rPr>
        <w:t>无线信号在两点间传播时，若地形高程侵入传播路径，则造成遮挡（NLoS，Non-Line-of-Sight）。本研究在几何LoS判定的基础上，引入Fresnel区简化余量，进一步区分"勉强LoS"与"充分LoS"，为通信质量的分级评估提供更精细的物理依据。</w:t>
      </w:r>
    </w:p>
    <w:p>
      <w:r>
        <w:br w:type="page"/>
      </w:r>
    </w:p>
    <w:p>
      <w:pPr>
        <w:pStyle w:val="Heading1"/>
      </w:pPr>
      <w:r>
        <w:t>三、物理层信道模型</w:t>
      </w:r>
    </w:p>
    <w:p>
      <w:pPr>
        <w:ind w:firstLine="420"/>
      </w:pPr>
      <w:r>
        <w:rPr>
          <w:rFonts w:ascii="宋体" w:hAnsi="宋体" w:eastAsia="宋体"/>
        </w:rPr>
        <w:t>物理层信道模型是通信建模的基础。本研究引入基于SINR的信道模型，替代原有的纯几何距离衰减模型，使链路质量评估具有明确的物理含义。同时，模型保持计算简洁，所有参数均可从文献或工程经验中标定。</w:t>
      </w:r>
    </w:p>
    <w:p>
      <w:pPr>
        <w:pStyle w:val="Heading2"/>
      </w:pPr>
      <w:r>
        <w:t>3.1 信号与干扰加噪声比（SINR）模型</w:t>
      </w:r>
    </w:p>
    <w:p>
      <w:pPr>
        <w:ind w:firstLine="420"/>
      </w:pPr>
      <w:r>
        <w:rPr>
          <w:rFonts w:ascii="宋体" w:hAnsi="宋体" w:eastAsia="宋体"/>
        </w:rPr>
        <w:t>节点 i 到节点 j 的链路，其SINR定义为：</w:t>
      </w:r>
    </w:p>
    <w:p>
      <w:pPr>
        <w:spacing w:before="120" w:after="120"/>
        <w:jc w:val="center"/>
      </w:pPr>
      <w:r>
        <w:rPr>
          <w:rFonts w:ascii="Times New Roman" w:hAnsi="Times New Roman"/>
          <w:i/>
          <w:sz w:val="22"/>
        </w:rPr>
        <w:t>γᵢⱼ(k) = (Pₜ · Gₜ · Gᵣ · hᵢⱼ(k)) / (Iᵢⱼ(k) + N₀ · B)</w:t>
      </w:r>
      <w:r>
        <w:rPr>
          <w:rFonts w:ascii="Times New Roman" w:hAnsi="Times New Roman"/>
          <w:sz w:val="22"/>
        </w:rPr>
        <w:t xml:space="preserve">    ((1))</w:t>
      </w:r>
    </w:p>
    <w:p>
      <w:pPr>
        <w:ind w:firstLine="420"/>
      </w:pPr>
      <w:r>
        <w:rPr>
          <w:rFonts w:ascii="宋体" w:hAnsi="宋体" w:eastAsia="宋体"/>
        </w:rPr>
        <w:t>各参数含义与推荐值如下：</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D9E2F3"/>
          </w:tcPr>
          <w:p>
            <w:pPr>
              <w:jc w:val="center"/>
            </w:pPr>
            <w:r/>
            <w:r>
              <w:rPr>
                <w:rFonts w:ascii="宋体" w:hAnsi="宋体" w:eastAsia="宋体"/>
                <w:b/>
                <w:sz w:val="20"/>
              </w:rPr>
              <w:t>符号</w:t>
            </w:r>
          </w:p>
        </w:tc>
        <w:tc>
          <w:tcPr>
            <w:tcW w:type="dxa" w:w="2551"/>
            <w:shd w:fill="D9E2F3"/>
          </w:tcPr>
          <w:p>
            <w:pPr>
              <w:jc w:val="center"/>
            </w:pPr>
            <w:r/>
            <w:r>
              <w:rPr>
                <w:rFonts w:ascii="宋体" w:hAnsi="宋体" w:eastAsia="宋体"/>
                <w:b/>
                <w:sz w:val="20"/>
              </w:rPr>
              <w:t>含义</w:t>
            </w:r>
          </w:p>
        </w:tc>
        <w:tc>
          <w:tcPr>
            <w:tcW w:type="dxa" w:w="2268"/>
            <w:shd w:fill="D9E2F3"/>
          </w:tcPr>
          <w:p>
            <w:pPr>
              <w:jc w:val="center"/>
            </w:pPr>
            <w:r/>
            <w:r>
              <w:rPr>
                <w:rFonts w:ascii="宋体" w:hAnsi="宋体" w:eastAsia="宋体"/>
                <w:b/>
                <w:sz w:val="20"/>
              </w:rPr>
              <w:t>推荐值</w:t>
            </w:r>
          </w:p>
        </w:tc>
        <w:tc>
          <w:tcPr>
            <w:tcW w:type="dxa" w:w="2551"/>
            <w:shd w:fill="D9E2F3"/>
          </w:tcPr>
          <w:p>
            <w:pPr>
              <w:jc w:val="center"/>
            </w:pPr>
            <w:r/>
            <w:r>
              <w:rPr>
                <w:rFonts w:ascii="宋体" w:hAnsi="宋体" w:eastAsia="宋体"/>
                <w:b/>
                <w:sz w:val="20"/>
              </w:rPr>
              <w:t>来源/依据</w:t>
            </w:r>
          </w:p>
        </w:tc>
      </w:tr>
      <w:tr>
        <w:tc>
          <w:tcPr>
            <w:tcW w:type="dxa" w:w="1134"/>
          </w:tcPr>
          <w:p>
            <w:r/>
            <w:r>
              <w:rPr>
                <w:rFonts w:ascii="宋体" w:hAnsi="宋体" w:eastAsia="宋体"/>
                <w:sz w:val="20"/>
              </w:rPr>
              <w:t>Pₜ</w:t>
            </w:r>
          </w:p>
        </w:tc>
        <w:tc>
          <w:tcPr>
            <w:tcW w:type="dxa" w:w="2551"/>
          </w:tcPr>
          <w:p>
            <w:r/>
            <w:r>
              <w:rPr>
                <w:rFonts w:ascii="宋体" w:hAnsi="宋体" w:eastAsia="宋体"/>
                <w:sz w:val="20"/>
              </w:rPr>
              <w:t>发射功率</w:t>
            </w:r>
          </w:p>
        </w:tc>
        <w:tc>
          <w:tcPr>
            <w:tcW w:type="dxa" w:w="2268"/>
          </w:tcPr>
          <w:p>
            <w:r/>
            <w:r>
              <w:rPr>
                <w:rFonts w:ascii="宋体" w:hAnsi="宋体" w:eastAsia="宋体"/>
                <w:sz w:val="20"/>
              </w:rPr>
              <w:t>500 mW (27 dBm)</w:t>
            </w:r>
          </w:p>
        </w:tc>
        <w:tc>
          <w:tcPr>
            <w:tcW w:type="dxa" w:w="2551"/>
          </w:tcPr>
          <w:p>
            <w:r/>
            <w:r>
              <w:rPr>
                <w:rFonts w:ascii="宋体" w:hAnsi="宋体" w:eastAsia="宋体"/>
                <w:sz w:val="20"/>
              </w:rPr>
              <w:t>Kopeikin MIT (2012)</w:t>
            </w:r>
          </w:p>
        </w:tc>
      </w:tr>
      <w:tr>
        <w:tc>
          <w:tcPr>
            <w:tcW w:type="dxa" w:w="1134"/>
          </w:tcPr>
          <w:p>
            <w:r/>
            <w:r>
              <w:rPr>
                <w:rFonts w:ascii="宋体" w:hAnsi="宋体" w:eastAsia="宋体"/>
                <w:sz w:val="20"/>
              </w:rPr>
              <w:t>Gₜ, Gᵣ</w:t>
            </w:r>
          </w:p>
        </w:tc>
        <w:tc>
          <w:tcPr>
            <w:tcW w:type="dxa" w:w="2551"/>
          </w:tcPr>
          <w:p>
            <w:r/>
            <w:r>
              <w:rPr>
                <w:rFonts w:ascii="宋体" w:hAnsi="宋体" w:eastAsia="宋体"/>
                <w:sz w:val="20"/>
              </w:rPr>
              <w:t>发射/接收天线增益</w:t>
            </w:r>
          </w:p>
        </w:tc>
        <w:tc>
          <w:tcPr>
            <w:tcW w:type="dxa" w:w="2268"/>
          </w:tcPr>
          <w:p>
            <w:r/>
            <w:r>
              <w:rPr>
                <w:rFonts w:ascii="宋体" w:hAnsi="宋体" w:eastAsia="宋体"/>
                <w:sz w:val="20"/>
              </w:rPr>
              <w:t>0 dBi（全向天线）</w:t>
            </w:r>
          </w:p>
        </w:tc>
        <w:tc>
          <w:tcPr>
            <w:tcW w:type="dxa" w:w="2551"/>
          </w:tcPr>
          <w:p>
            <w:r/>
            <w:r>
              <w:rPr>
                <w:rFonts w:ascii="宋体" w:hAnsi="宋体" w:eastAsia="宋体"/>
                <w:sz w:val="20"/>
              </w:rPr>
              <w:t>保守假设</w:t>
            </w:r>
          </w:p>
        </w:tc>
      </w:tr>
      <w:tr>
        <w:tc>
          <w:tcPr>
            <w:tcW w:type="dxa" w:w="1134"/>
          </w:tcPr>
          <w:p>
            <w:r/>
            <w:r>
              <w:rPr>
                <w:rFonts w:ascii="宋体" w:hAnsi="宋体" w:eastAsia="宋体"/>
                <w:sz w:val="20"/>
              </w:rPr>
              <w:t>hᵢⱼ(k)</w:t>
            </w:r>
          </w:p>
        </w:tc>
        <w:tc>
          <w:tcPr>
            <w:tcW w:type="dxa" w:w="2551"/>
          </w:tcPr>
          <w:p>
            <w:r/>
            <w:r>
              <w:rPr>
                <w:rFonts w:ascii="宋体" w:hAnsi="宋体" w:eastAsia="宋体"/>
                <w:sz w:val="20"/>
              </w:rPr>
              <w:t>信道增益（含路径损耗）</w:t>
            </w:r>
          </w:p>
        </w:tc>
        <w:tc>
          <w:tcPr>
            <w:tcW w:type="dxa" w:w="2268"/>
          </w:tcPr>
          <w:p>
            <w:r/>
            <w:r>
              <w:rPr>
                <w:rFonts w:ascii="宋体" w:hAnsi="宋体" w:eastAsia="宋体"/>
                <w:sz w:val="20"/>
              </w:rPr>
              <w:t>见公式(2)</w:t>
            </w:r>
          </w:p>
        </w:tc>
        <w:tc>
          <w:tcPr>
            <w:tcW w:type="dxa" w:w="2551"/>
          </w:tcPr>
          <w:p>
            <w:r/>
            <w:r>
              <w:rPr>
                <w:rFonts w:ascii="宋体" w:hAnsi="宋体" w:eastAsia="宋体"/>
                <w:sz w:val="20"/>
              </w:rPr>
              <w:t>—</w:t>
            </w:r>
          </w:p>
        </w:tc>
      </w:tr>
      <w:tr>
        <w:tc>
          <w:tcPr>
            <w:tcW w:type="dxa" w:w="1134"/>
          </w:tcPr>
          <w:p>
            <w:r/>
            <w:r>
              <w:rPr>
                <w:rFonts w:ascii="宋体" w:hAnsi="宋体" w:eastAsia="宋体"/>
                <w:sz w:val="20"/>
              </w:rPr>
              <w:t>Iᵢⱼ(k)</w:t>
            </w:r>
          </w:p>
        </w:tc>
        <w:tc>
          <w:tcPr>
            <w:tcW w:type="dxa" w:w="2551"/>
          </w:tcPr>
          <w:p>
            <w:r/>
            <w:r>
              <w:rPr>
                <w:rFonts w:ascii="宋体" w:hAnsi="宋体" w:eastAsia="宋体"/>
                <w:sz w:val="20"/>
              </w:rPr>
              <w:t>干扰功率</w:t>
            </w:r>
          </w:p>
        </w:tc>
        <w:tc>
          <w:tcPr>
            <w:tcW w:type="dxa" w:w="2268"/>
          </w:tcPr>
          <w:p>
            <w:r/>
            <w:r>
              <w:rPr>
                <w:rFonts w:ascii="宋体" w:hAnsi="宋体" w:eastAsia="宋体"/>
                <w:sz w:val="20"/>
              </w:rPr>
              <w:t>0（简化为SNR）</w:t>
            </w:r>
          </w:p>
        </w:tc>
        <w:tc>
          <w:tcPr>
            <w:tcW w:type="dxa" w:w="2551"/>
          </w:tcPr>
          <w:p>
            <w:r/>
            <w:r>
              <w:rPr>
                <w:rFonts w:ascii="宋体" w:hAnsi="宋体" w:eastAsia="宋体"/>
                <w:sz w:val="20"/>
              </w:rPr>
              <w:t>稀疏集群，干扰可忽略</w:t>
            </w:r>
          </w:p>
        </w:tc>
      </w:tr>
      <w:tr>
        <w:tc>
          <w:tcPr>
            <w:tcW w:type="dxa" w:w="1134"/>
          </w:tcPr>
          <w:p>
            <w:r/>
            <w:r>
              <w:rPr>
                <w:rFonts w:ascii="宋体" w:hAnsi="宋体" w:eastAsia="宋体"/>
                <w:sz w:val="20"/>
              </w:rPr>
              <w:t>N₀</w:t>
            </w:r>
          </w:p>
        </w:tc>
        <w:tc>
          <w:tcPr>
            <w:tcW w:type="dxa" w:w="2551"/>
          </w:tcPr>
          <w:p>
            <w:r/>
            <w:r>
              <w:rPr>
                <w:rFonts w:ascii="宋体" w:hAnsi="宋体" w:eastAsia="宋体"/>
                <w:sz w:val="20"/>
              </w:rPr>
              <w:t>噪声功率谱密度</w:t>
            </w:r>
          </w:p>
        </w:tc>
        <w:tc>
          <w:tcPr>
            <w:tcW w:type="dxa" w:w="2268"/>
          </w:tcPr>
          <w:p>
            <w:r/>
            <w:r>
              <w:rPr>
                <w:rFonts w:ascii="宋体" w:hAnsi="宋体" w:eastAsia="宋体"/>
                <w:sz w:val="20"/>
              </w:rPr>
              <w:t>10⁻¹⁰ W/Hz</w:t>
            </w:r>
          </w:p>
        </w:tc>
        <w:tc>
          <w:tcPr>
            <w:tcW w:type="dxa" w:w="2551"/>
          </w:tcPr>
          <w:p>
            <w:r/>
            <w:r>
              <w:rPr>
                <w:rFonts w:ascii="宋体" w:hAnsi="宋体" w:eastAsia="宋体"/>
                <w:sz w:val="20"/>
              </w:rPr>
              <w:t>Kopeikin MIT (2012)</w:t>
            </w:r>
          </w:p>
        </w:tc>
      </w:tr>
      <w:tr>
        <w:tc>
          <w:tcPr>
            <w:tcW w:type="dxa" w:w="1134"/>
          </w:tcPr>
          <w:p>
            <w:r/>
            <w:r>
              <w:rPr>
                <w:rFonts w:ascii="宋体" w:hAnsi="宋体" w:eastAsia="宋体"/>
                <w:sz w:val="20"/>
              </w:rPr>
              <w:t>B</w:t>
            </w:r>
          </w:p>
        </w:tc>
        <w:tc>
          <w:tcPr>
            <w:tcW w:type="dxa" w:w="2551"/>
          </w:tcPr>
          <w:p>
            <w:r/>
            <w:r>
              <w:rPr>
                <w:rFonts w:ascii="宋体" w:hAnsi="宋体" w:eastAsia="宋体"/>
                <w:sz w:val="20"/>
              </w:rPr>
              <w:t>通信带宽</w:t>
            </w:r>
          </w:p>
        </w:tc>
        <w:tc>
          <w:tcPr>
            <w:tcW w:type="dxa" w:w="2268"/>
          </w:tcPr>
          <w:p>
            <w:r/>
            <w:r>
              <w:rPr>
                <w:rFonts w:ascii="宋体" w:hAnsi="宋体" w:eastAsia="宋体"/>
                <w:sz w:val="20"/>
              </w:rPr>
              <w:t>1 MHz</w:t>
            </w:r>
          </w:p>
        </w:tc>
        <w:tc>
          <w:tcPr>
            <w:tcW w:type="dxa" w:w="2551"/>
          </w:tcPr>
          <w:p>
            <w:r/>
            <w:r>
              <w:rPr>
                <w:rFonts w:ascii="宋体" w:hAnsi="宋体" w:eastAsia="宋体"/>
                <w:sz w:val="20"/>
              </w:rPr>
              <w:t>典型数据链带宽</w:t>
            </w:r>
          </w:p>
        </w:tc>
      </w:tr>
    </w:tbl>
    <w:p/>
    <w:p>
      <w:pPr>
        <w:ind w:firstLine="420"/>
      </w:pPr>
      <w:r>
        <w:rPr>
          <w:rFonts w:ascii="宋体" w:hAnsi="宋体" w:eastAsia="宋体"/>
        </w:rPr>
        <w:t>在当前任务场景中，UAV-USV集群节点数量有限（4架UAV + 3艘USV），且通信为周期性信息融合而非持续大流量传输，多用户干扰 Iᵢⱼ(k) 的影响远小于噪声和路径损耗。因此，本研究将SINR简化为SNR：</w:t>
      </w:r>
    </w:p>
    <w:p>
      <w:pPr>
        <w:spacing w:before="120" w:after="120"/>
        <w:jc w:val="center"/>
      </w:pPr>
      <w:r>
        <w:rPr>
          <w:rFonts w:ascii="Times New Roman" w:hAnsi="Times New Roman"/>
          <w:i/>
          <w:sz w:val="22"/>
        </w:rPr>
        <w:t>γᵢⱼ(k) = (Pₜ · Gₜ · Gᵣ · hᵢⱼ(k)) / (N₀ · B)</w:t>
      </w:r>
      <w:r>
        <w:rPr>
          <w:rFonts w:ascii="Times New Roman" w:hAnsi="Times New Roman"/>
          <w:sz w:val="22"/>
        </w:rPr>
        <w:t xml:space="preserve">    ((1a))</w:t>
      </w:r>
    </w:p>
    <w:p>
      <w:pPr>
        <w:ind w:firstLine="420"/>
      </w:pPr>
      <w:r>
        <w:rPr>
          <w:rFonts w:ascii="宋体" w:hAnsi="宋体" w:eastAsia="宋体"/>
        </w:rPr>
        <w:t>这一简化在节点数量较少、采用TDMA或CSMA等信道接入机制的稀疏集群中是合理的，且在Kopeikin MIT研究中同样采用了SNR假设进行路径规划。</w:t>
      </w:r>
    </w:p>
    <w:p>
      <w:pPr>
        <w:pStyle w:val="Heading2"/>
      </w:pPr>
      <w:r>
        <w:t>3.2 路径损耗模型</w:t>
      </w:r>
    </w:p>
    <w:p>
      <w:pPr>
        <w:ind w:firstLine="420"/>
      </w:pPr>
      <w:r>
        <w:rPr>
          <w:rFonts w:ascii="宋体" w:hAnsi="宋体" w:eastAsia="宋体"/>
        </w:rPr>
        <w:t>信道增益 hᵢⱼ(k) 由路径损耗模型确定。采用对数距离路径损耗模型：</w:t>
      </w:r>
    </w:p>
    <w:p>
      <w:pPr>
        <w:spacing w:before="120" w:after="120"/>
        <w:jc w:val="center"/>
      </w:pPr>
      <w:r>
        <w:rPr>
          <w:rFonts w:ascii="Times New Roman" w:hAnsi="Times New Roman"/>
          <w:i/>
          <w:sz w:val="22"/>
        </w:rPr>
        <w:t>PLᵢⱼ(k) [dB] = PL₀ + 10·α·log₁₀(dᵢⱼ(k) / d₀) + L_terr,ᵢⱼ(k)</w:t>
      </w:r>
      <w:r>
        <w:rPr>
          <w:rFonts w:ascii="Times New Roman" w:hAnsi="Times New Roman"/>
          <w:sz w:val="22"/>
        </w:rPr>
        <w:t xml:space="preserve">    ((2))</w:t>
      </w:r>
    </w:p>
    <w:p>
      <w:pPr>
        <w:ind w:firstLine="420"/>
      </w:pPr>
      <w:r>
        <w:rPr>
          <w:rFonts w:ascii="宋体" w:hAnsi="宋体" w:eastAsia="宋体"/>
        </w:rPr>
        <w:t>其中：</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D9E2F3"/>
          </w:tcPr>
          <w:p>
            <w:pPr>
              <w:jc w:val="center"/>
            </w:pPr>
            <w:r/>
            <w:r>
              <w:rPr>
                <w:rFonts w:ascii="宋体" w:hAnsi="宋体" w:eastAsia="宋体"/>
                <w:b/>
                <w:sz w:val="20"/>
              </w:rPr>
              <w:t>符号</w:t>
            </w:r>
          </w:p>
        </w:tc>
        <w:tc>
          <w:tcPr>
            <w:tcW w:type="dxa" w:w="2835"/>
            <w:shd w:fill="D9E2F3"/>
          </w:tcPr>
          <w:p>
            <w:pPr>
              <w:jc w:val="center"/>
            </w:pPr>
            <w:r/>
            <w:r>
              <w:rPr>
                <w:rFonts w:ascii="宋体" w:hAnsi="宋体" w:eastAsia="宋体"/>
                <w:b/>
                <w:sz w:val="20"/>
              </w:rPr>
              <w:t>含义</w:t>
            </w:r>
          </w:p>
        </w:tc>
        <w:tc>
          <w:tcPr>
            <w:tcW w:type="dxa" w:w="2835"/>
            <w:shd w:fill="D9E2F3"/>
          </w:tcPr>
          <w:p>
            <w:pPr>
              <w:jc w:val="center"/>
            </w:pPr>
            <w:r/>
            <w:r>
              <w:rPr>
                <w:rFonts w:ascii="宋体" w:hAnsi="宋体" w:eastAsia="宋体"/>
                <w:b/>
                <w:sz w:val="20"/>
              </w:rPr>
              <w:t>取值/公式</w:t>
            </w:r>
          </w:p>
        </w:tc>
        <w:tc>
          <w:tcPr>
            <w:tcW w:type="dxa" w:w="1417"/>
            <w:shd w:fill="D9E2F3"/>
          </w:tcPr>
          <w:p>
            <w:pPr>
              <w:jc w:val="center"/>
            </w:pPr>
            <w:r/>
            <w:r>
              <w:rPr>
                <w:rFonts w:ascii="宋体" w:hAnsi="宋体" w:eastAsia="宋体"/>
                <w:b/>
                <w:sz w:val="20"/>
              </w:rPr>
              <w:t>说明</w:t>
            </w:r>
          </w:p>
        </w:tc>
      </w:tr>
      <w:tr>
        <w:tc>
          <w:tcPr>
            <w:tcW w:type="dxa" w:w="1417"/>
          </w:tcPr>
          <w:p>
            <w:r/>
            <w:r>
              <w:rPr>
                <w:rFonts w:ascii="宋体" w:hAnsi="宋体" w:eastAsia="宋体"/>
                <w:sz w:val="20"/>
              </w:rPr>
              <w:t>PL₀</w:t>
            </w:r>
          </w:p>
        </w:tc>
        <w:tc>
          <w:tcPr>
            <w:tcW w:type="dxa" w:w="2835"/>
          </w:tcPr>
          <w:p>
            <w:r/>
            <w:r>
              <w:rPr>
                <w:rFonts w:ascii="宋体" w:hAnsi="宋体" w:eastAsia="宋体"/>
                <w:sz w:val="20"/>
              </w:rPr>
              <w:t>参考距离处的路径损耗</w:t>
            </w:r>
          </w:p>
        </w:tc>
        <w:tc>
          <w:tcPr>
            <w:tcW w:type="dxa" w:w="2835"/>
          </w:tcPr>
          <w:p>
            <w:r/>
            <w:r>
              <w:rPr>
                <w:rFonts w:ascii="宋体" w:hAnsi="宋体" w:eastAsia="宋体"/>
                <w:sz w:val="20"/>
              </w:rPr>
              <w:t>PL₀ = 20·log₁₀(4πd₀/λ)</w:t>
            </w:r>
          </w:p>
        </w:tc>
        <w:tc>
          <w:tcPr>
            <w:tcW w:type="dxa" w:w="1417"/>
          </w:tcPr>
          <w:p>
            <w:r/>
            <w:r>
              <w:rPr>
                <w:rFonts w:ascii="宋体" w:hAnsi="宋体" w:eastAsia="宋体"/>
                <w:sz w:val="20"/>
              </w:rPr>
              <w:t>自由空间参考损耗</w:t>
            </w:r>
          </w:p>
        </w:tc>
      </w:tr>
      <w:tr>
        <w:tc>
          <w:tcPr>
            <w:tcW w:type="dxa" w:w="1417"/>
          </w:tcPr>
          <w:p>
            <w:r/>
            <w:r>
              <w:rPr>
                <w:rFonts w:ascii="宋体" w:hAnsi="宋体" w:eastAsia="宋体"/>
                <w:sz w:val="20"/>
              </w:rPr>
              <w:t>d₀</w:t>
            </w:r>
          </w:p>
        </w:tc>
        <w:tc>
          <w:tcPr>
            <w:tcW w:type="dxa" w:w="2835"/>
          </w:tcPr>
          <w:p>
            <w:r/>
            <w:r>
              <w:rPr>
                <w:rFonts w:ascii="宋体" w:hAnsi="宋体" w:eastAsia="宋体"/>
                <w:sz w:val="20"/>
              </w:rPr>
              <w:t>参考距离</w:t>
            </w:r>
          </w:p>
        </w:tc>
        <w:tc>
          <w:tcPr>
            <w:tcW w:type="dxa" w:w="2835"/>
          </w:tcPr>
          <w:p>
            <w:r/>
            <w:r>
              <w:rPr>
                <w:rFonts w:ascii="宋体" w:hAnsi="宋体" w:eastAsia="宋体"/>
                <w:sz w:val="20"/>
              </w:rPr>
              <w:t>5 m</w:t>
            </w:r>
          </w:p>
        </w:tc>
        <w:tc>
          <w:tcPr>
            <w:tcW w:type="dxa" w:w="1417"/>
          </w:tcPr>
          <w:p>
            <w:r/>
            <w:r>
              <w:rPr>
                <w:rFonts w:ascii="宋体" w:hAnsi="宋体" w:eastAsia="宋体"/>
                <w:sz w:val="20"/>
              </w:rPr>
              <w:t>Kopeikin MIT (2012)</w:t>
            </w:r>
          </w:p>
        </w:tc>
      </w:tr>
      <w:tr>
        <w:tc>
          <w:tcPr>
            <w:tcW w:type="dxa" w:w="1417"/>
          </w:tcPr>
          <w:p>
            <w:r/>
            <w:r>
              <w:rPr>
                <w:rFonts w:ascii="宋体" w:hAnsi="宋体" w:eastAsia="宋体"/>
                <w:sz w:val="20"/>
              </w:rPr>
              <w:t>α</w:t>
            </w:r>
          </w:p>
        </w:tc>
        <w:tc>
          <w:tcPr>
            <w:tcW w:type="dxa" w:w="2835"/>
          </w:tcPr>
          <w:p>
            <w:r/>
            <w:r>
              <w:rPr>
                <w:rFonts w:ascii="宋体" w:hAnsi="宋体" w:eastAsia="宋体"/>
                <w:sz w:val="20"/>
              </w:rPr>
              <w:t>路径损耗指数</w:t>
            </w:r>
          </w:p>
        </w:tc>
        <w:tc>
          <w:tcPr>
            <w:tcW w:type="dxa" w:w="2835"/>
          </w:tcPr>
          <w:p>
            <w:r/>
            <w:r>
              <w:rPr>
                <w:rFonts w:ascii="宋体" w:hAnsi="宋体" w:eastAsia="宋体"/>
                <w:sz w:val="20"/>
              </w:rPr>
              <w:t>α_L = 2.0 (LoS) / α_N = 3.5 (NLoS)</w:t>
            </w:r>
          </w:p>
        </w:tc>
        <w:tc>
          <w:tcPr>
            <w:tcW w:type="dxa" w:w="1417"/>
          </w:tcPr>
          <w:p>
            <w:r/>
            <w:r>
              <w:rPr>
                <w:rFonts w:ascii="宋体" w:hAnsi="宋体" w:eastAsia="宋体"/>
                <w:sz w:val="20"/>
              </w:rPr>
              <w:t>见3.3节</w:t>
            </w:r>
          </w:p>
        </w:tc>
      </w:tr>
      <w:tr>
        <w:tc>
          <w:tcPr>
            <w:tcW w:type="dxa" w:w="1417"/>
          </w:tcPr>
          <w:p>
            <w:r/>
            <w:r>
              <w:rPr>
                <w:rFonts w:ascii="宋体" w:hAnsi="宋体" w:eastAsia="宋体"/>
                <w:sz w:val="20"/>
              </w:rPr>
              <w:t>λ</w:t>
            </w:r>
          </w:p>
        </w:tc>
        <w:tc>
          <w:tcPr>
            <w:tcW w:type="dxa" w:w="2835"/>
          </w:tcPr>
          <w:p>
            <w:r/>
            <w:r>
              <w:rPr>
                <w:rFonts w:ascii="宋体" w:hAnsi="宋体" w:eastAsia="宋体"/>
                <w:sz w:val="20"/>
              </w:rPr>
              <w:t>载波波长</w:t>
            </w:r>
          </w:p>
        </w:tc>
        <w:tc>
          <w:tcPr>
            <w:tcW w:type="dxa" w:w="2835"/>
          </w:tcPr>
          <w:p>
            <w:r/>
            <w:r>
              <w:rPr>
                <w:rFonts w:ascii="宋体" w:hAnsi="宋体" w:eastAsia="宋体"/>
                <w:sz w:val="20"/>
              </w:rPr>
              <w:t>0.125 m (f = 2.4 GHz)</w:t>
            </w:r>
          </w:p>
        </w:tc>
        <w:tc>
          <w:tcPr>
            <w:tcW w:type="dxa" w:w="1417"/>
          </w:tcPr>
          <w:p>
            <w:r/>
            <w:r>
              <w:rPr>
                <w:rFonts w:ascii="宋体" w:hAnsi="宋体" w:eastAsia="宋体"/>
                <w:sz w:val="20"/>
              </w:rPr>
              <w:t>常见ISM频段</w:t>
            </w:r>
          </w:p>
        </w:tc>
      </w:tr>
      <w:tr>
        <w:tc>
          <w:tcPr>
            <w:tcW w:type="dxa" w:w="1417"/>
          </w:tcPr>
          <w:p>
            <w:r/>
            <w:r>
              <w:rPr>
                <w:rFonts w:ascii="宋体" w:hAnsi="宋体" w:eastAsia="宋体"/>
                <w:sz w:val="20"/>
              </w:rPr>
              <w:t>L_terr,ᵢⱼ</w:t>
            </w:r>
          </w:p>
        </w:tc>
        <w:tc>
          <w:tcPr>
            <w:tcW w:type="dxa" w:w="2835"/>
          </w:tcPr>
          <w:p>
            <w:r/>
            <w:r>
              <w:rPr>
                <w:rFonts w:ascii="宋体" w:hAnsi="宋体" w:eastAsia="宋体"/>
                <w:sz w:val="20"/>
              </w:rPr>
              <w:t>地形附加损耗</w:t>
            </w:r>
          </w:p>
        </w:tc>
        <w:tc>
          <w:tcPr>
            <w:tcW w:type="dxa" w:w="2835"/>
          </w:tcPr>
          <w:p>
            <w:r/>
            <w:r>
              <w:rPr>
                <w:rFonts w:ascii="宋体" w:hAnsi="宋体" w:eastAsia="宋体"/>
                <w:sz w:val="20"/>
              </w:rPr>
              <w:t>κ · [−χᵢⱼ]₊</w:t>
            </w:r>
          </w:p>
        </w:tc>
        <w:tc>
          <w:tcPr>
            <w:tcW w:type="dxa" w:w="1417"/>
          </w:tcPr>
          <w:p>
            <w:r/>
            <w:r>
              <w:rPr>
                <w:rFonts w:ascii="宋体" w:hAnsi="宋体" w:eastAsia="宋体"/>
                <w:sz w:val="20"/>
              </w:rPr>
              <w:t>见3.4节，[x]₊ = max(x,0)</w:t>
            </w:r>
          </w:p>
        </w:tc>
      </w:tr>
    </w:tbl>
    <w:p/>
    <w:p>
      <w:pPr>
        <w:ind w:firstLine="420"/>
      </w:pPr>
      <w:r>
        <w:rPr>
          <w:rFonts w:ascii="宋体" w:hAnsi="宋体" w:eastAsia="宋体"/>
        </w:rPr>
        <w:t>信道增益的线性值由路径损耗转换：</w:t>
      </w:r>
    </w:p>
    <w:p>
      <w:pPr>
        <w:spacing w:before="120" w:after="120"/>
        <w:jc w:val="center"/>
      </w:pPr>
      <w:r>
        <w:rPr>
          <w:rFonts w:ascii="Times New Roman" w:hAnsi="Times New Roman"/>
          <w:i/>
          <w:sz w:val="22"/>
        </w:rPr>
        <w:t>hᵢⱼ(k) = 10^{-PLᵢⱼ(k) / 10}</w:t>
      </w:r>
      <w:r>
        <w:rPr>
          <w:rFonts w:ascii="Times New Roman" w:hAnsi="Times New Roman"/>
          <w:sz w:val="22"/>
        </w:rPr>
        <w:t xml:space="preserve">    ((3))</w:t>
      </w:r>
    </w:p>
    <w:p>
      <w:pPr>
        <w:pStyle w:val="Heading2"/>
      </w:pPr>
      <w:r>
        <w:t>3.3 按视距/非视距区分的路径损耗指数</w:t>
      </w:r>
    </w:p>
    <w:p>
      <w:pPr>
        <w:ind w:firstLine="420"/>
      </w:pPr>
      <w:r>
        <w:rPr>
          <w:rFonts w:ascii="宋体" w:hAnsi="宋体" w:eastAsia="宋体"/>
        </w:rPr>
        <w:t>这是本模型区别于原算法的核心改进之一。原算法中，非视距链路的通信质量直接设为0（"完全断链"），而实际上，NLoS链路（如信号通过山脊绕射、或经海面反射后到达）仍然可能存在可用的信号强度，只是路径损耗更大。本模型通过区分的路径损耗指数来刻画这一物理事实：</w:t>
      </w:r>
    </w:p>
    <w:p>
      <w:pPr>
        <w:spacing w:before="120" w:after="120"/>
        <w:jc w:val="center"/>
      </w:pPr>
      <w:r>
        <w:rPr>
          <w:rFonts w:ascii="Times New Roman" w:hAnsi="Times New Roman"/>
          <w:i/>
          <w:sz w:val="22"/>
        </w:rPr>
        <w:t>αᵢⱼ(k) = { α_L = 2.0,   若 LoSᵢⱼ(k) = 1</w:t>
      </w:r>
      <w:r>
        <w:rPr>
          <w:rFonts w:ascii="Times New Roman" w:hAnsi="Times New Roman"/>
          <w:sz w:val="22"/>
        </w:rPr>
        <w:t xml:space="preserve">    ((4))</w:t>
      </w:r>
    </w:p>
    <w:p>
      <w:pPr>
        <w:spacing w:before="120" w:after="120"/>
        <w:jc w:val="center"/>
      </w:pPr>
      <w:r>
        <w:rPr>
          <w:rFonts w:ascii="Times New Roman" w:hAnsi="Times New Roman"/>
          <w:i/>
          <w:sz w:val="22"/>
        </w:rPr>
        <w:t xml:space="preserve">           { α_N = 3.5,   若 LoSᵢⱼ(k) = 0</w:t>
      </w:r>
    </w:p>
    <w:p>
      <w:pPr>
        <w:ind w:firstLine="420"/>
      </w:pPr>
      <w:r>
        <w:rPr>
          <w:rFonts w:ascii="宋体" w:hAnsi="宋体" w:eastAsia="宋体"/>
        </w:rPr>
        <w:t>这一设计带来两方面的改进：</w:t>
      </w:r>
    </w:p>
    <w:p>
      <w:pPr>
        <w:pStyle w:val="ListBullet"/>
        <w:ind w:left="720"/>
      </w:pPr>
      <w:r>
        <w:t>物理合理性——NLoS链路的信号不会"消失"，只是衰减更快，与电磁波传播的物理机制一致；</w:t>
      </w:r>
    </w:p>
    <w:p>
      <w:pPr>
        <w:pStyle w:val="ListBullet"/>
        <w:ind w:left="720"/>
      </w:pPr>
      <w:r>
        <w:t>决策精细度——路径规划算法可以在"绕远路保持LoS（路径损耗小但飞行距离长）"与"走近路但NLoS（飞行距离短但通信质量差）"之间做出更精细的权衡，而非简单的二选一。</w:t>
      </w:r>
    </w:p>
    <w:p>
      <w:pPr>
        <w:pStyle w:val="Heading2"/>
      </w:pPr>
      <w:r>
        <w:t>3.4 简化Fresnel净空判定</w:t>
      </w:r>
    </w:p>
    <w:p>
      <w:pPr>
        <w:ind w:firstLine="420"/>
      </w:pPr>
      <w:r>
        <w:rPr>
          <w:rFonts w:ascii="宋体" w:hAnsi="宋体" w:eastAsia="宋体"/>
        </w:rPr>
        <w:t>原算法中的LoS判定为纯几何线-地形相交检测：在两点间连线等距采样，若任一采样点处地形高程（加15 m净空余量）高于信号线高度，则判定为NLoS。这一判定未考虑无线电波传播的Fresnel区效应——信号能量并非集中在一根几何线上，而是分布在以几何线为轴的一个椭球体内（第一Fresnel区）。若地形侵入Fresnel区但未遮挡几何线，信号仍会受到显著衰减。</w:t>
      </w:r>
    </w:p>
    <w:p>
      <w:pPr>
        <w:ind w:firstLine="420"/>
      </w:pPr>
      <w:r>
        <w:rPr>
          <w:rFonts w:ascii="宋体" w:hAnsi="宋体" w:eastAsia="宋体"/>
        </w:rPr>
        <w:t>对航空宇航方向而言，Fresnel区的核心工程含义是：UAV的飞行路径不仅要避开山体的几何遮挡，还需要与山体保持足够的"通信安全间距"。</w:t>
      </w:r>
    </w:p>
    <w:p>
      <w:pPr>
        <w:ind w:firstLine="420"/>
      </w:pPr>
      <w:r>
        <w:rPr>
          <w:rFonts w:ascii="宋体" w:hAnsi="宋体" w:eastAsia="宋体"/>
        </w:rPr>
        <w:t>完整计算每条链路的Fresnel区半径需要沿链路多次采样，计算量随链路数和采样点数乘积增长，在MATLAB环境下可能显著拖累路径规划的实时性。因此，本模型采用简化策略：</w:t>
      </w:r>
    </w:p>
    <w:p>
      <w:pPr>
        <w:pStyle w:val="ListBullet"/>
        <w:ind w:left="720"/>
      </w:pPr>
      <w:r>
        <w:t>方案一（参数调节法，推荐）：将原算法中的净空余量参数 commTerrainClearanceKm 从 15 m 适度提高至 25-35 m，以参数裕度的形式体现Fresnel区效应。这是最经济的实现方式——修改一个参数值，无需增加任何计算。</w:t>
      </w:r>
    </w:p>
    <w:p>
      <w:pPr>
        <w:pStyle w:val="ListBullet"/>
        <w:ind w:left="720"/>
      </w:pPr>
      <w:r>
        <w:t>方案二（可配置开关）：在代码中保留完整Fresnel计算的接口，通过一个布尔参数控制是否启用。默认关闭（使用方案一的增大余量），在需要高精度分析的场景下可开启。</w:t>
      </w:r>
    </w:p>
    <w:p>
      <w:pPr>
        <w:ind w:firstLine="420"/>
      </w:pPr>
      <w:r>
        <w:rPr>
          <w:rFonts w:ascii="宋体" w:hAnsi="宋体" w:eastAsia="宋体"/>
        </w:rPr>
        <w:t>无论采用哪种方案，LoS的净空判定统一为：</w:t>
      </w:r>
    </w:p>
    <w:p>
      <w:pPr>
        <w:spacing w:before="120" w:after="120"/>
        <w:jc w:val="center"/>
      </w:pPr>
      <w:r>
        <w:rPr>
          <w:rFonts w:ascii="Times New Roman" w:hAnsi="Times New Roman"/>
          <w:i/>
          <w:sz w:val="22"/>
        </w:rPr>
        <w:t>χᵢⱼ(k) = min_s [z(s) − H(x(s), y(s)) − h_margin]</w:t>
      </w:r>
      <w:r>
        <w:rPr>
          <w:rFonts w:ascii="Times New Roman" w:hAnsi="Times New Roman"/>
          <w:sz w:val="22"/>
        </w:rPr>
        <w:t xml:space="preserve">    ((5))</w:t>
      </w:r>
    </w:p>
    <w:p>
      <w:pPr>
        <w:spacing w:before="120" w:after="120"/>
        <w:jc w:val="center"/>
      </w:pPr>
      <w:r>
        <w:rPr>
          <w:rFonts w:ascii="Times New Roman" w:hAnsi="Times New Roman"/>
          <w:i/>
          <w:sz w:val="22"/>
        </w:rPr>
        <w:t>LoSᵢⱼ(k) = { 1,   χᵢⱼ(k) ≥ 0 ;  0,   χᵢⱼ(k) &lt; 0</w:t>
      </w:r>
      <w:r>
        <w:rPr>
          <w:rFonts w:ascii="Times New Roman" w:hAnsi="Times New Roman"/>
          <w:sz w:val="22"/>
        </w:rPr>
        <w:t xml:space="preserve">    ((6))</w:t>
      </w:r>
    </w:p>
    <w:p>
      <w:pPr>
        <w:ind w:firstLine="420"/>
      </w:pPr>
      <w:r>
        <w:rPr>
          <w:rFonts w:ascii="宋体" w:hAnsi="宋体" w:eastAsia="宋体"/>
        </w:rPr>
        <w:t>其中 s ∈ [0,1] 为沿链路的参数化采样点，h_margin 为包含Fresnel余量的净空高度。当地形侵入余量范围时，判定为NLoS。地形附加损耗 L_terr,ᵢⱼ(k) = κ · [−χᵢⱼ]₊，其中 κ 为地形损耗系数，[x]₊ = max(x,0)。当 χᵢⱼ ≥ 0 时，无地形附加损耗；当 χᵢⱼ &lt; 0 时，地形侵入越深，附加损耗越大。</w:t>
      </w:r>
    </w:p>
    <w:p>
      <w:pPr>
        <w:pStyle w:val="Heading2"/>
      </w:pPr>
      <w:r>
        <w:t>3.5 链路数据率</w:t>
      </w:r>
    </w:p>
    <w:p>
      <w:pPr>
        <w:ind w:firstLine="420"/>
      </w:pPr>
      <w:r>
        <w:rPr>
          <w:rFonts w:ascii="宋体" w:hAnsi="宋体" w:eastAsia="宋体"/>
        </w:rPr>
        <w:t>基于Shannon信道容量公式，链路 (i,j) 在时刻 k 的最大数据传输率为：</w:t>
      </w:r>
    </w:p>
    <w:p>
      <w:pPr>
        <w:spacing w:before="120" w:after="120"/>
        <w:jc w:val="center"/>
      </w:pPr>
      <w:r>
        <w:rPr>
          <w:rFonts w:ascii="Times New Roman" w:hAnsi="Times New Roman"/>
          <w:i/>
          <w:sz w:val="22"/>
        </w:rPr>
        <w:t>Rᵢⱼ(k) = B · log₂(1 + γᵢⱼ(k))    [bps]</w:t>
      </w:r>
      <w:r>
        <w:rPr>
          <w:rFonts w:ascii="Times New Roman" w:hAnsi="Times New Roman"/>
          <w:sz w:val="22"/>
        </w:rPr>
        <w:t xml:space="preserve">    ((7))</w:t>
      </w:r>
    </w:p>
    <w:p>
      <w:pPr>
        <w:ind w:firstLine="420"/>
      </w:pPr>
      <w:r>
        <w:rPr>
          <w:rFonts w:ascii="宋体" w:hAnsi="宋体" w:eastAsia="宋体"/>
        </w:rPr>
        <w:t>数据率是通信质量的直观度量，直接反映链路的"信息传输能力"。在协同搜索场景中，数据率影响UAV之间共享传感器数据（如图像/目标检测结果）的速度。Rᵢⱼ(k) ≥ R_min 是链路被纳入通信图的必要条件之一，R_min 的建议值为 100 kbps（可支持遥测数据和低分辨率压缩图像的传输）。</w:t>
      </w:r>
    </w:p>
    <w:p>
      <w:r>
        <w:br w:type="page"/>
      </w:r>
    </w:p>
    <w:p>
      <w:pPr>
        <w:pStyle w:val="Heading1"/>
      </w:pPr>
      <w:r>
        <w:t>四、双层通信图模型</w:t>
      </w:r>
    </w:p>
    <w:p>
      <w:pPr>
        <w:ind w:firstLine="420"/>
      </w:pPr>
      <w:r>
        <w:rPr>
          <w:rFonts w:ascii="宋体" w:hAnsi="宋体" w:eastAsia="宋体"/>
        </w:rPr>
        <w:t>在物理层SINR/数据率模型的基础上，构建双层通信图，以区分不同质量等级的通信链路。这是本模型区别于原算法"单层连通/不连通"判定的另一个核心改进。</w:t>
      </w:r>
    </w:p>
    <w:p>
      <w:pPr>
        <w:pStyle w:val="Heading2"/>
      </w:pPr>
      <w:r>
        <w:t>4.1 基本通信图 G^B</w:t>
      </w:r>
    </w:p>
    <w:p>
      <w:pPr>
        <w:ind w:firstLine="420"/>
      </w:pPr>
      <w:r>
        <w:rPr>
          <w:rFonts w:ascii="宋体" w:hAnsi="宋体" w:eastAsia="宋体"/>
        </w:rPr>
        <w:t>基本通信图 G^B(k) = (V, E^B(k)) 描述"能够通信"的链路集合——只要链路质量超过最低可用阈值即纳入。边的存在条件为：</w:t>
      </w:r>
    </w:p>
    <w:p>
      <w:pPr>
        <w:spacing w:before="120" w:after="120"/>
        <w:jc w:val="center"/>
      </w:pPr>
      <w:r>
        <w:rPr>
          <w:rFonts w:ascii="Times New Roman" w:hAnsi="Times New Roman"/>
          <w:i/>
          <w:sz w:val="22"/>
        </w:rPr>
        <w:t>eᵢⱼ^B(k) = 1  ⇔  dᵢⱼ(k) ≤ D_max  ∧  γᵢⱼ(k) ≥ γ_th  ∧  Rᵢⱼ(k) ≥ R_min</w:t>
      </w:r>
      <w:r>
        <w:rPr>
          <w:rFonts w:ascii="Times New Roman" w:hAnsi="Times New Roman"/>
          <w:sz w:val="22"/>
        </w:rPr>
        <w:t xml:space="preserve">    ((8))</w:t>
      </w:r>
    </w:p>
    <w:p>
      <w:pPr>
        <w:ind w:firstLine="420"/>
      </w:pPr>
      <w:r>
        <w:rPr>
          <w:rFonts w:ascii="宋体" w:hAnsi="宋体" w:eastAsia="宋体"/>
        </w:rPr>
        <w:t>G^B 既包含高质量的LoS链路，也包含信号衰减较大但仍然可用的NLoS链路。它定义了通信的"底线"——只要UAV能够通过G^B中的某条路径到达任意锚节点（USV），即认为该UAV"在网"，可以完成基本的遥测上传和指令接收。</w:t>
      </w:r>
    </w:p>
    <w:p>
      <w:pPr>
        <w:pStyle w:val="Heading2"/>
      </w:pPr>
      <w:r>
        <w:t>4.2 视距优质通信图 G^L</w:t>
      </w:r>
    </w:p>
    <w:p>
      <w:pPr>
        <w:ind w:firstLine="420"/>
      </w:pPr>
      <w:r>
        <w:rPr>
          <w:rFonts w:ascii="宋体" w:hAnsi="宋体" w:eastAsia="宋体"/>
        </w:rPr>
        <w:t>视距优质通信图 G^L(k) = (V, E^L(k)) 描述"高质量通信"的链路集合——不仅满足基本通信条件，还必须具备无遮挡的视距传播路径。边的存在条件在公式(8)的基础上增加LoS约束：</w:t>
      </w:r>
    </w:p>
    <w:p>
      <w:pPr>
        <w:spacing w:before="120" w:after="120"/>
        <w:jc w:val="center"/>
      </w:pPr>
      <w:r>
        <w:rPr>
          <w:rFonts w:ascii="Times New Roman" w:hAnsi="Times New Roman"/>
          <w:i/>
          <w:sz w:val="22"/>
        </w:rPr>
        <w:t>eᵢⱼ^L(k) = 1  ⇔  eᵢⱼ^B(k) = 1  ∧  LoSᵢⱼ(k) = 1</w:t>
      </w:r>
      <w:r>
        <w:rPr>
          <w:rFonts w:ascii="Times New Roman" w:hAnsi="Times New Roman"/>
          <w:sz w:val="22"/>
        </w:rPr>
        <w:t xml:space="preserve">    ((9))</w:t>
      </w:r>
    </w:p>
    <w:p>
      <w:pPr>
        <w:ind w:firstLine="420"/>
      </w:pPr>
      <w:r>
        <w:rPr>
          <w:rFonts w:ascii="宋体" w:hAnsi="宋体" w:eastAsia="宋体"/>
        </w:rPr>
        <w:t>G^L 是 G^B 的子图（E^L ⊆ E^B）。它定义了通信的"品质"——通过G^L连通的链路具有更低的路径损耗、更高的数据率和更稳定的信号质量，更适合传输大带宽的传感器数据（如高分辨率图像、实时视频）。</w:t>
      </w:r>
    </w:p>
    <w:p>
      <w:pPr>
        <w:pStyle w:val="Heading2"/>
      </w:pPr>
      <w:r>
        <w:t>4.3 服务接入变量</w:t>
      </w:r>
    </w:p>
    <w:p>
      <w:pPr>
        <w:ind w:firstLine="420"/>
      </w:pPr>
      <w:r>
        <w:rPr>
          <w:rFonts w:ascii="宋体" w:hAnsi="宋体" w:eastAsia="宋体"/>
        </w:rPr>
        <w:t>基于双层通信图，为每架UAV定义两个布尔服务接入变量，描述其在时刻 k 能否通过对应通信图到达至少一个锚节点（USV）：</w:t>
      </w:r>
    </w:p>
    <w:p>
      <w:pPr>
        <w:spacing w:before="120" w:after="120"/>
        <w:jc w:val="center"/>
      </w:pPr>
      <w:r>
        <w:rPr>
          <w:rFonts w:ascii="Times New Roman" w:hAnsi="Times New Roman"/>
          <w:i/>
          <w:sz w:val="22"/>
        </w:rPr>
        <w:t>aᵢ^B(k) = { 1,  G^B(k) 中存在从 uᵢ 到某 a ∈ A 的路径 ;  0,  否则</w:t>
      </w:r>
      <w:r>
        <w:rPr>
          <w:rFonts w:ascii="Times New Roman" w:hAnsi="Times New Roman"/>
          <w:sz w:val="22"/>
        </w:rPr>
        <w:t xml:space="preserve">    ((10))</w:t>
      </w:r>
    </w:p>
    <w:p>
      <w:pPr>
        <w:spacing w:before="120" w:after="120"/>
        <w:jc w:val="center"/>
      </w:pPr>
      <w:r>
        <w:rPr>
          <w:rFonts w:ascii="Times New Roman" w:hAnsi="Times New Roman"/>
          <w:i/>
          <w:sz w:val="22"/>
        </w:rPr>
        <w:t>aᵢ^L(k) = { 1,  G^L(k) 中存在从 uᵢ 到某 a ∈ A 的路径 ;  0,  否则</w:t>
      </w:r>
      <w:r>
        <w:rPr>
          <w:rFonts w:ascii="Times New Roman" w:hAnsi="Times New Roman"/>
          <w:sz w:val="22"/>
        </w:rPr>
        <w:t xml:space="preserve">    ((11))</w:t>
      </w:r>
    </w:p>
    <w:p>
      <w:pPr>
        <w:ind w:firstLine="420"/>
      </w:pPr>
      <w:r>
        <w:rPr>
          <w:rFonts w:ascii="宋体" w:hAnsi="宋体" w:eastAsia="宋体"/>
        </w:rPr>
        <w:t>aᵢ^B(k) = 1 意味着"不失联"（基本通信有保障）；aᵢ^L(k) = 1 意味着"高质量通信"（LoS链路可用）。这两个变量是后续通信硬约束和评价指标的核心输入。</w:t>
      </w:r>
    </w:p>
    <w:p>
      <w:pPr>
        <w:pStyle w:val="Heading2"/>
      </w:pPr>
      <w:r>
        <w:t>4.4 中继与多跳连通</w:t>
      </w:r>
    </w:p>
    <w:p>
      <w:pPr>
        <w:ind w:firstLine="420"/>
      </w:pPr>
      <w:r>
        <w:rPr>
          <w:rFonts w:ascii="宋体" w:hAnsi="宋体" w:eastAsia="宋体"/>
        </w:rPr>
        <w:t>路径存在性通过图的连通分量分析确定。具体地，对于通信图 G（G^B 或 G^L）：</w:t>
      </w:r>
    </w:p>
    <w:p>
      <w:pPr>
        <w:pStyle w:val="ListBullet"/>
        <w:ind w:left="720"/>
      </w:pPr>
      <w:r>
        <w:t>UAV-USV 链路：若 eᵢⱼ = 1（UAV uᵢ 与 USV sⱼ 间链路存在），则 uᵢ 可直接接入锚节点；</w:t>
      </w:r>
    </w:p>
    <w:p>
      <w:pPr>
        <w:pStyle w:val="ListBullet"/>
        <w:ind w:left="720"/>
      </w:pPr>
      <w:r>
        <w:t>UAV-UAV 链路：若 eᵢⱼ = 1（UAV uᵢ 与 UAV uⱼ 间链路存在），则两架UAV属于同一个连通分量；</w:t>
      </w:r>
    </w:p>
    <w:p>
      <w:pPr>
        <w:pStyle w:val="ListBullet"/>
        <w:ind w:left="720"/>
      </w:pPr>
      <w:r>
        <w:t>连通分量规则：若某连通分量中至少存在一架UAV可直接接入某USV，则该分量内所有UAV均可通过多跳中继接入锚节点网络（aᵢ = 1）。</w:t>
      </w:r>
    </w:p>
    <w:p>
      <w:pPr>
        <w:pStyle w:val="ListBullet"/>
        <w:ind w:left="720"/>
      </w:pPr>
      <w:r>
        <w:t>USV间通信：所有USV之间默认全时全联通（水面视距条件良好，且USV间距通常在通信范围内）。</w:t>
      </w:r>
    </w:p>
    <w:p>
      <w:pPr>
        <w:ind w:firstLine="420"/>
      </w:pPr>
      <w:r>
        <w:rPr>
          <w:rFonts w:ascii="宋体" w:hAnsi="宋体" w:eastAsia="宋体"/>
        </w:rPr>
        <w:t>连通分量分析采用广度优先搜索（BFS）在UAV邻接矩阵上执行，时间复杂度 O(Nu²)，在当前集群规模（Nu ≤ 10）下计算开销可忽略。</w:t>
      </w:r>
    </w:p>
    <w:p>
      <w:r>
        <w:br w:type="page"/>
      </w:r>
    </w:p>
    <w:p>
      <w:pPr>
        <w:pStyle w:val="Heading1"/>
      </w:pPr>
      <w:r>
        <w:t>五、通信硬约束设计</w:t>
      </w:r>
    </w:p>
    <w:p>
      <w:pPr>
        <w:ind w:firstLine="420"/>
      </w:pPr>
      <w:r>
        <w:rPr>
          <w:rFonts w:ascii="宋体" w:hAnsi="宋体" w:eastAsia="宋体"/>
        </w:rPr>
        <w:t>通信硬约束是本模型区别于原算法的最关键创新。原算法将通信质量作为评分函数中的一个加权项（commQualityWeight × relayScore + commLosWeight × losScore），本质上是一种"软建议"——UAV在决策时可以选择牺牲通信来追求更高的覆盖率。这在通信条件恶劣的地形环境下可能导致某些UAV长时间失联，无法回传搜索信息，甚至无法接收任务更新指令。</w:t>
      </w:r>
    </w:p>
    <w:p>
      <w:pPr>
        <w:ind w:firstLine="420"/>
      </w:pPr>
      <w:r>
        <w:rPr>
          <w:rFonts w:ascii="宋体" w:hAnsi="宋体" w:eastAsia="宋体"/>
        </w:rPr>
        <w:t>本模型将通信从"优化目标"升级为"硬约束"，嵌入路径规划的候选动作筛选环节。共设计两条硬约束：</w:t>
      </w:r>
    </w:p>
    <w:p>
      <w:pPr>
        <w:pStyle w:val="Heading2"/>
      </w:pPr>
      <w:r>
        <w:t>5.1 基本通信服务率约束</w:t>
      </w:r>
    </w:p>
    <w:p>
      <w:pPr>
        <w:ind w:firstLine="420"/>
      </w:pPr>
      <w:r>
        <w:rPr>
          <w:rFonts w:ascii="宋体" w:hAnsi="宋体" w:eastAsia="宋体"/>
        </w:rPr>
        <w:t>在整个任务时段内，每架UAV接入基本通信网络的时间比例不得低于给定阈值。该约束确保UAV不会为了追求覆盖率而长期脱离通信网络。数学表述为：</w:t>
      </w:r>
    </w:p>
    <w:p>
      <w:pPr>
        <w:spacing w:before="120" w:after="120"/>
        <w:jc w:val="center"/>
      </w:pPr>
      <w:r>
        <w:rPr>
          <w:rFonts w:ascii="Times New Roman" w:hAnsi="Times New Roman"/>
          <w:i/>
          <w:sz w:val="22"/>
        </w:rPr>
        <w:t>(1/K) · Σ_{k=1}^{K} aᵢ^B(k) ≥ η_B^{min},    ∀ i ∈ U</w:t>
      </w:r>
      <w:r>
        <w:rPr>
          <w:rFonts w:ascii="Times New Roman" w:hAnsi="Times New Roman"/>
          <w:sz w:val="22"/>
        </w:rPr>
        <w:t xml:space="preserve">    ((12))</w:t>
      </w:r>
    </w:p>
    <w:p>
      <w:pPr>
        <w:ind w:firstLine="420"/>
      </w:pPr>
      <w:r>
        <w:rPr>
          <w:rFonts w:ascii="宋体" w:hAnsi="宋体" w:eastAsia="宋体"/>
        </w:rPr>
        <w:t>其中：</w:t>
      </w:r>
    </w:p>
    <w:p>
      <w:pPr>
        <w:pStyle w:val="ListBullet"/>
        <w:ind w:left="720"/>
      </w:pPr>
      <w:r>
        <w:t>aᵢ^B(k) ∈ {0, 1}：UAV i 在时刻 k 的基本通信服务接入状态；</w:t>
      </w:r>
    </w:p>
    <w:p>
      <w:pPr>
        <w:pStyle w:val="ListBullet"/>
        <w:ind w:left="720"/>
      </w:pPr>
      <w:r>
        <w:t>K：任务总时步数；</w:t>
      </w:r>
    </w:p>
    <w:p>
      <w:pPr>
        <w:pStyle w:val="ListBullet"/>
        <w:ind w:left="720"/>
      </w:pPr>
      <w:r>
        <w:t>η_B^{min}：基本通信服务率最低阈值，建议值 0.85。</w:t>
      </w:r>
    </w:p>
    <w:p>
      <w:pPr>
        <w:ind w:firstLine="420"/>
      </w:pPr>
      <w:r>
        <w:rPr>
          <w:rFonts w:ascii="宋体" w:hAnsi="宋体" w:eastAsia="宋体"/>
        </w:rPr>
        <w:t>η_B^{min} = 0.85 的含义是：在任务全过程中，每架UAV至少有85%的时间能够通过某种方式（直接LoS、经NLoS中继、或多跳）接入锚节点网络。剩余的15%时间允许因地形遮挡等原因暂时失联，但这一比例受到严格控制。</w:t>
      </w:r>
    </w:p>
    <w:p>
      <w:pPr>
        <w:pStyle w:val="Heading2"/>
      </w:pPr>
      <w:r>
        <w:t>5.2 最大连续断连时长约束</w:t>
      </w:r>
    </w:p>
    <w:p>
      <w:pPr>
        <w:ind w:firstLine="420"/>
      </w:pPr>
      <w:r>
        <w:rPr>
          <w:rFonts w:ascii="宋体" w:hAnsi="宋体" w:eastAsia="宋体"/>
        </w:rPr>
        <w:t>基本通信服务率约束保证了长期平均水平，但不能防止"长时间连续失联"的极端情况。例如，一架UAV在任务前半段始终在线、后半段完全失联，其平均服务率可能仍然达标，但连续失联期间可能错过关键搜索发现或遭遇安全风险。因此增设第二道约束：</w:t>
      </w:r>
    </w:p>
    <w:p>
      <w:pPr>
        <w:spacing w:before="120" w:after="120"/>
        <w:jc w:val="center"/>
      </w:pPr>
      <w:r>
        <w:rPr>
          <w:rFonts w:ascii="Times New Roman" w:hAnsi="Times New Roman"/>
          <w:i/>
          <w:sz w:val="22"/>
        </w:rPr>
        <w:t>τᵢ^{out} = max{连续 aᵢ^B(k) = 0 的步数} ≤ τ_{max},    ∀ i ∈ U</w:t>
      </w:r>
      <w:r>
        <w:rPr>
          <w:rFonts w:ascii="Times New Roman" w:hAnsi="Times New Roman"/>
          <w:sz w:val="22"/>
        </w:rPr>
        <w:t xml:space="preserve">    ((13))</w:t>
      </w:r>
    </w:p>
    <w:p>
      <w:pPr>
        <w:ind w:firstLine="420"/>
      </w:pPr>
      <w:r>
        <w:rPr>
          <w:rFonts w:ascii="宋体" w:hAnsi="宋体" w:eastAsia="宋体"/>
        </w:rPr>
        <w:t>其中：</w:t>
      </w:r>
    </w:p>
    <w:p>
      <w:pPr>
        <w:pStyle w:val="ListBullet"/>
        <w:ind w:left="720"/>
      </w:pPr>
      <w:r>
        <w:t>τᵢ^{out}：UAV i 在整个任务中的最大连续断连步数；</w:t>
      </w:r>
    </w:p>
    <w:p>
      <w:pPr>
        <w:pStyle w:val="ListBullet"/>
        <w:ind w:left="720"/>
      </w:pPr>
      <w:r>
        <w:t>τ_{max}：最大允许连续断连步数，建议值 30 步（对应 300 秒，以 dt = 10 s 计）。</w:t>
      </w:r>
    </w:p>
    <w:p>
      <w:pPr>
        <w:ind w:firstLine="420"/>
      </w:pPr>
      <w:r>
        <w:rPr>
          <w:rFonts w:ascii="宋体" w:hAnsi="宋体" w:eastAsia="宋体"/>
        </w:rPr>
        <w:t>τ_{max} = 30 步（300秒）的设计考虑了以下因素：（1）搜索任务的传感器数据回传需求——UAV每30步（5分钟）内应至少回传一次搜索进度；（2）安全性——指挥中心需要定期确认UAV状态；（3）UAV飞行速度 20 m/s，300秒可飞行 6 km——在通信半径 3.5 km 的海域环境中，这给了UAV足够的时间和空间从遮挡区域飞出并重建通信链路。</w:t>
      </w:r>
    </w:p>
    <w:p>
      <w:pPr>
        <w:pStyle w:val="Heading2"/>
      </w:pPr>
      <w:r>
        <w:t>5.3 约束的算法集成方式</w:t>
      </w:r>
    </w:p>
    <w:p>
      <w:pPr>
        <w:ind w:firstLine="420"/>
      </w:pPr>
      <w:r>
        <w:rPr>
          <w:rFonts w:ascii="宋体" w:hAnsi="宋体" w:eastAsia="宋体"/>
        </w:rPr>
        <w:t>通信硬约束在路径规划的候选动作评估阶段执行。集成方式采用"自适应硬过滤"策略：</w:t>
      </w:r>
    </w:p>
    <w:p>
      <w:r>
        <w:rPr>
          <w:rFonts w:ascii="宋体" w:hAnsi="宋体" w:eastAsia="宋体"/>
          <w:b/>
        </w:rPr>
        <w:t>步骤一（硬过滤）：</w:t>
      </w:r>
    </w:p>
    <w:p>
      <w:pPr>
        <w:ind w:firstLine="420"/>
      </w:pPr>
      <w:r>
        <w:rPr>
          <w:rFonts w:ascii="宋体" w:hAnsi="宋体" w:eastAsia="宋体"/>
        </w:rPr>
        <w:t>在 selectBestAction() 函数中，对每个候选动作（候选航向角），预估执行该动作后UAV的位置，然后调用 buildUAVRelayGraph() 更新通信图，检查是否满足约束(12)和(13)。不满足的候选动作标记为不可行（评分 = -Inf），从候选集中排除。</w:t>
      </w:r>
    </w:p>
    <w:p>
      <w:r>
        <w:rPr>
          <w:rFonts w:ascii="宋体" w:hAnsi="宋体" w:eastAsia="宋体"/>
          <w:b/>
        </w:rPr>
        <w:t>步骤二（自适应降级）：</w:t>
      </w:r>
    </w:p>
    <w:p>
      <w:pPr>
        <w:ind w:firstLine="420"/>
      </w:pPr>
      <w:r>
        <w:rPr>
          <w:rFonts w:ascii="宋体" w:hAnsi="宋体" w:eastAsia="宋体"/>
        </w:rPr>
        <w:t>若所有候选动作均不满足硬约束（极少数地形极端恶劣情况下可能出现），则临时放宽 τ_{max} （如扩大50%），重新筛选。若仍无可行解，进一步放宽 η_B^{min}。记录每次约束放宽为"约束违反事件"，作为事后通信评价的一项统计。</w:t>
      </w:r>
    </w:p>
    <w:p>
      <w:r>
        <w:rPr>
          <w:rFonts w:ascii="宋体" w:hAnsi="宋体" w:eastAsia="宋体"/>
          <w:b/>
        </w:rPr>
        <w:t>步骤三（正常评分）：</w:t>
      </w:r>
    </w:p>
    <w:p>
      <w:pPr>
        <w:ind w:firstLine="420"/>
      </w:pPr>
      <w:r>
        <w:rPr>
          <w:rFonts w:ascii="宋体" w:hAnsi="宋体" w:eastAsia="宋体"/>
        </w:rPr>
        <w:t>对通过约束筛选的候选动作，按正常评分函数计算综合得分（覆盖率增益 + 熵增益 + 信息素引导 + 通信软项 + 空间分布项），选出最优动作。</w:t>
      </w:r>
    </w:p>
    <w:p>
      <w:pPr>
        <w:ind w:firstLine="420"/>
      </w:pPr>
      <w:r>
        <w:rPr>
          <w:rFonts w:ascii="宋体" w:hAnsi="宋体" w:eastAsia="宋体"/>
        </w:rPr>
        <w:t>该自适应策略兼顾了约束的严格性和算法的鲁棒性——在绝大多数情况下严格遵守通信约束，在极端地形下确保算法不因无解而卡死，并将约束违反记录下来供事后分析。</w:t>
      </w:r>
    </w:p>
    <w:p>
      <w:r>
        <w:br w:type="page"/>
      </w:r>
    </w:p>
    <w:p>
      <w:pPr>
        <w:pStyle w:val="Heading1"/>
      </w:pPr>
      <w:r>
        <w:t>六、通信评价指标体系</w:t>
      </w:r>
    </w:p>
    <w:p>
      <w:pPr>
        <w:pStyle w:val="Heading2"/>
      </w:pPr>
      <w:r>
        <w:t>6.1 指标总览</w:t>
      </w:r>
    </w:p>
    <w:p>
      <w:pPr>
        <w:ind w:firstLine="420"/>
      </w:pPr>
      <w:r>
        <w:rPr>
          <w:rFonts w:ascii="宋体" w:hAnsi="宋体" w:eastAsia="宋体"/>
        </w:rPr>
        <w:t>通信评价指标在仿真结束后统计，不参与在线路径规划决策，用于全面评估通信效果。共设计8项指标，覆盖服务可用性、链路质量、路径质量、网络鲁棒性和极端行为五个维度。</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D9E2F3"/>
          </w:tcPr>
          <w:p>
            <w:pPr>
              <w:jc w:val="center"/>
            </w:pPr>
            <w:r/>
            <w:r>
              <w:rPr>
                <w:rFonts w:ascii="宋体" w:hAnsi="宋体" w:eastAsia="宋体"/>
                <w:b/>
                <w:sz w:val="20"/>
              </w:rPr>
              <w:t>维度</w:t>
            </w:r>
          </w:p>
        </w:tc>
        <w:tc>
          <w:tcPr>
            <w:tcW w:type="dxa" w:w="2551"/>
            <w:shd w:fill="D9E2F3"/>
          </w:tcPr>
          <w:p>
            <w:pPr>
              <w:jc w:val="center"/>
            </w:pPr>
            <w:r/>
            <w:r>
              <w:rPr>
                <w:rFonts w:ascii="宋体" w:hAnsi="宋体" w:eastAsia="宋体"/>
                <w:b/>
                <w:sz w:val="20"/>
              </w:rPr>
              <w:t>指标名称</w:t>
            </w:r>
          </w:p>
        </w:tc>
        <w:tc>
          <w:tcPr>
            <w:tcW w:type="dxa" w:w="2835"/>
            <w:shd w:fill="D9E2F3"/>
          </w:tcPr>
          <w:p>
            <w:pPr>
              <w:jc w:val="center"/>
            </w:pPr>
            <w:r/>
            <w:r>
              <w:rPr>
                <w:rFonts w:ascii="宋体" w:hAnsi="宋体" w:eastAsia="宋体"/>
                <w:b/>
                <w:sz w:val="20"/>
              </w:rPr>
              <w:t>定义</w:t>
            </w:r>
          </w:p>
        </w:tc>
        <w:tc>
          <w:tcPr>
            <w:tcW w:type="dxa" w:w="1701"/>
            <w:shd w:fill="D9E2F3"/>
          </w:tcPr>
          <w:p>
            <w:pPr>
              <w:jc w:val="center"/>
            </w:pPr>
            <w:r/>
            <w:r>
              <w:rPr>
                <w:rFonts w:ascii="宋体" w:hAnsi="宋体" w:eastAsia="宋体"/>
                <w:b/>
                <w:sz w:val="20"/>
              </w:rPr>
              <w:t>期望范围</w:t>
            </w:r>
          </w:p>
        </w:tc>
      </w:tr>
      <w:tr>
        <w:tc>
          <w:tcPr>
            <w:tcW w:type="dxa" w:w="1417"/>
          </w:tcPr>
          <w:p>
            <w:r/>
            <w:r>
              <w:rPr>
                <w:rFonts w:ascii="宋体" w:hAnsi="宋体" w:eastAsia="宋体"/>
                <w:sz w:val="20"/>
              </w:rPr>
              <w:t>服务可用性</w:t>
            </w:r>
          </w:p>
        </w:tc>
        <w:tc>
          <w:tcPr>
            <w:tcW w:type="dxa" w:w="2551"/>
          </w:tcPr>
          <w:p>
            <w:r/>
            <w:r>
              <w:rPr>
                <w:rFonts w:ascii="宋体" w:hAnsi="宋体" w:eastAsia="宋体"/>
                <w:sz w:val="20"/>
              </w:rPr>
              <w:t>1. 基本通信服务率 η_B</w:t>
            </w:r>
          </w:p>
        </w:tc>
        <w:tc>
          <w:tcPr>
            <w:tcW w:type="dxa" w:w="2835"/>
          </w:tcPr>
          <w:p>
            <w:r/>
            <w:r>
              <w:rPr>
                <w:rFonts w:ascii="宋体" w:hAnsi="宋体" w:eastAsia="宋体"/>
                <w:sz w:val="20"/>
              </w:rPr>
              <w:t>UAV平均接入G^B的时间比例</w:t>
            </w:r>
          </w:p>
        </w:tc>
        <w:tc>
          <w:tcPr>
            <w:tcW w:type="dxa" w:w="1701"/>
          </w:tcPr>
          <w:p>
            <w:r/>
            <w:r>
              <w:rPr>
                <w:rFonts w:ascii="宋体" w:hAnsi="宋体" w:eastAsia="宋体"/>
                <w:sz w:val="20"/>
              </w:rPr>
              <w:t>∈ [0, 1]，越高越好</w:t>
            </w:r>
          </w:p>
        </w:tc>
      </w:tr>
      <w:tr>
        <w:tc>
          <w:tcPr>
            <w:tcW w:type="dxa" w:w="1417"/>
          </w:tcPr>
          <w:p>
            <w:r/>
            <w:r>
              <w:rPr>
                <w:rFonts w:ascii="宋体" w:hAnsi="宋体" w:eastAsia="宋体"/>
                <w:sz w:val="20"/>
              </w:rPr>
              <w:t>服务可用性</w:t>
            </w:r>
          </w:p>
        </w:tc>
        <w:tc>
          <w:tcPr>
            <w:tcW w:type="dxa" w:w="2551"/>
          </w:tcPr>
          <w:p>
            <w:r/>
            <w:r>
              <w:rPr>
                <w:rFonts w:ascii="宋体" w:hAnsi="宋体" w:eastAsia="宋体"/>
                <w:sz w:val="20"/>
              </w:rPr>
              <w:t>2. LoS通信服务率 η_L</w:t>
            </w:r>
          </w:p>
        </w:tc>
        <w:tc>
          <w:tcPr>
            <w:tcW w:type="dxa" w:w="2835"/>
          </w:tcPr>
          <w:p>
            <w:r/>
            <w:r>
              <w:rPr>
                <w:rFonts w:ascii="宋体" w:hAnsi="宋体" w:eastAsia="宋体"/>
                <w:sz w:val="20"/>
              </w:rPr>
              <w:t>UAV平均接入G^L的时间比例</w:t>
            </w:r>
          </w:p>
        </w:tc>
        <w:tc>
          <w:tcPr>
            <w:tcW w:type="dxa" w:w="1701"/>
          </w:tcPr>
          <w:p>
            <w:r/>
            <w:r>
              <w:rPr>
                <w:rFonts w:ascii="宋体" w:hAnsi="宋体" w:eastAsia="宋体"/>
                <w:sz w:val="20"/>
              </w:rPr>
              <w:t>∈ [0, 1]，核心指标</w:t>
            </w:r>
          </w:p>
        </w:tc>
      </w:tr>
      <w:tr>
        <w:tc>
          <w:tcPr>
            <w:tcW w:type="dxa" w:w="1417"/>
          </w:tcPr>
          <w:p>
            <w:r/>
            <w:r>
              <w:rPr>
                <w:rFonts w:ascii="宋体" w:hAnsi="宋体" w:eastAsia="宋体"/>
                <w:sz w:val="20"/>
              </w:rPr>
              <w:t>链路质量</w:t>
            </w:r>
          </w:p>
        </w:tc>
        <w:tc>
          <w:tcPr>
            <w:tcW w:type="dxa" w:w="2551"/>
          </w:tcPr>
          <w:p>
            <w:r/>
            <w:r>
              <w:rPr>
                <w:rFonts w:ascii="宋体" w:hAnsi="宋体" w:eastAsia="宋体"/>
                <w:sz w:val="20"/>
              </w:rPr>
              <w:t>3. 平均LoS链路比 ρ_LoS</w:t>
            </w:r>
          </w:p>
        </w:tc>
        <w:tc>
          <w:tcPr>
            <w:tcW w:type="dxa" w:w="2835"/>
          </w:tcPr>
          <w:p>
            <w:r/>
            <w:r>
              <w:rPr>
                <w:rFonts w:ascii="宋体" w:hAnsi="宋体" w:eastAsia="宋体"/>
                <w:sz w:val="20"/>
              </w:rPr>
              <w:t>所有链路中LoS链路占比</w:t>
            </w:r>
          </w:p>
        </w:tc>
        <w:tc>
          <w:tcPr>
            <w:tcW w:type="dxa" w:w="1701"/>
          </w:tcPr>
          <w:p>
            <w:r/>
            <w:r>
              <w:rPr>
                <w:rFonts w:ascii="宋体" w:hAnsi="宋体" w:eastAsia="宋体"/>
                <w:sz w:val="20"/>
              </w:rPr>
              <w:t>∈ [0, 1]，越高越好</w:t>
            </w:r>
          </w:p>
        </w:tc>
      </w:tr>
      <w:tr>
        <w:tc>
          <w:tcPr>
            <w:tcW w:type="dxa" w:w="1417"/>
          </w:tcPr>
          <w:p>
            <w:r/>
            <w:r>
              <w:rPr>
                <w:rFonts w:ascii="宋体" w:hAnsi="宋体" w:eastAsia="宋体"/>
                <w:sz w:val="20"/>
              </w:rPr>
              <w:t>链路质量</w:t>
            </w:r>
          </w:p>
        </w:tc>
        <w:tc>
          <w:tcPr>
            <w:tcW w:type="dxa" w:w="2551"/>
          </w:tcPr>
          <w:p>
            <w:r/>
            <w:r>
              <w:rPr>
                <w:rFonts w:ascii="宋体" w:hAnsi="宋体" w:eastAsia="宋体"/>
                <w:sz w:val="20"/>
              </w:rPr>
              <w:t>4. 平均SINR γ̄</w:t>
            </w:r>
          </w:p>
        </w:tc>
        <w:tc>
          <w:tcPr>
            <w:tcW w:type="dxa" w:w="2835"/>
          </w:tcPr>
          <w:p>
            <w:r/>
            <w:r>
              <w:rPr>
                <w:rFonts w:ascii="宋体" w:hAnsi="宋体" w:eastAsia="宋体"/>
                <w:sz w:val="20"/>
              </w:rPr>
              <w:t>活跃链路的SINR均值（dB）</w:t>
            </w:r>
          </w:p>
        </w:tc>
        <w:tc>
          <w:tcPr>
            <w:tcW w:type="dxa" w:w="1701"/>
          </w:tcPr>
          <w:p>
            <w:r/>
            <w:r>
              <w:rPr>
                <w:rFonts w:ascii="宋体" w:hAnsi="宋体" w:eastAsia="宋体"/>
                <w:sz w:val="20"/>
              </w:rPr>
              <w:t>≥ γ_th = 10 dB</w:t>
            </w:r>
          </w:p>
        </w:tc>
      </w:tr>
      <w:tr>
        <w:tc>
          <w:tcPr>
            <w:tcW w:type="dxa" w:w="1417"/>
          </w:tcPr>
          <w:p>
            <w:r/>
            <w:r>
              <w:rPr>
                <w:rFonts w:ascii="宋体" w:hAnsi="宋体" w:eastAsia="宋体"/>
                <w:sz w:val="20"/>
              </w:rPr>
              <w:t>链路质量</w:t>
            </w:r>
          </w:p>
        </w:tc>
        <w:tc>
          <w:tcPr>
            <w:tcW w:type="dxa" w:w="2551"/>
          </w:tcPr>
          <w:p>
            <w:r/>
            <w:r>
              <w:rPr>
                <w:rFonts w:ascii="宋体" w:hAnsi="宋体" w:eastAsia="宋体"/>
                <w:sz w:val="20"/>
              </w:rPr>
              <w:t>5. 平均数据率 R̄</w:t>
            </w:r>
          </w:p>
        </w:tc>
        <w:tc>
          <w:tcPr>
            <w:tcW w:type="dxa" w:w="2835"/>
          </w:tcPr>
          <w:p>
            <w:r/>
            <w:r>
              <w:rPr>
                <w:rFonts w:ascii="宋体" w:hAnsi="宋体" w:eastAsia="宋体"/>
                <w:sz w:val="20"/>
              </w:rPr>
              <w:t>活跃链路的Shannon容量均值</w:t>
            </w:r>
          </w:p>
        </w:tc>
        <w:tc>
          <w:tcPr>
            <w:tcW w:type="dxa" w:w="1701"/>
          </w:tcPr>
          <w:p>
            <w:r/>
            <w:r>
              <w:rPr>
                <w:rFonts w:ascii="宋体" w:hAnsi="宋体" w:eastAsia="宋体"/>
                <w:sz w:val="20"/>
              </w:rPr>
              <w:t>≥ R_min = 100 kbps</w:t>
            </w:r>
          </w:p>
        </w:tc>
      </w:tr>
      <w:tr>
        <w:tc>
          <w:tcPr>
            <w:tcW w:type="dxa" w:w="1417"/>
          </w:tcPr>
          <w:p>
            <w:r/>
            <w:r>
              <w:rPr>
                <w:rFonts w:ascii="宋体" w:hAnsi="宋体" w:eastAsia="宋体"/>
                <w:sz w:val="20"/>
              </w:rPr>
              <w:t>路径质量</w:t>
            </w:r>
          </w:p>
        </w:tc>
        <w:tc>
          <w:tcPr>
            <w:tcW w:type="dxa" w:w="2551"/>
          </w:tcPr>
          <w:p>
            <w:r/>
            <w:r>
              <w:rPr>
                <w:rFonts w:ascii="宋体" w:hAnsi="宋体" w:eastAsia="宋体"/>
                <w:sz w:val="20"/>
              </w:rPr>
              <w:t>6. 最优接入路径质量 Q̄</w:t>
            </w:r>
          </w:p>
        </w:tc>
        <w:tc>
          <w:tcPr>
            <w:tcW w:type="dxa" w:w="2835"/>
          </w:tcPr>
          <w:p>
            <w:r/>
            <w:r>
              <w:rPr>
                <w:rFonts w:ascii="宋体" w:hAnsi="宋体" w:eastAsia="宋体"/>
                <w:sz w:val="20"/>
              </w:rPr>
              <w:t>端到端最弱链路质量（考虑多跳）</w:t>
            </w:r>
          </w:p>
        </w:tc>
        <w:tc>
          <w:tcPr>
            <w:tcW w:type="dxa" w:w="1701"/>
          </w:tcPr>
          <w:p>
            <w:r/>
            <w:r>
              <w:rPr>
                <w:rFonts w:ascii="宋体" w:hAnsi="宋体" w:eastAsia="宋体"/>
                <w:sz w:val="20"/>
              </w:rPr>
              <w:t>∈ [0, 1]</w:t>
            </w:r>
          </w:p>
        </w:tc>
      </w:tr>
      <w:tr>
        <w:tc>
          <w:tcPr>
            <w:tcW w:type="dxa" w:w="1417"/>
          </w:tcPr>
          <w:p>
            <w:r/>
            <w:r>
              <w:rPr>
                <w:rFonts w:ascii="宋体" w:hAnsi="宋体" w:eastAsia="宋体"/>
                <w:sz w:val="20"/>
              </w:rPr>
              <w:t>网络鲁棒性</w:t>
            </w:r>
          </w:p>
        </w:tc>
        <w:tc>
          <w:tcPr>
            <w:tcW w:type="dxa" w:w="2551"/>
          </w:tcPr>
          <w:p>
            <w:r/>
            <w:r>
              <w:rPr>
                <w:rFonts w:ascii="宋体" w:hAnsi="宋体" w:eastAsia="宋体"/>
                <w:sz w:val="20"/>
              </w:rPr>
              <w:t>7. 平均代数连通度 λ̄₂</w:t>
            </w:r>
          </w:p>
        </w:tc>
        <w:tc>
          <w:tcPr>
            <w:tcW w:type="dxa" w:w="2835"/>
          </w:tcPr>
          <w:p>
            <w:r/>
            <w:r>
              <w:rPr>
                <w:rFonts w:ascii="宋体" w:hAnsi="宋体" w:eastAsia="宋体"/>
                <w:sz w:val="20"/>
              </w:rPr>
              <w:t>图Laplacian的Fiedler特征值</w:t>
            </w:r>
          </w:p>
        </w:tc>
        <w:tc>
          <w:tcPr>
            <w:tcW w:type="dxa" w:w="1701"/>
          </w:tcPr>
          <w:p>
            <w:r/>
            <w:r>
              <w:rPr>
                <w:rFonts w:ascii="宋体" w:hAnsi="宋体" w:eastAsia="宋体"/>
                <w:sz w:val="20"/>
              </w:rPr>
              <w:t>≥ 0（&gt;0即连通）</w:t>
            </w:r>
          </w:p>
        </w:tc>
      </w:tr>
      <w:tr>
        <w:tc>
          <w:tcPr>
            <w:tcW w:type="dxa" w:w="1417"/>
          </w:tcPr>
          <w:p>
            <w:r/>
            <w:r>
              <w:rPr>
                <w:rFonts w:ascii="宋体" w:hAnsi="宋体" w:eastAsia="宋体"/>
                <w:sz w:val="20"/>
              </w:rPr>
              <w:t>极端行为</w:t>
            </w:r>
          </w:p>
        </w:tc>
        <w:tc>
          <w:tcPr>
            <w:tcW w:type="dxa" w:w="2551"/>
          </w:tcPr>
          <w:p>
            <w:r/>
            <w:r>
              <w:rPr>
                <w:rFonts w:ascii="宋体" w:hAnsi="宋体" w:eastAsia="宋体"/>
                <w:sz w:val="20"/>
              </w:rPr>
              <w:t>8. 最大连续断连时长 τ_out^max</w:t>
            </w:r>
          </w:p>
        </w:tc>
        <w:tc>
          <w:tcPr>
            <w:tcW w:type="dxa" w:w="2835"/>
          </w:tcPr>
          <w:p>
            <w:r/>
            <w:r>
              <w:rPr>
                <w:rFonts w:ascii="宋体" w:hAnsi="宋体" w:eastAsia="宋体"/>
                <w:sz w:val="20"/>
              </w:rPr>
              <w:t>所有UAV中最长的连续失联步数</w:t>
            </w:r>
          </w:p>
        </w:tc>
        <w:tc>
          <w:tcPr>
            <w:tcW w:type="dxa" w:w="1701"/>
          </w:tcPr>
          <w:p>
            <w:r/>
            <w:r>
              <w:rPr>
                <w:rFonts w:ascii="宋体" w:hAnsi="宋体" w:eastAsia="宋体"/>
                <w:sz w:val="20"/>
              </w:rPr>
              <w:t>≤ τ_max = 30步</w:t>
            </w:r>
          </w:p>
        </w:tc>
      </w:tr>
    </w:tbl>
    <w:p/>
    <w:p>
      <w:pPr>
        <w:pStyle w:val="Heading2"/>
      </w:pPr>
      <w:r>
        <w:t>6.2 指标详解</w:t>
      </w:r>
    </w:p>
    <w:p>
      <w:r>
        <w:rPr>
          <w:rFonts w:ascii="宋体" w:hAnsi="宋体" w:eastAsia="宋体"/>
          <w:b/>
        </w:rPr>
        <w:t>指标1：基本通信服务率 η_B</w:t>
      </w:r>
    </w:p>
    <w:p>
      <w:pPr>
        <w:spacing w:before="120" w:after="120"/>
        <w:jc w:val="center"/>
      </w:pPr>
      <w:r>
        <w:rPr>
          <w:rFonts w:ascii="Times New Roman" w:hAnsi="Times New Roman"/>
          <w:i/>
          <w:sz w:val="22"/>
        </w:rPr>
        <w:t>η_B = (1 / (N_u · K)) · Σ_{i=1}^{N_u} Σ_{k=1}^{K} aᵢ^B(k)</w:t>
      </w:r>
      <w:r>
        <w:rPr>
          <w:rFonts w:ascii="Times New Roman" w:hAnsi="Times New Roman"/>
          <w:sz w:val="22"/>
        </w:rPr>
        <w:t xml:space="preserve">    ((14))</w:t>
      </w:r>
    </w:p>
    <w:p>
      <w:pPr>
        <w:ind w:firstLine="420"/>
      </w:pPr>
      <w:r>
        <w:rPr>
          <w:rFonts w:ascii="宋体" w:hAnsi="宋体" w:eastAsia="宋体"/>
        </w:rPr>
        <w:t>含义：任务全过程中，所有UAV接入基本通信网络（G^B）的平均时间比例。该指标反映通信的"底线保障"水平。当 η_B ≥ η_B^{min} = 0.85 时，硬约束(12)得以满足。若 η_B &lt; 0.85，说明硬约束在自适应降级过程中被触发，需结合约束违反记录分析原因。</w:t>
      </w:r>
    </w:p>
    <w:p>
      <w:r>
        <w:rPr>
          <w:rFonts w:ascii="宋体" w:hAnsi="宋体" w:eastAsia="宋体"/>
          <w:b/>
        </w:rPr>
        <w:t>指标2：LoS通信服务率 η_L（核心指标）</w:t>
      </w:r>
    </w:p>
    <w:p>
      <w:pPr>
        <w:spacing w:before="120" w:after="120"/>
        <w:jc w:val="center"/>
      </w:pPr>
      <w:r>
        <w:rPr>
          <w:rFonts w:ascii="Times New Roman" w:hAnsi="Times New Roman"/>
          <w:i/>
          <w:sz w:val="22"/>
        </w:rPr>
        <w:t>η_L = (1 / (N_u · K)) · Σ_{i=1}^{N_u} Σ_{k=1}^{K} aᵢ^L(k)</w:t>
      </w:r>
      <w:r>
        <w:rPr>
          <w:rFonts w:ascii="Times New Roman" w:hAnsi="Times New Roman"/>
          <w:sz w:val="22"/>
        </w:rPr>
        <w:t xml:space="preserve">    ((15))</w:t>
      </w:r>
    </w:p>
    <w:p>
      <w:pPr>
        <w:ind w:firstLine="420"/>
      </w:pPr>
      <w:r>
        <w:rPr>
          <w:rFonts w:ascii="宋体" w:hAnsi="宋体" w:eastAsia="宋体"/>
        </w:rPr>
        <w:t>含义：UAV通过LoS优质链路（G^L）接入锚节点的平均时间比例。与 η_B 不同，η_L 仅统计"端到端全程LoS"的链路——即从UAV到USV的整条多跳路径中每一跳都是LoS链路。η_L 是本研究的核心通信品质指标，直接反映地形遮挡对高质量通信的影响程度。η_L 不作为硬约束（仅作参考指标），因为某些任务阶段（如UAV飞越山体上空时）可能不可避免地出现短时NLoS，只要 G^B 保持连通即可保障基本通信。</w:t>
      </w:r>
    </w:p>
    <w:p>
      <w:r>
        <w:rPr>
          <w:rFonts w:ascii="宋体" w:hAnsi="宋体" w:eastAsia="宋体"/>
          <w:b/>
        </w:rPr>
        <w:t>指标3：平均LoS链路比 ρ_LoS</w:t>
      </w:r>
    </w:p>
    <w:p>
      <w:pPr>
        <w:spacing w:before="120" w:after="120"/>
        <w:jc w:val="center"/>
      </w:pPr>
      <w:r>
        <w:rPr>
          <w:rFonts w:ascii="Times New Roman" w:hAnsi="Times New Roman"/>
          <w:i/>
          <w:sz w:val="22"/>
        </w:rPr>
        <w:t>ρ_LoS = (1/K) · Σ_{k=1}^{K} [ Σ_{(i,j)} eᵢⱼ^L(k) / Σ_{(i,j)} eᵢⱼ^B(k) ]</w:t>
      </w:r>
      <w:r>
        <w:rPr>
          <w:rFonts w:ascii="Times New Roman" w:hAnsi="Times New Roman"/>
          <w:sz w:val="22"/>
        </w:rPr>
        <w:t xml:space="preserve">    ((16))</w:t>
      </w:r>
    </w:p>
    <w:p>
      <w:pPr>
        <w:ind w:firstLine="420"/>
      </w:pPr>
      <w:r>
        <w:rPr>
          <w:rFonts w:ascii="宋体" w:hAnsi="宋体" w:eastAsia="宋体"/>
        </w:rPr>
        <w:t>含义：所有活跃的基本链路中，具备LoS条件的链路所占比例。与 η_L（端到端视角）不同，ρ_LoS 是单跳链路视角的统计量。两者结合分析：ρ_LoS 高但 η_L 低，说明LoS链路存在但未能串联成端到端LoS路径（多跳中的某一跳为NLoS）；两者均高，说明地形对通信的整体影响较小。</w:t>
      </w:r>
    </w:p>
    <w:p>
      <w:r>
        <w:rPr>
          <w:rFonts w:ascii="宋体" w:hAnsi="宋体" w:eastAsia="宋体"/>
          <w:b/>
        </w:rPr>
        <w:t>指标4：平均SINR γ̄</w:t>
      </w:r>
    </w:p>
    <w:p>
      <w:pPr>
        <w:spacing w:before="120" w:after="120"/>
        <w:jc w:val="center"/>
      </w:pPr>
      <w:r>
        <w:rPr>
          <w:rFonts w:ascii="Times New Roman" w:hAnsi="Times New Roman"/>
          <w:i/>
          <w:sz w:val="22"/>
        </w:rPr>
        <w:t>γ̄_lin = (1 / Σ_{k} |E^B(k)|) · Σ_{k=1}^{K} Σ_{(i,j)∈E^B(k)} γᵢⱼ(k)</w:t>
      </w:r>
      <w:r>
        <w:rPr>
          <w:rFonts w:ascii="Times New Roman" w:hAnsi="Times New Roman"/>
          <w:sz w:val="22"/>
        </w:rPr>
        <w:t xml:space="preserve">    ((17))</w:t>
      </w:r>
    </w:p>
    <w:p>
      <w:pPr>
        <w:spacing w:before="120" w:after="120"/>
        <w:jc w:val="center"/>
      </w:pPr>
      <w:r>
        <w:rPr>
          <w:rFonts w:ascii="Times New Roman" w:hAnsi="Times New Roman"/>
          <w:i/>
          <w:sz w:val="22"/>
        </w:rPr>
        <w:t>γ̄_dB = 10 · log₁₀(γ̄_lin)</w:t>
      </w:r>
      <w:r>
        <w:rPr>
          <w:rFonts w:ascii="Times New Roman" w:hAnsi="Times New Roman"/>
          <w:sz w:val="22"/>
        </w:rPr>
        <w:t xml:space="preserve">    ((18))</w:t>
      </w:r>
    </w:p>
    <w:p>
      <w:pPr>
        <w:ind w:firstLine="420"/>
      </w:pPr>
      <w:r>
        <w:rPr>
          <w:rFonts w:ascii="宋体" w:hAnsi="宋体" w:eastAsia="宋体"/>
        </w:rPr>
        <w:t>含义：所有时刻所有活跃的基本链路的SINR算术平均（分别以线性值和dB值报告）。γ̄_dB 的预期值在 LoS 主导时约为 15-25 dB，在 NLoS 主导时约为 5-15 dB。若 γ̄_dB 持续低于 γ_th = 10 dB，说明当前通信参数配置（发射功率、带宽）不足以支撑可靠通信，需调整硬件参数或缩小任务区域。</w:t>
      </w:r>
    </w:p>
    <w:p>
      <w:r>
        <w:rPr>
          <w:rFonts w:ascii="宋体" w:hAnsi="宋体" w:eastAsia="宋体"/>
          <w:b/>
        </w:rPr>
        <w:t>指标5：平均数据率 R̄</w:t>
      </w:r>
    </w:p>
    <w:p>
      <w:pPr>
        <w:spacing w:before="120" w:after="120"/>
        <w:jc w:val="center"/>
      </w:pPr>
      <w:r>
        <w:rPr>
          <w:rFonts w:ascii="Times New Roman" w:hAnsi="Times New Roman"/>
          <w:i/>
          <w:sz w:val="22"/>
        </w:rPr>
        <w:t>R̄ = (1 / Σ_{k} |E^B(k)|) · Σ_{k=1}^{K} Σ_{(i,j)∈E^B(k)} B · log₂(1 + γᵢⱼ(k))</w:t>
      </w:r>
      <w:r>
        <w:rPr>
          <w:rFonts w:ascii="Times New Roman" w:hAnsi="Times New Roman"/>
          <w:sz w:val="22"/>
        </w:rPr>
        <w:t xml:space="preserve">    ((19))</w:t>
      </w:r>
    </w:p>
    <w:p>
      <w:pPr>
        <w:ind w:firstLine="420"/>
      </w:pPr>
      <w:r>
        <w:rPr>
          <w:rFonts w:ascii="宋体" w:hAnsi="宋体" w:eastAsia="宋体"/>
        </w:rPr>
        <w:t>含义：所有活跃链路Shannon容量的加权平均。R̄ 反映通信网络的总信息传输能力，单位为 bps。R̄ &gt;&gt; R_min = 100 kbps 表明有充足的带宽余量；R̄ 接近 R_min 表明通信带宽紧张，可能存在信息回传瓶颈。</w:t>
      </w:r>
    </w:p>
    <w:p>
      <w:r>
        <w:rPr>
          <w:rFonts w:ascii="宋体" w:hAnsi="宋体" w:eastAsia="宋体"/>
          <w:b/>
        </w:rPr>
        <w:t>指标6：最优接入路径质量 Q̄</w:t>
      </w:r>
    </w:p>
    <w:p>
      <w:pPr>
        <w:spacing w:before="120" w:after="120"/>
        <w:jc w:val="center"/>
      </w:pPr>
      <w:r>
        <w:rPr>
          <w:rFonts w:ascii="Times New Roman" w:hAnsi="Times New Roman"/>
          <w:i/>
          <w:sz w:val="22"/>
        </w:rPr>
        <w:t>Q̄ = (1 / (N_u · K)) · Σ_{i=1}^{N_u} Σ_{k=1}^{K} Qᵢ^*(k)</w:t>
      </w:r>
      <w:r>
        <w:rPr>
          <w:rFonts w:ascii="Times New Roman" w:hAnsi="Times New Roman"/>
          <w:sz w:val="22"/>
        </w:rPr>
        <w:t xml:space="preserve">    ((20))</w:t>
      </w:r>
    </w:p>
    <w:p>
      <w:pPr>
        <w:ind w:firstLine="420"/>
      </w:pPr>
      <w:r>
        <w:rPr>
          <w:rFonts w:ascii="宋体" w:hAnsi="宋体" w:eastAsia="宋体"/>
        </w:rPr>
        <w:t>其中 Qᵢ^*(k) 为UAV i 在时刻 k 到最近锚节点的最优路径质量，采用Dijkstra最短路径算法计算，边权重定义为每跳链路质量的复合函数：</w:t>
      </w:r>
    </w:p>
    <w:p>
      <w:pPr>
        <w:spacing w:before="120" w:after="120"/>
        <w:jc w:val="center"/>
      </w:pPr>
      <w:r>
        <w:rPr>
          <w:rFonts w:ascii="Times New Roman" w:hAnsi="Times New Roman"/>
          <w:i/>
          <w:sz w:val="22"/>
        </w:rPr>
        <w:t>q_mn(k) = w_γ · (γ_mn/γ_th) + w_R · (R_mn/R_min) + w_L · LoS_mn</w:t>
      </w:r>
      <w:r>
        <w:rPr>
          <w:rFonts w:ascii="Times New Roman" w:hAnsi="Times New Roman"/>
          <w:sz w:val="22"/>
        </w:rPr>
        <w:t xml:space="preserve">    ((21))</w:t>
      </w:r>
    </w:p>
    <w:p>
      <w:pPr>
        <w:ind w:firstLine="420"/>
      </w:pPr>
      <w:r>
        <w:rPr>
          <w:rFonts w:ascii="宋体" w:hAnsi="宋体" w:eastAsia="宋体"/>
        </w:rPr>
        <w:t>Qᵢ^*(k) 取路径上所有边 q_mn 的最小值（瓶颈链路原则：一条多跳路径的端到端质量由最差的那一跳决定）。权重建议 w_γ = 0.4, w_R = 0.3, w_L = 0.3。Q̄ ∈ [0, ~3]，值越大说明网络提供的端到端通信服务越好。</w:t>
      </w:r>
    </w:p>
    <w:p>
      <w:r>
        <w:rPr>
          <w:rFonts w:ascii="宋体" w:hAnsi="宋体" w:eastAsia="宋体"/>
          <w:b/>
        </w:rPr>
        <w:t>指标7：平均代数连通度 λ̄₂</w:t>
      </w:r>
    </w:p>
    <w:p>
      <w:pPr>
        <w:spacing w:before="120" w:after="120"/>
        <w:jc w:val="center"/>
      </w:pPr>
      <w:r>
        <w:rPr>
          <w:rFonts w:ascii="Times New Roman" w:hAnsi="Times New Roman"/>
          <w:i/>
          <w:sz w:val="22"/>
        </w:rPr>
        <w:t>λ̄₂ = (1/K) · Σ_{k=1}^{K} λ₂(L^B(k))</w:t>
      </w:r>
      <w:r>
        <w:rPr>
          <w:rFonts w:ascii="Times New Roman" w:hAnsi="Times New Roman"/>
          <w:sz w:val="22"/>
        </w:rPr>
        <w:t xml:space="preserve">    ((22))</w:t>
      </w:r>
    </w:p>
    <w:p>
      <w:pPr>
        <w:ind w:firstLine="420"/>
      </w:pPr>
      <w:r>
        <w:rPr>
          <w:rFonts w:ascii="宋体" w:hAnsi="宋体" w:eastAsia="宋体"/>
        </w:rPr>
        <w:t>其中 L^B(k) = D^B(k) − A^B(k) 为 G^B(k) 的图Laplacian矩阵，D 为度矩阵，A 为邻接矩阵。λ₂(L) 是Laplacian的第二小特征值（Fiedler特征值），是图连通性的谱度量。λ₂ &gt; 0 ⇔ 图连通；λ₂ 越大 ⇔ 网络对边移除的鲁棒性越强。λ̄₂ 提供了比"是否连通"更丰富的网络鲁棒性信息——两幅图可能都连通，但 λ₂ 更大的那幅图在部分链路失效时更不易分裂。</w:t>
      </w:r>
    </w:p>
    <w:p>
      <w:r>
        <w:rPr>
          <w:rFonts w:ascii="宋体" w:hAnsi="宋体" w:eastAsia="宋体"/>
          <w:b/>
        </w:rPr>
        <w:t>指标8：最大连续断连时长 τ_out^max</w:t>
      </w:r>
    </w:p>
    <w:p>
      <w:pPr>
        <w:spacing w:before="120" w:after="120"/>
        <w:jc w:val="center"/>
      </w:pPr>
      <w:r>
        <w:rPr>
          <w:rFonts w:ascii="Times New Roman" w:hAnsi="Times New Roman"/>
          <w:i/>
          <w:sz w:val="22"/>
        </w:rPr>
        <w:t>τ_out^{max} = max_{i ∈ U} τᵢ^{out}</w:t>
      </w:r>
      <w:r>
        <w:rPr>
          <w:rFonts w:ascii="Times New Roman" w:hAnsi="Times New Roman"/>
          <w:sz w:val="22"/>
        </w:rPr>
        <w:t xml:space="preserve">    ((23))</w:t>
      </w:r>
    </w:p>
    <w:p>
      <w:pPr>
        <w:ind w:firstLine="420"/>
      </w:pPr>
      <w:r>
        <w:rPr>
          <w:rFonts w:ascii="宋体" w:hAnsi="宋体" w:eastAsia="宋体"/>
        </w:rPr>
        <w:t>含义：所有UAV中最长的一次连续失联步数。τ_out^{max} 捕捉的是极端失联行为，是对平均指标 η_B 的补充——η_B 可能达标但 τ_out^{max} 过大的情况（"长时间在线 + 短时间严重失联"）需要被单独识别和关注。当 τ_out^{max} &gt; τ_max = 30 步时，说明硬约束在自适应降级时被突破。</w:t>
      </w:r>
    </w:p>
    <w:p>
      <w:r>
        <w:br w:type="page"/>
      </w:r>
    </w:p>
    <w:p>
      <w:pPr>
        <w:pStyle w:val="Heading1"/>
      </w:pPr>
      <w:r>
        <w:t>七、推荐参数配置</w:t>
      </w:r>
    </w:p>
    <w:p>
      <w:pPr>
        <w:ind w:firstLine="420"/>
      </w:pPr>
      <w:r>
        <w:rPr>
          <w:rFonts w:ascii="宋体" w:hAnsi="宋体" w:eastAsia="宋体"/>
        </w:rPr>
        <w:t>以下汇总本通信能力模型涉及的所有参数及其推荐值。参数分为三级：核心物理参数（需根据实际硬件标定）、模型配置参数（建议使用推荐值，可调整）、算法集成参数（影响路径规划行为，需根据任务需求设定）。</w:t>
      </w:r>
    </w:p>
    <w:p>
      <w:pPr>
        <w:pStyle w:val="Heading2"/>
      </w:pPr>
      <w:r>
        <w:t>7.1 物理层信道参数</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D9E2F3"/>
          </w:tcPr>
          <w:p>
            <w:pPr>
              <w:jc w:val="center"/>
            </w:pPr>
            <w:r/>
            <w:r>
              <w:rPr>
                <w:rFonts w:ascii="宋体" w:hAnsi="宋体" w:eastAsia="宋体"/>
                <w:b/>
                <w:sz w:val="20"/>
              </w:rPr>
              <w:t>参数</w:t>
            </w:r>
          </w:p>
        </w:tc>
        <w:tc>
          <w:tcPr>
            <w:tcW w:type="dxa" w:w="2551"/>
            <w:shd w:fill="D9E2F3"/>
          </w:tcPr>
          <w:p>
            <w:pPr>
              <w:jc w:val="center"/>
            </w:pPr>
            <w:r/>
            <w:r>
              <w:rPr>
                <w:rFonts w:ascii="宋体" w:hAnsi="宋体" w:eastAsia="宋体"/>
                <w:b/>
                <w:sz w:val="20"/>
              </w:rPr>
              <w:t>含义</w:t>
            </w:r>
          </w:p>
        </w:tc>
        <w:tc>
          <w:tcPr>
            <w:tcW w:type="dxa" w:w="2268"/>
            <w:shd w:fill="D9E2F3"/>
          </w:tcPr>
          <w:p>
            <w:pPr>
              <w:jc w:val="center"/>
            </w:pPr>
            <w:r/>
            <w:r>
              <w:rPr>
                <w:rFonts w:ascii="宋体" w:hAnsi="宋体" w:eastAsia="宋体"/>
                <w:b/>
                <w:sz w:val="20"/>
              </w:rPr>
              <w:t>推荐值</w:t>
            </w:r>
          </w:p>
        </w:tc>
        <w:tc>
          <w:tcPr>
            <w:tcW w:type="dxa" w:w="2551"/>
            <w:shd w:fill="D9E2F3"/>
          </w:tcPr>
          <w:p>
            <w:pPr>
              <w:jc w:val="center"/>
            </w:pPr>
            <w:r/>
            <w:r>
              <w:rPr>
                <w:rFonts w:ascii="宋体" w:hAnsi="宋体" w:eastAsia="宋体"/>
                <w:b/>
                <w:sz w:val="20"/>
              </w:rPr>
              <w:t>依据/说明</w:t>
            </w:r>
          </w:p>
        </w:tc>
      </w:tr>
      <w:tr>
        <w:tc>
          <w:tcPr>
            <w:tcW w:type="dxa" w:w="1134"/>
          </w:tcPr>
          <w:p>
            <w:r/>
            <w:r>
              <w:rPr>
                <w:rFonts w:ascii="宋体" w:hAnsi="宋体" w:eastAsia="宋体"/>
                <w:sz w:val="20"/>
              </w:rPr>
              <w:t>f_c</w:t>
            </w:r>
          </w:p>
        </w:tc>
        <w:tc>
          <w:tcPr>
            <w:tcW w:type="dxa" w:w="2551"/>
          </w:tcPr>
          <w:p>
            <w:r/>
            <w:r>
              <w:rPr>
                <w:rFonts w:ascii="宋体" w:hAnsi="宋体" w:eastAsia="宋体"/>
                <w:sz w:val="20"/>
              </w:rPr>
              <w:t>载波频率</w:t>
            </w:r>
          </w:p>
        </w:tc>
        <w:tc>
          <w:tcPr>
            <w:tcW w:type="dxa" w:w="2268"/>
          </w:tcPr>
          <w:p>
            <w:r/>
            <w:r>
              <w:rPr>
                <w:rFonts w:ascii="宋体" w:hAnsi="宋体" w:eastAsia="宋体"/>
                <w:sz w:val="20"/>
              </w:rPr>
              <w:t>2.4 GHz</w:t>
            </w:r>
          </w:p>
        </w:tc>
        <w:tc>
          <w:tcPr>
            <w:tcW w:type="dxa" w:w="2551"/>
          </w:tcPr>
          <w:p>
            <w:r/>
            <w:r>
              <w:rPr>
                <w:rFonts w:ascii="宋体" w:hAnsi="宋体" w:eastAsia="宋体"/>
                <w:sz w:val="20"/>
              </w:rPr>
              <w:t>常见ISM频段</w:t>
            </w:r>
          </w:p>
        </w:tc>
      </w:tr>
      <w:tr>
        <w:tc>
          <w:tcPr>
            <w:tcW w:type="dxa" w:w="1134"/>
          </w:tcPr>
          <w:p>
            <w:r/>
            <w:r>
              <w:rPr>
                <w:rFonts w:ascii="宋体" w:hAnsi="宋体" w:eastAsia="宋体"/>
                <w:sz w:val="20"/>
              </w:rPr>
              <w:t>λ</w:t>
            </w:r>
          </w:p>
        </w:tc>
        <w:tc>
          <w:tcPr>
            <w:tcW w:type="dxa" w:w="2551"/>
          </w:tcPr>
          <w:p>
            <w:r/>
            <w:r>
              <w:rPr>
                <w:rFonts w:ascii="宋体" w:hAnsi="宋体" w:eastAsia="宋体"/>
                <w:sz w:val="20"/>
              </w:rPr>
              <w:t>载波波长</w:t>
            </w:r>
          </w:p>
        </w:tc>
        <w:tc>
          <w:tcPr>
            <w:tcW w:type="dxa" w:w="2268"/>
          </w:tcPr>
          <w:p>
            <w:r/>
            <w:r>
              <w:rPr>
                <w:rFonts w:ascii="宋体" w:hAnsi="宋体" w:eastAsia="宋体"/>
                <w:sz w:val="20"/>
              </w:rPr>
              <w:t>0.125 m</w:t>
            </w:r>
          </w:p>
        </w:tc>
        <w:tc>
          <w:tcPr>
            <w:tcW w:type="dxa" w:w="2551"/>
          </w:tcPr>
          <w:p>
            <w:r/>
            <w:r>
              <w:rPr>
                <w:rFonts w:ascii="宋体" w:hAnsi="宋体" w:eastAsia="宋体"/>
                <w:sz w:val="20"/>
              </w:rPr>
              <w:t>c / f_c</w:t>
            </w:r>
          </w:p>
        </w:tc>
      </w:tr>
      <w:tr>
        <w:tc>
          <w:tcPr>
            <w:tcW w:type="dxa" w:w="1134"/>
          </w:tcPr>
          <w:p>
            <w:r/>
            <w:r>
              <w:rPr>
                <w:rFonts w:ascii="宋体" w:hAnsi="宋体" w:eastAsia="宋体"/>
                <w:sz w:val="20"/>
              </w:rPr>
              <w:t>Pₜ</w:t>
            </w:r>
          </w:p>
        </w:tc>
        <w:tc>
          <w:tcPr>
            <w:tcW w:type="dxa" w:w="2551"/>
          </w:tcPr>
          <w:p>
            <w:r/>
            <w:r>
              <w:rPr>
                <w:rFonts w:ascii="宋体" w:hAnsi="宋体" w:eastAsia="宋体"/>
                <w:sz w:val="20"/>
              </w:rPr>
              <w:t>发射功率</w:t>
            </w:r>
          </w:p>
        </w:tc>
        <w:tc>
          <w:tcPr>
            <w:tcW w:type="dxa" w:w="2268"/>
          </w:tcPr>
          <w:p>
            <w:r/>
            <w:r>
              <w:rPr>
                <w:rFonts w:ascii="宋体" w:hAnsi="宋体" w:eastAsia="宋体"/>
                <w:sz w:val="20"/>
              </w:rPr>
              <w:t>500 mW (27 dBm)</w:t>
            </w:r>
          </w:p>
        </w:tc>
        <w:tc>
          <w:tcPr>
            <w:tcW w:type="dxa" w:w="2551"/>
          </w:tcPr>
          <w:p>
            <w:r/>
            <w:r>
              <w:rPr>
                <w:rFonts w:ascii="宋体" w:hAnsi="宋体" w:eastAsia="宋体"/>
                <w:sz w:val="20"/>
              </w:rPr>
              <w:t>Kopeikin MIT (2012)</w:t>
            </w:r>
          </w:p>
        </w:tc>
      </w:tr>
      <w:tr>
        <w:tc>
          <w:tcPr>
            <w:tcW w:type="dxa" w:w="1134"/>
          </w:tcPr>
          <w:p>
            <w:r/>
            <w:r>
              <w:rPr>
                <w:rFonts w:ascii="宋体" w:hAnsi="宋体" w:eastAsia="宋体"/>
                <w:sz w:val="20"/>
              </w:rPr>
              <w:t>B</w:t>
            </w:r>
          </w:p>
        </w:tc>
        <w:tc>
          <w:tcPr>
            <w:tcW w:type="dxa" w:w="2551"/>
          </w:tcPr>
          <w:p>
            <w:r/>
            <w:r>
              <w:rPr>
                <w:rFonts w:ascii="宋体" w:hAnsi="宋体" w:eastAsia="宋体"/>
                <w:sz w:val="20"/>
              </w:rPr>
              <w:t>通信带宽</w:t>
            </w:r>
          </w:p>
        </w:tc>
        <w:tc>
          <w:tcPr>
            <w:tcW w:type="dxa" w:w="2268"/>
          </w:tcPr>
          <w:p>
            <w:r/>
            <w:r>
              <w:rPr>
                <w:rFonts w:ascii="宋体" w:hAnsi="宋体" w:eastAsia="宋体"/>
                <w:sz w:val="20"/>
              </w:rPr>
              <w:t>1 MHz</w:t>
            </w:r>
          </w:p>
        </w:tc>
        <w:tc>
          <w:tcPr>
            <w:tcW w:type="dxa" w:w="2551"/>
          </w:tcPr>
          <w:p>
            <w:r/>
            <w:r>
              <w:rPr>
                <w:rFonts w:ascii="宋体" w:hAnsi="宋体" w:eastAsia="宋体"/>
                <w:sz w:val="20"/>
              </w:rPr>
              <w:t>Kopeikin MIT (2012)</w:t>
            </w:r>
          </w:p>
        </w:tc>
      </w:tr>
      <w:tr>
        <w:tc>
          <w:tcPr>
            <w:tcW w:type="dxa" w:w="1134"/>
          </w:tcPr>
          <w:p>
            <w:r/>
            <w:r>
              <w:rPr>
                <w:rFonts w:ascii="宋体" w:hAnsi="宋体" w:eastAsia="宋体"/>
                <w:sz w:val="20"/>
              </w:rPr>
              <w:t>N₀</w:t>
            </w:r>
          </w:p>
        </w:tc>
        <w:tc>
          <w:tcPr>
            <w:tcW w:type="dxa" w:w="2551"/>
          </w:tcPr>
          <w:p>
            <w:r/>
            <w:r>
              <w:rPr>
                <w:rFonts w:ascii="宋体" w:hAnsi="宋体" w:eastAsia="宋体"/>
                <w:sz w:val="20"/>
              </w:rPr>
              <w:t>噪声功率谱密度</w:t>
            </w:r>
          </w:p>
        </w:tc>
        <w:tc>
          <w:tcPr>
            <w:tcW w:type="dxa" w:w="2268"/>
          </w:tcPr>
          <w:p>
            <w:r/>
            <w:r>
              <w:rPr>
                <w:rFonts w:ascii="宋体" w:hAnsi="宋体" w:eastAsia="宋体"/>
                <w:sz w:val="20"/>
              </w:rPr>
              <w:t>10⁻¹⁰ W/Hz</w:t>
            </w:r>
          </w:p>
        </w:tc>
        <w:tc>
          <w:tcPr>
            <w:tcW w:type="dxa" w:w="2551"/>
          </w:tcPr>
          <w:p>
            <w:r/>
            <w:r>
              <w:rPr>
                <w:rFonts w:ascii="宋体" w:hAnsi="宋体" w:eastAsia="宋体"/>
                <w:sz w:val="20"/>
              </w:rPr>
              <w:t>Kopeikin MIT (2012)</w:t>
            </w:r>
          </w:p>
        </w:tc>
      </w:tr>
      <w:tr>
        <w:tc>
          <w:tcPr>
            <w:tcW w:type="dxa" w:w="1134"/>
          </w:tcPr>
          <w:p>
            <w:r/>
            <w:r>
              <w:rPr>
                <w:rFonts w:ascii="宋体" w:hAnsi="宋体" w:eastAsia="宋体"/>
                <w:sz w:val="20"/>
              </w:rPr>
              <w:t>Gₜ, Gᵣ</w:t>
            </w:r>
          </w:p>
        </w:tc>
        <w:tc>
          <w:tcPr>
            <w:tcW w:type="dxa" w:w="2551"/>
          </w:tcPr>
          <w:p>
            <w:r/>
            <w:r>
              <w:rPr>
                <w:rFonts w:ascii="宋体" w:hAnsi="宋体" w:eastAsia="宋体"/>
                <w:sz w:val="20"/>
              </w:rPr>
              <w:t>天线增益</w:t>
            </w:r>
          </w:p>
        </w:tc>
        <w:tc>
          <w:tcPr>
            <w:tcW w:type="dxa" w:w="2268"/>
          </w:tcPr>
          <w:p>
            <w:r/>
            <w:r>
              <w:rPr>
                <w:rFonts w:ascii="宋体" w:hAnsi="宋体" w:eastAsia="宋体"/>
                <w:sz w:val="20"/>
              </w:rPr>
              <w:t>0 dBi</w:t>
            </w:r>
          </w:p>
        </w:tc>
        <w:tc>
          <w:tcPr>
            <w:tcW w:type="dxa" w:w="2551"/>
          </w:tcPr>
          <w:p>
            <w:r/>
            <w:r>
              <w:rPr>
                <w:rFonts w:ascii="宋体" w:hAnsi="宋体" w:eastAsia="宋体"/>
                <w:sz w:val="20"/>
              </w:rPr>
              <w:t>全向天线，保守假设</w:t>
            </w:r>
          </w:p>
        </w:tc>
      </w:tr>
      <w:tr>
        <w:tc>
          <w:tcPr>
            <w:tcW w:type="dxa" w:w="1134"/>
          </w:tcPr>
          <w:p>
            <w:r/>
            <w:r>
              <w:rPr>
                <w:rFonts w:ascii="宋体" w:hAnsi="宋体" w:eastAsia="宋体"/>
                <w:sz w:val="20"/>
              </w:rPr>
              <w:t>d₀</w:t>
            </w:r>
          </w:p>
        </w:tc>
        <w:tc>
          <w:tcPr>
            <w:tcW w:type="dxa" w:w="2551"/>
          </w:tcPr>
          <w:p>
            <w:r/>
            <w:r>
              <w:rPr>
                <w:rFonts w:ascii="宋体" w:hAnsi="宋体" w:eastAsia="宋体"/>
                <w:sz w:val="20"/>
              </w:rPr>
              <w:t>参考距离</w:t>
            </w:r>
          </w:p>
        </w:tc>
        <w:tc>
          <w:tcPr>
            <w:tcW w:type="dxa" w:w="2268"/>
          </w:tcPr>
          <w:p>
            <w:r/>
            <w:r>
              <w:rPr>
                <w:rFonts w:ascii="宋体" w:hAnsi="宋体" w:eastAsia="宋体"/>
                <w:sz w:val="20"/>
              </w:rPr>
              <w:t>5 m</w:t>
            </w:r>
          </w:p>
        </w:tc>
        <w:tc>
          <w:tcPr>
            <w:tcW w:type="dxa" w:w="2551"/>
          </w:tcPr>
          <w:p>
            <w:r/>
            <w:r>
              <w:rPr>
                <w:rFonts w:ascii="宋体" w:hAnsi="宋体" w:eastAsia="宋体"/>
                <w:sz w:val="20"/>
              </w:rPr>
              <w:t>Kopeikin MIT (2012)</w:t>
            </w:r>
          </w:p>
        </w:tc>
      </w:tr>
      <w:tr>
        <w:tc>
          <w:tcPr>
            <w:tcW w:type="dxa" w:w="1134"/>
          </w:tcPr>
          <w:p>
            <w:r/>
            <w:r>
              <w:rPr>
                <w:rFonts w:ascii="宋体" w:hAnsi="宋体" w:eastAsia="宋体"/>
                <w:sz w:val="20"/>
              </w:rPr>
              <w:t>α_L</w:t>
            </w:r>
          </w:p>
        </w:tc>
        <w:tc>
          <w:tcPr>
            <w:tcW w:type="dxa" w:w="2551"/>
          </w:tcPr>
          <w:p>
            <w:r/>
            <w:r>
              <w:rPr>
                <w:rFonts w:ascii="宋体" w:hAnsi="宋体" w:eastAsia="宋体"/>
                <w:sz w:val="20"/>
              </w:rPr>
              <w:t>LoS路径损耗指数</w:t>
            </w:r>
          </w:p>
        </w:tc>
        <w:tc>
          <w:tcPr>
            <w:tcW w:type="dxa" w:w="2268"/>
          </w:tcPr>
          <w:p>
            <w:r/>
            <w:r>
              <w:rPr>
                <w:rFonts w:ascii="宋体" w:hAnsi="宋体" w:eastAsia="宋体"/>
                <w:sz w:val="20"/>
              </w:rPr>
              <w:t>2.0</w:t>
            </w:r>
          </w:p>
        </w:tc>
        <w:tc>
          <w:tcPr>
            <w:tcW w:type="dxa" w:w="2551"/>
          </w:tcPr>
          <w:p>
            <w:r/>
            <w:r>
              <w:rPr>
                <w:rFonts w:ascii="宋体" w:hAnsi="宋体" w:eastAsia="宋体"/>
                <w:sz w:val="20"/>
              </w:rPr>
              <w:t>自由空间传播</w:t>
            </w:r>
          </w:p>
        </w:tc>
      </w:tr>
      <w:tr>
        <w:tc>
          <w:tcPr>
            <w:tcW w:type="dxa" w:w="1134"/>
          </w:tcPr>
          <w:p>
            <w:r/>
            <w:r>
              <w:rPr>
                <w:rFonts w:ascii="宋体" w:hAnsi="宋体" w:eastAsia="宋体"/>
                <w:sz w:val="20"/>
              </w:rPr>
              <w:t>α_N</w:t>
            </w:r>
          </w:p>
        </w:tc>
        <w:tc>
          <w:tcPr>
            <w:tcW w:type="dxa" w:w="2551"/>
          </w:tcPr>
          <w:p>
            <w:r/>
            <w:r>
              <w:rPr>
                <w:rFonts w:ascii="宋体" w:hAnsi="宋体" w:eastAsia="宋体"/>
                <w:sz w:val="20"/>
              </w:rPr>
              <w:t>NLoS路径损耗指数</w:t>
            </w:r>
          </w:p>
        </w:tc>
        <w:tc>
          <w:tcPr>
            <w:tcW w:type="dxa" w:w="2268"/>
          </w:tcPr>
          <w:p>
            <w:r/>
            <w:r>
              <w:rPr>
                <w:rFonts w:ascii="宋体" w:hAnsi="宋体" w:eastAsia="宋体"/>
                <w:sz w:val="20"/>
              </w:rPr>
              <w:t>3.5</w:t>
            </w:r>
          </w:p>
        </w:tc>
        <w:tc>
          <w:tcPr>
            <w:tcW w:type="dxa" w:w="2551"/>
          </w:tcPr>
          <w:p>
            <w:r/>
            <w:r>
              <w:rPr>
                <w:rFonts w:ascii="宋体" w:hAnsi="宋体" w:eastAsia="宋体"/>
                <w:sz w:val="20"/>
              </w:rPr>
              <w:t>典型遮挡环境</w:t>
            </w:r>
          </w:p>
        </w:tc>
      </w:tr>
      <w:tr>
        <w:tc>
          <w:tcPr>
            <w:tcW w:type="dxa" w:w="1134"/>
          </w:tcPr>
          <w:p>
            <w:r/>
            <w:r>
              <w:rPr>
                <w:rFonts w:ascii="宋体" w:hAnsi="宋体" w:eastAsia="宋体"/>
                <w:sz w:val="20"/>
              </w:rPr>
              <w:t>κ</w:t>
            </w:r>
          </w:p>
        </w:tc>
        <w:tc>
          <w:tcPr>
            <w:tcW w:type="dxa" w:w="2551"/>
          </w:tcPr>
          <w:p>
            <w:r/>
            <w:r>
              <w:rPr>
                <w:rFonts w:ascii="宋体" w:hAnsi="宋体" w:eastAsia="宋体"/>
                <w:sz w:val="20"/>
              </w:rPr>
              <w:t>地形损耗系数</w:t>
            </w:r>
          </w:p>
        </w:tc>
        <w:tc>
          <w:tcPr>
            <w:tcW w:type="dxa" w:w="2268"/>
          </w:tcPr>
          <w:p>
            <w:r/>
            <w:r>
              <w:rPr>
                <w:rFonts w:ascii="宋体" w:hAnsi="宋体" w:eastAsia="宋体"/>
                <w:sz w:val="20"/>
              </w:rPr>
              <w:t>0.5 dB/m</w:t>
            </w:r>
          </w:p>
        </w:tc>
        <w:tc>
          <w:tcPr>
            <w:tcW w:type="dxa" w:w="2551"/>
          </w:tcPr>
          <w:p>
            <w:r/>
            <w:r>
              <w:rPr>
                <w:rFonts w:ascii="宋体" w:hAnsi="宋体" w:eastAsia="宋体"/>
                <w:sz w:val="20"/>
              </w:rPr>
              <w:t>可调，反映遮挡严重程度</w:t>
            </w:r>
          </w:p>
        </w:tc>
      </w:tr>
    </w:tbl>
    <w:p/>
    <w:p>
      <w:pPr>
        <w:pStyle w:val="Heading2"/>
      </w:pPr>
      <w:r>
        <w:t>7.2 通信判定阈值</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D9E2F3"/>
          </w:tcPr>
          <w:p>
            <w:pPr>
              <w:jc w:val="center"/>
            </w:pPr>
            <w:r/>
            <w:r>
              <w:rPr>
                <w:rFonts w:ascii="宋体" w:hAnsi="宋体" w:eastAsia="宋体"/>
                <w:b/>
                <w:sz w:val="20"/>
              </w:rPr>
              <w:t>参数</w:t>
            </w:r>
          </w:p>
        </w:tc>
        <w:tc>
          <w:tcPr>
            <w:tcW w:type="dxa" w:w="2835"/>
            <w:shd w:fill="D9E2F3"/>
          </w:tcPr>
          <w:p>
            <w:pPr>
              <w:jc w:val="center"/>
            </w:pPr>
            <w:r/>
            <w:r>
              <w:rPr>
                <w:rFonts w:ascii="宋体" w:hAnsi="宋体" w:eastAsia="宋体"/>
                <w:b/>
                <w:sz w:val="20"/>
              </w:rPr>
              <w:t>含义</w:t>
            </w:r>
          </w:p>
        </w:tc>
        <w:tc>
          <w:tcPr>
            <w:tcW w:type="dxa" w:w="2268"/>
            <w:shd w:fill="D9E2F3"/>
          </w:tcPr>
          <w:p>
            <w:pPr>
              <w:jc w:val="center"/>
            </w:pPr>
            <w:r/>
            <w:r>
              <w:rPr>
                <w:rFonts w:ascii="宋体" w:hAnsi="宋体" w:eastAsia="宋体"/>
                <w:b/>
                <w:sz w:val="20"/>
              </w:rPr>
              <w:t>推荐值</w:t>
            </w:r>
          </w:p>
        </w:tc>
        <w:tc>
          <w:tcPr>
            <w:tcW w:type="dxa" w:w="1984"/>
            <w:shd w:fill="D9E2F3"/>
          </w:tcPr>
          <w:p>
            <w:pPr>
              <w:jc w:val="center"/>
            </w:pPr>
            <w:r/>
            <w:r>
              <w:rPr>
                <w:rFonts w:ascii="宋体" w:hAnsi="宋体" w:eastAsia="宋体"/>
                <w:b/>
                <w:sz w:val="20"/>
              </w:rPr>
              <w:t>说明</w:t>
            </w:r>
          </w:p>
        </w:tc>
      </w:tr>
      <w:tr>
        <w:tc>
          <w:tcPr>
            <w:tcW w:type="dxa" w:w="1417"/>
          </w:tcPr>
          <w:p>
            <w:r/>
            <w:r>
              <w:rPr>
                <w:rFonts w:ascii="宋体" w:hAnsi="宋体" w:eastAsia="宋体"/>
                <w:sz w:val="20"/>
              </w:rPr>
              <w:t>γ_th</w:t>
            </w:r>
          </w:p>
        </w:tc>
        <w:tc>
          <w:tcPr>
            <w:tcW w:type="dxa" w:w="2835"/>
          </w:tcPr>
          <w:p>
            <w:r/>
            <w:r>
              <w:rPr>
                <w:rFonts w:ascii="宋体" w:hAnsi="宋体" w:eastAsia="宋体"/>
                <w:sz w:val="20"/>
              </w:rPr>
              <w:t>SINR阈值</w:t>
            </w:r>
          </w:p>
        </w:tc>
        <w:tc>
          <w:tcPr>
            <w:tcW w:type="dxa" w:w="2268"/>
          </w:tcPr>
          <w:p>
            <w:r/>
            <w:r>
              <w:rPr>
                <w:rFonts w:ascii="宋体" w:hAnsi="宋体" w:eastAsia="宋体"/>
                <w:sz w:val="20"/>
              </w:rPr>
              <w:t>10 dB</w:t>
            </w:r>
          </w:p>
        </w:tc>
        <w:tc>
          <w:tcPr>
            <w:tcW w:type="dxa" w:w="1984"/>
          </w:tcPr>
          <w:p>
            <w:r/>
            <w:r>
              <w:rPr>
                <w:rFonts w:ascii="宋体" w:hAnsi="宋体" w:eastAsia="宋体"/>
                <w:sz w:val="20"/>
              </w:rPr>
              <w:t>典型数据链路解调门限</w:t>
            </w:r>
          </w:p>
        </w:tc>
      </w:tr>
      <w:tr>
        <w:tc>
          <w:tcPr>
            <w:tcW w:type="dxa" w:w="1417"/>
          </w:tcPr>
          <w:p>
            <w:r/>
            <w:r>
              <w:rPr>
                <w:rFonts w:ascii="宋体" w:hAnsi="宋体" w:eastAsia="宋体"/>
                <w:sz w:val="20"/>
              </w:rPr>
              <w:t>R_min</w:t>
            </w:r>
          </w:p>
        </w:tc>
        <w:tc>
          <w:tcPr>
            <w:tcW w:type="dxa" w:w="2835"/>
          </w:tcPr>
          <w:p>
            <w:r/>
            <w:r>
              <w:rPr>
                <w:rFonts w:ascii="宋体" w:hAnsi="宋体" w:eastAsia="宋体"/>
                <w:sz w:val="20"/>
              </w:rPr>
              <w:t>最小数据率</w:t>
            </w:r>
          </w:p>
        </w:tc>
        <w:tc>
          <w:tcPr>
            <w:tcW w:type="dxa" w:w="2268"/>
          </w:tcPr>
          <w:p>
            <w:r/>
            <w:r>
              <w:rPr>
                <w:rFonts w:ascii="宋体" w:hAnsi="宋体" w:eastAsia="宋体"/>
                <w:sz w:val="20"/>
              </w:rPr>
              <w:t>100 kbps</w:t>
            </w:r>
          </w:p>
        </w:tc>
        <w:tc>
          <w:tcPr>
            <w:tcW w:type="dxa" w:w="1984"/>
          </w:tcPr>
          <w:p>
            <w:r/>
            <w:r>
              <w:rPr>
                <w:rFonts w:ascii="宋体" w:hAnsi="宋体" w:eastAsia="宋体"/>
                <w:sz w:val="20"/>
              </w:rPr>
              <w:t>支持遥测 + 低分辨率图像</w:t>
            </w:r>
          </w:p>
        </w:tc>
      </w:tr>
      <w:tr>
        <w:tc>
          <w:tcPr>
            <w:tcW w:type="dxa" w:w="1417"/>
          </w:tcPr>
          <w:p>
            <w:r/>
            <w:r>
              <w:rPr>
                <w:rFonts w:ascii="宋体" w:hAnsi="宋体" w:eastAsia="宋体"/>
                <w:sz w:val="20"/>
              </w:rPr>
              <w:t>D_max</w:t>
            </w:r>
          </w:p>
        </w:tc>
        <w:tc>
          <w:tcPr>
            <w:tcW w:type="dxa" w:w="2835"/>
          </w:tcPr>
          <w:p>
            <w:r/>
            <w:r>
              <w:rPr>
                <w:rFonts w:ascii="宋体" w:hAnsi="宋体" w:eastAsia="宋体"/>
                <w:sz w:val="20"/>
              </w:rPr>
              <w:t>最大通信距离</w:t>
            </w:r>
          </w:p>
        </w:tc>
        <w:tc>
          <w:tcPr>
            <w:tcW w:type="dxa" w:w="2268"/>
          </w:tcPr>
          <w:p>
            <w:r/>
            <w:r>
              <w:rPr>
                <w:rFonts w:ascii="宋体" w:hAnsi="宋体" w:eastAsia="宋体"/>
                <w:sz w:val="20"/>
              </w:rPr>
              <w:t>3.5 km</w:t>
            </w:r>
          </w:p>
        </w:tc>
        <w:tc>
          <w:tcPr>
            <w:tcW w:type="dxa" w:w="1984"/>
          </w:tcPr>
          <w:p>
            <w:r/>
            <w:r>
              <w:rPr>
                <w:rFonts w:ascii="宋体" w:hAnsi="宋体" w:eastAsia="宋体"/>
                <w:sz w:val="20"/>
              </w:rPr>
              <w:t>当前算法通信半径，与硬件一致</w:t>
            </w:r>
          </w:p>
        </w:tc>
      </w:tr>
      <w:tr>
        <w:tc>
          <w:tcPr>
            <w:tcW w:type="dxa" w:w="1417"/>
          </w:tcPr>
          <w:p>
            <w:r/>
            <w:r>
              <w:rPr>
                <w:rFonts w:ascii="宋体" w:hAnsi="宋体" w:eastAsia="宋体"/>
                <w:sz w:val="20"/>
              </w:rPr>
              <w:t>h_margin</w:t>
            </w:r>
          </w:p>
        </w:tc>
        <w:tc>
          <w:tcPr>
            <w:tcW w:type="dxa" w:w="2835"/>
          </w:tcPr>
          <w:p>
            <w:r/>
            <w:r>
              <w:rPr>
                <w:rFonts w:ascii="宋体" w:hAnsi="宋体" w:eastAsia="宋体"/>
                <w:sz w:val="20"/>
              </w:rPr>
              <w:t>LoS净空余量（含Fresnel）</w:t>
            </w:r>
          </w:p>
        </w:tc>
        <w:tc>
          <w:tcPr>
            <w:tcW w:type="dxa" w:w="2268"/>
          </w:tcPr>
          <w:p>
            <w:r/>
            <w:r>
              <w:rPr>
                <w:rFonts w:ascii="宋体" w:hAnsi="宋体" w:eastAsia="宋体"/>
                <w:sz w:val="20"/>
              </w:rPr>
              <w:t>25-35 m</w:t>
            </w:r>
          </w:p>
        </w:tc>
        <w:tc>
          <w:tcPr>
            <w:tcW w:type="dxa" w:w="1984"/>
          </w:tcPr>
          <w:p>
            <w:r/>
            <w:r>
              <w:rPr>
                <w:rFonts w:ascii="宋体" w:hAnsi="宋体" w:eastAsia="宋体"/>
                <w:sz w:val="20"/>
              </w:rPr>
              <w:t>原值15m + Fresnel余量10-20m</w:t>
            </w:r>
          </w:p>
        </w:tc>
      </w:tr>
      <w:tr>
        <w:tc>
          <w:tcPr>
            <w:tcW w:type="dxa" w:w="1417"/>
          </w:tcPr>
          <w:p>
            <w:r/>
            <w:r>
              <w:rPr>
                <w:rFonts w:ascii="宋体" w:hAnsi="宋体" w:eastAsia="宋体"/>
                <w:sz w:val="20"/>
              </w:rPr>
              <w:t>η_B^{min}</w:t>
            </w:r>
          </w:p>
        </w:tc>
        <w:tc>
          <w:tcPr>
            <w:tcW w:type="dxa" w:w="2835"/>
          </w:tcPr>
          <w:p>
            <w:r/>
            <w:r>
              <w:rPr>
                <w:rFonts w:ascii="宋体" w:hAnsi="宋体" w:eastAsia="宋体"/>
                <w:sz w:val="20"/>
              </w:rPr>
              <w:t>基本服务率最低阈值</w:t>
            </w:r>
          </w:p>
        </w:tc>
        <w:tc>
          <w:tcPr>
            <w:tcW w:type="dxa" w:w="2268"/>
          </w:tcPr>
          <w:p>
            <w:r/>
            <w:r>
              <w:rPr>
                <w:rFonts w:ascii="宋体" w:hAnsi="宋体" w:eastAsia="宋体"/>
                <w:sz w:val="20"/>
              </w:rPr>
              <w:t>0.85</w:t>
            </w:r>
          </w:p>
        </w:tc>
        <w:tc>
          <w:tcPr>
            <w:tcW w:type="dxa" w:w="1984"/>
          </w:tcPr>
          <w:p>
            <w:r/>
            <w:r>
              <w:rPr>
                <w:rFonts w:ascii="宋体" w:hAnsi="宋体" w:eastAsia="宋体"/>
                <w:sz w:val="20"/>
              </w:rPr>
              <w:t>硬约束(12)的参数</w:t>
            </w:r>
          </w:p>
        </w:tc>
      </w:tr>
      <w:tr>
        <w:tc>
          <w:tcPr>
            <w:tcW w:type="dxa" w:w="1417"/>
          </w:tcPr>
          <w:p>
            <w:r/>
            <w:r>
              <w:rPr>
                <w:rFonts w:ascii="宋体" w:hAnsi="宋体" w:eastAsia="宋体"/>
                <w:sz w:val="20"/>
              </w:rPr>
              <w:t>τ_max</w:t>
            </w:r>
          </w:p>
        </w:tc>
        <w:tc>
          <w:tcPr>
            <w:tcW w:type="dxa" w:w="2835"/>
          </w:tcPr>
          <w:p>
            <w:r/>
            <w:r>
              <w:rPr>
                <w:rFonts w:ascii="宋体" w:hAnsi="宋体" w:eastAsia="宋体"/>
                <w:sz w:val="20"/>
              </w:rPr>
              <w:t>最大连续断连步数</w:t>
            </w:r>
          </w:p>
        </w:tc>
        <w:tc>
          <w:tcPr>
            <w:tcW w:type="dxa" w:w="2268"/>
          </w:tcPr>
          <w:p>
            <w:r/>
            <w:r>
              <w:rPr>
                <w:rFonts w:ascii="宋体" w:hAnsi="宋体" w:eastAsia="宋体"/>
                <w:sz w:val="20"/>
              </w:rPr>
              <w:t>30步 (300 s)</w:t>
            </w:r>
          </w:p>
        </w:tc>
        <w:tc>
          <w:tcPr>
            <w:tcW w:type="dxa" w:w="1984"/>
          </w:tcPr>
          <w:p>
            <w:r/>
            <w:r>
              <w:rPr>
                <w:rFonts w:ascii="宋体" w:hAnsi="宋体" w:eastAsia="宋体"/>
                <w:sz w:val="20"/>
              </w:rPr>
              <w:t>硬约束(13)的参数</w:t>
            </w:r>
          </w:p>
        </w:tc>
      </w:tr>
    </w:tbl>
    <w:p/>
    <w:p>
      <w:pPr>
        <w:pStyle w:val="Heading2"/>
      </w:pPr>
      <w:r>
        <w:t>7.3 指标计算权重</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D9E2F3"/>
          </w:tcPr>
          <w:p>
            <w:pPr>
              <w:jc w:val="center"/>
            </w:pPr>
            <w:r/>
            <w:r>
              <w:rPr>
                <w:rFonts w:ascii="宋体" w:hAnsi="宋体" w:eastAsia="宋体"/>
                <w:b/>
                <w:sz w:val="20"/>
              </w:rPr>
              <w:t>参数</w:t>
            </w:r>
          </w:p>
        </w:tc>
        <w:tc>
          <w:tcPr>
            <w:tcW w:type="dxa" w:w="3118"/>
            <w:shd w:fill="D9E2F3"/>
          </w:tcPr>
          <w:p>
            <w:pPr>
              <w:jc w:val="center"/>
            </w:pPr>
            <w:r/>
            <w:r>
              <w:rPr>
                <w:rFonts w:ascii="宋体" w:hAnsi="宋体" w:eastAsia="宋体"/>
                <w:b/>
                <w:sz w:val="20"/>
              </w:rPr>
              <w:t>含义</w:t>
            </w:r>
          </w:p>
        </w:tc>
        <w:tc>
          <w:tcPr>
            <w:tcW w:type="dxa" w:w="1417"/>
            <w:shd w:fill="D9E2F3"/>
          </w:tcPr>
          <w:p>
            <w:pPr>
              <w:jc w:val="center"/>
            </w:pPr>
            <w:r/>
            <w:r>
              <w:rPr>
                <w:rFonts w:ascii="宋体" w:hAnsi="宋体" w:eastAsia="宋体"/>
                <w:b/>
                <w:sz w:val="20"/>
              </w:rPr>
              <w:t>推荐值</w:t>
            </w:r>
          </w:p>
        </w:tc>
        <w:tc>
          <w:tcPr>
            <w:tcW w:type="dxa" w:w="1984"/>
            <w:shd w:fill="D9E2F3"/>
          </w:tcPr>
          <w:p>
            <w:pPr>
              <w:jc w:val="center"/>
            </w:pPr>
            <w:r/>
            <w:r>
              <w:rPr>
                <w:rFonts w:ascii="宋体" w:hAnsi="宋体" w:eastAsia="宋体"/>
                <w:b/>
                <w:sz w:val="20"/>
              </w:rPr>
              <w:t>说明</w:t>
            </w:r>
          </w:p>
        </w:tc>
      </w:tr>
      <w:tr>
        <w:tc>
          <w:tcPr>
            <w:tcW w:type="dxa" w:w="1984"/>
          </w:tcPr>
          <w:p>
            <w:r/>
            <w:r>
              <w:rPr>
                <w:rFonts w:ascii="宋体" w:hAnsi="宋体" w:eastAsia="宋体"/>
                <w:sz w:val="20"/>
              </w:rPr>
              <w:t>w_γ</w:t>
            </w:r>
          </w:p>
        </w:tc>
        <w:tc>
          <w:tcPr>
            <w:tcW w:type="dxa" w:w="3118"/>
          </w:tcPr>
          <w:p>
            <w:r/>
            <w:r>
              <w:rPr>
                <w:rFonts w:ascii="宋体" w:hAnsi="宋体" w:eastAsia="宋体"/>
                <w:sz w:val="20"/>
              </w:rPr>
              <w:t>路径质量中的SINR权重</w:t>
            </w:r>
          </w:p>
        </w:tc>
        <w:tc>
          <w:tcPr>
            <w:tcW w:type="dxa" w:w="1417"/>
          </w:tcPr>
          <w:p>
            <w:r/>
            <w:r>
              <w:rPr>
                <w:rFonts w:ascii="宋体" w:hAnsi="宋体" w:eastAsia="宋体"/>
                <w:sz w:val="20"/>
              </w:rPr>
              <w:t>0.4</w:t>
            </w:r>
          </w:p>
        </w:tc>
        <w:tc>
          <w:tcPr>
            <w:tcW w:type="dxa" w:w="1984"/>
          </w:tcPr>
          <w:p>
            <w:r/>
            <w:r>
              <w:rPr>
                <w:rFonts w:ascii="宋体" w:hAnsi="宋体" w:eastAsia="宋体"/>
                <w:sz w:val="20"/>
              </w:rPr>
              <w:t>公式(21)</w:t>
            </w:r>
          </w:p>
        </w:tc>
      </w:tr>
      <w:tr>
        <w:tc>
          <w:tcPr>
            <w:tcW w:type="dxa" w:w="1984"/>
          </w:tcPr>
          <w:p>
            <w:r/>
            <w:r>
              <w:rPr>
                <w:rFonts w:ascii="宋体" w:hAnsi="宋体" w:eastAsia="宋体"/>
                <w:sz w:val="20"/>
              </w:rPr>
              <w:t>w_R</w:t>
            </w:r>
          </w:p>
        </w:tc>
        <w:tc>
          <w:tcPr>
            <w:tcW w:type="dxa" w:w="3118"/>
          </w:tcPr>
          <w:p>
            <w:r/>
            <w:r>
              <w:rPr>
                <w:rFonts w:ascii="宋体" w:hAnsi="宋体" w:eastAsia="宋体"/>
                <w:sz w:val="20"/>
              </w:rPr>
              <w:t>路径质量中的数据率权重</w:t>
            </w:r>
          </w:p>
        </w:tc>
        <w:tc>
          <w:tcPr>
            <w:tcW w:type="dxa" w:w="1417"/>
          </w:tcPr>
          <w:p>
            <w:r/>
            <w:r>
              <w:rPr>
                <w:rFonts w:ascii="宋体" w:hAnsi="宋体" w:eastAsia="宋体"/>
                <w:sz w:val="20"/>
              </w:rPr>
              <w:t>0.3</w:t>
            </w:r>
          </w:p>
        </w:tc>
        <w:tc>
          <w:tcPr>
            <w:tcW w:type="dxa" w:w="1984"/>
          </w:tcPr>
          <w:p>
            <w:r/>
            <w:r>
              <w:rPr>
                <w:rFonts w:ascii="宋体" w:hAnsi="宋体" w:eastAsia="宋体"/>
                <w:sz w:val="20"/>
              </w:rPr>
              <w:t>公式(21)</w:t>
            </w:r>
          </w:p>
        </w:tc>
      </w:tr>
      <w:tr>
        <w:tc>
          <w:tcPr>
            <w:tcW w:type="dxa" w:w="1984"/>
          </w:tcPr>
          <w:p>
            <w:r/>
            <w:r>
              <w:rPr>
                <w:rFonts w:ascii="宋体" w:hAnsi="宋体" w:eastAsia="宋体"/>
                <w:sz w:val="20"/>
              </w:rPr>
              <w:t>w_L</w:t>
            </w:r>
          </w:p>
        </w:tc>
        <w:tc>
          <w:tcPr>
            <w:tcW w:type="dxa" w:w="3118"/>
          </w:tcPr>
          <w:p>
            <w:r/>
            <w:r>
              <w:rPr>
                <w:rFonts w:ascii="宋体" w:hAnsi="宋体" w:eastAsia="宋体"/>
                <w:sz w:val="20"/>
              </w:rPr>
              <w:t>路径质量中的LoS权重</w:t>
            </w:r>
          </w:p>
        </w:tc>
        <w:tc>
          <w:tcPr>
            <w:tcW w:type="dxa" w:w="1417"/>
          </w:tcPr>
          <w:p>
            <w:r/>
            <w:r>
              <w:rPr>
                <w:rFonts w:ascii="宋体" w:hAnsi="宋体" w:eastAsia="宋体"/>
                <w:sz w:val="20"/>
              </w:rPr>
              <w:t>0.3</w:t>
            </w:r>
          </w:p>
        </w:tc>
        <w:tc>
          <w:tcPr>
            <w:tcW w:type="dxa" w:w="1984"/>
          </w:tcPr>
          <w:p>
            <w:r/>
            <w:r>
              <w:rPr>
                <w:rFonts w:ascii="宋体" w:hAnsi="宋体" w:eastAsia="宋体"/>
                <w:sz w:val="20"/>
              </w:rPr>
              <w:t>公式(21)</w:t>
            </w:r>
          </w:p>
        </w:tc>
      </w:tr>
      <w:tr>
        <w:tc>
          <w:tcPr>
            <w:tcW w:type="dxa" w:w="1984"/>
          </w:tcPr>
          <w:p>
            <w:r/>
            <w:r>
              <w:rPr>
                <w:rFonts w:ascii="宋体" w:hAnsi="宋体" w:eastAsia="宋体"/>
                <w:sz w:val="20"/>
              </w:rPr>
              <w:t>commQualityWeight</w:t>
            </w:r>
          </w:p>
        </w:tc>
        <w:tc>
          <w:tcPr>
            <w:tcW w:type="dxa" w:w="3118"/>
          </w:tcPr>
          <w:p>
            <w:r/>
            <w:r>
              <w:rPr>
                <w:rFonts w:ascii="宋体" w:hAnsi="宋体" w:eastAsia="宋体"/>
                <w:sz w:val="20"/>
              </w:rPr>
              <w:t>评分函数中的中继质量权重</w:t>
            </w:r>
          </w:p>
        </w:tc>
        <w:tc>
          <w:tcPr>
            <w:tcW w:type="dxa" w:w="1417"/>
          </w:tcPr>
          <w:p>
            <w:r/>
            <w:r>
              <w:rPr>
                <w:rFonts w:ascii="宋体" w:hAnsi="宋体" w:eastAsia="宋体"/>
                <w:sz w:val="20"/>
              </w:rPr>
              <w:t>36</w:t>
            </w:r>
          </w:p>
        </w:tc>
        <w:tc>
          <w:tcPr>
            <w:tcW w:type="dxa" w:w="1984"/>
          </w:tcPr>
          <w:p>
            <w:r/>
            <w:r>
              <w:rPr>
                <w:rFonts w:ascii="宋体" w:hAnsi="宋体" w:eastAsia="宋体"/>
                <w:sz w:val="20"/>
              </w:rPr>
              <w:t>保持原值</w:t>
            </w:r>
          </w:p>
        </w:tc>
      </w:tr>
      <w:tr>
        <w:tc>
          <w:tcPr>
            <w:tcW w:type="dxa" w:w="1984"/>
          </w:tcPr>
          <w:p>
            <w:r/>
            <w:r>
              <w:rPr>
                <w:rFonts w:ascii="宋体" w:hAnsi="宋体" w:eastAsia="宋体"/>
                <w:sz w:val="20"/>
              </w:rPr>
              <w:t>commLosWeight</w:t>
            </w:r>
          </w:p>
        </w:tc>
        <w:tc>
          <w:tcPr>
            <w:tcW w:type="dxa" w:w="3118"/>
          </w:tcPr>
          <w:p>
            <w:r/>
            <w:r>
              <w:rPr>
                <w:rFonts w:ascii="宋体" w:hAnsi="宋体" w:eastAsia="宋体"/>
                <w:sz w:val="20"/>
              </w:rPr>
              <w:t>评分函数中的LoS比例权重</w:t>
            </w:r>
          </w:p>
        </w:tc>
        <w:tc>
          <w:tcPr>
            <w:tcW w:type="dxa" w:w="1417"/>
          </w:tcPr>
          <w:p>
            <w:r/>
            <w:r>
              <w:rPr>
                <w:rFonts w:ascii="宋体" w:hAnsi="宋体" w:eastAsia="宋体"/>
                <w:sz w:val="20"/>
              </w:rPr>
              <w:t>18</w:t>
            </w:r>
          </w:p>
        </w:tc>
        <w:tc>
          <w:tcPr>
            <w:tcW w:type="dxa" w:w="1984"/>
          </w:tcPr>
          <w:p>
            <w:r/>
            <w:r>
              <w:rPr>
                <w:rFonts w:ascii="宋体" w:hAnsi="宋体" w:eastAsia="宋体"/>
                <w:sz w:val="20"/>
              </w:rPr>
              <w:t>保持原值</w:t>
            </w:r>
          </w:p>
        </w:tc>
      </w:tr>
    </w:tbl>
    <w:p/>
    <w:p>
      <w:r>
        <w:br w:type="page"/>
      </w:r>
    </w:p>
    <w:p>
      <w:pPr>
        <w:pStyle w:val="Heading1"/>
      </w:pPr>
      <w:r>
        <w:t>八、在协同路径规划中的作用</w:t>
      </w:r>
    </w:p>
    <w:p>
      <w:pPr>
        <w:ind w:firstLine="420"/>
      </w:pPr>
      <w:r>
        <w:rPr>
          <w:rFonts w:ascii="宋体" w:hAnsi="宋体" w:eastAsia="宋体"/>
        </w:rPr>
        <w:t>本节阐述通信能力模型如何嵌入到已有的协同搜索路径规划框架中，以及各部分之间的数据流关系。理解这一部分有助于在代码实现时准确把握各模块的接口和调用时序。</w:t>
      </w:r>
    </w:p>
    <w:p>
      <w:pPr>
        <w:pStyle w:val="Heading2"/>
      </w:pPr>
      <w:r>
        <w:t>8.1 决策评分函数</w:t>
      </w:r>
    </w:p>
    <w:p>
      <w:pPr>
        <w:ind w:firstLine="420"/>
      </w:pPr>
      <w:r>
        <w:rPr>
          <w:rFonts w:ascii="宋体" w:hAnsi="宋体" w:eastAsia="宋体"/>
        </w:rPr>
        <w:t>在路径规划的每一步，每架UAV评估多个候选航向角（±45°, ±30°, ±15°, 0°），对每个候选位置计算综合评分。新的评分函数结构为：</w:t>
      </w:r>
    </w:p>
    <w:p>
      <w:r>
        <w:rPr>
          <w:rFonts w:ascii="宋体" w:hAnsi="宋体" w:eastAsia="宋体"/>
          <w:b/>
        </w:rPr>
        <w:t>第一步：约束过滤（新增）</w:t>
      </w:r>
    </w:p>
    <w:p>
      <w:pPr>
        <w:ind w:firstLine="420"/>
      </w:pPr>
      <w:r>
        <w:rPr>
          <w:rFonts w:ascii="宋体" w:hAnsi="宋体" w:eastAsia="宋体"/>
        </w:rPr>
        <w:t>对候选位置预估通信图 → 检查约束(12)(13) → 不满足则 score = -Inf（排除）</w:t>
      </w:r>
    </w:p>
    <w:p>
      <w:r>
        <w:rPr>
          <w:rFonts w:ascii="宋体" w:hAnsi="宋体" w:eastAsia="宋体"/>
          <w:b/>
        </w:rPr>
        <w:t>第二步：综合评分（保持原有框架，微调权重）</w:t>
      </w:r>
    </w:p>
    <w:p>
      <w:pPr>
        <w:spacing w:before="120" w:after="120"/>
        <w:jc w:val="center"/>
      </w:pPr>
      <w:r>
        <w:rPr>
          <w:rFonts w:ascii="Times New Roman" w:hAnsi="Times New Roman"/>
          <w:i/>
          <w:sz w:val="22"/>
        </w:rPr>
        <w:t>Score = λ_C · CovGain + λ_H · EntropyGain + λ_A · AttractGain − λ_R · RepeatCost</w:t>
        <w:br/>
        <w:t xml:space="preserve">      + 25·λ_F · FrontierGain + 36 · RelayScore + 18 · LoSScore</w:t>
        <w:br/>
        <w:t xml:space="preserve">      + 22 · SpreadScore + 8 · SmoothScore + BoundaryTerm − SlopePenalty</w:t>
      </w:r>
    </w:p>
    <w:p>
      <w:pPr>
        <w:ind w:firstLine="420"/>
      </w:pPr>
      <w:r>
        <w:rPr>
          <w:rFonts w:ascii="宋体" w:hAnsi="宋体" w:eastAsia="宋体"/>
        </w:rPr>
        <w:t>其中：</w:t>
      </w:r>
    </w:p>
    <w:p>
      <w:pPr>
        <w:pStyle w:val="ListBullet"/>
        <w:ind w:left="720"/>
      </w:pPr>
      <w:r>
        <w:t>λ_C, λ_H, λ_A, λ_R, λ_F 为动态权重（随覆盖率进度自动调节），保持原有调度策略不变；</w:t>
      </w:r>
    </w:p>
    <w:p>
      <w:pPr>
        <w:pStyle w:val="ListBullet"/>
        <w:ind w:left="720"/>
      </w:pPr>
      <w:r>
        <w:t>RelayScore = metrics.meanDirectQuality（基于SINR的链路平均质量，替代原距离衰减公式）；</w:t>
      </w:r>
    </w:p>
    <w:p>
      <w:pPr>
        <w:pStyle w:val="ListBullet"/>
        <w:ind w:left="720"/>
      </w:pPr>
      <w:r>
        <w:t>LoSScore = metrics.losRatio（LoS链路比例，含义不变，但底层LoS判定含Fresnel余量）；</w:t>
      </w:r>
    </w:p>
    <w:p>
      <w:pPr>
        <w:pStyle w:val="ListBullet"/>
        <w:ind w:left="720"/>
      </w:pPr>
      <w:r>
        <w:t>其余项（SpreadScore, SmoothScore, BoundaryTerm, SlopePenalty）保持原有定义。</w:t>
      </w:r>
    </w:p>
    <w:p>
      <w:pPr>
        <w:ind w:firstLine="420"/>
      </w:pPr>
      <w:r>
        <w:rPr>
          <w:rFonts w:ascii="宋体" w:hAnsi="宋体" w:eastAsia="宋体"/>
        </w:rPr>
        <w:t>与原评分函数的关键区别在于：（1）RelayScore 和 LoSScore 的计算基底从纯几何距离模型升级为SINR物理模型；（2）评分之前增加了约束过滤步骤，通信从"加分项"变为"准入条件 + 加分项"。</w:t>
      </w:r>
    </w:p>
    <w:p>
      <w:pPr>
        <w:pStyle w:val="Heading2"/>
      </w:pPr>
      <w:r>
        <w:t>8.2 信息融合机制</w:t>
      </w:r>
    </w:p>
    <w:p>
      <w:pPr>
        <w:ind w:firstLine="420"/>
      </w:pPr>
      <w:r>
        <w:rPr>
          <w:rFonts w:ascii="宋体" w:hAnsi="宋体" w:eastAsia="宋体"/>
        </w:rPr>
        <w:t>USV作为移动通信锚节点，负责汇聚和分发集群的搜索信息。信息融合周期为每 commUpdateEvery = 3 步（即每30秒）执行一次。融合流程在通信硬约束保障下运行：</w:t>
      </w:r>
    </w:p>
    <w:p>
      <w:r>
        <w:rPr>
          <w:rFonts w:ascii="宋体" w:hAnsi="宋体" w:eastAsia="宋体"/>
          <w:b/>
        </w:rPr>
        <w:t>步骤1 — 构建通信图：</w:t>
      </w:r>
    </w:p>
    <w:p>
      <w:pPr>
        <w:ind w:firstLine="420"/>
      </w:pPr>
      <w:r>
        <w:rPr>
          <w:rFonts w:ascii="宋体" w:hAnsi="宋体" w:eastAsia="宋体"/>
        </w:rPr>
        <w:t>调用 buildUAVRelayGraph() → 计算所有链路的SINR/LoS → 构建 G^B 和 G^L → 判定每架UAV的服务接入状态 aᵢ^B 和 aᵢ^L。</w:t>
      </w:r>
    </w:p>
    <w:p>
      <w:r>
        <w:rPr>
          <w:rFonts w:ascii="宋体" w:hAnsi="宋体" w:eastAsia="宋体"/>
          <w:b/>
        </w:rPr>
        <w:t>步骤2 — USV全局信息融合：</w:t>
      </w:r>
    </w:p>
    <w:p>
      <w:pPr>
        <w:ind w:firstLine="420"/>
      </w:pPr>
      <w:r>
        <w:rPr>
          <w:rFonts w:ascii="宋体" w:hAnsi="宋体" w:eastAsia="宋体"/>
        </w:rPr>
        <w:t>所有USV之间的通信默认全联通（水面视距条件良好），在USV层面完成全局覆盖地图、熵地图、信息素地图的融合。</w:t>
      </w:r>
    </w:p>
    <w:p>
      <w:r>
        <w:rPr>
          <w:rFonts w:ascii="宋体" w:hAnsi="宋体" w:eastAsia="宋体"/>
          <w:b/>
        </w:rPr>
        <w:t>步骤3 — UAV-锚节点信息同步：</w:t>
      </w:r>
    </w:p>
    <w:p>
      <w:pPr>
        <w:ind w:firstLine="420"/>
      </w:pPr>
      <w:r>
        <w:rPr>
          <w:rFonts w:ascii="宋体" w:hAnsi="宋体" w:eastAsia="宋体"/>
        </w:rPr>
        <w:t>对于 aᵢ^B(k) = 1 的UAV（通过 G^B 连通到某USV），将其本地搜索信息上传至USV网络，同时从USV网络下载全局融合信息，更新本地认知地图。</w:t>
      </w:r>
    </w:p>
    <w:p>
      <w:r>
        <w:rPr>
          <w:rFonts w:ascii="宋体" w:hAnsi="宋体" w:eastAsia="宋体"/>
          <w:b/>
        </w:rPr>
        <w:t>步骤4 — 跨UAV信息传递：</w:t>
      </w:r>
    </w:p>
    <w:p>
      <w:pPr>
        <w:ind w:firstLine="420"/>
      </w:pPr>
      <w:r>
        <w:rPr>
          <w:rFonts w:ascii="宋体" w:hAnsi="宋体" w:eastAsia="宋体"/>
        </w:rPr>
        <w:t>对于 aᵢ^B(k) = 0 的UAV（断连），其本地信息无法上传，其认知地图也无法更新（保持上次连通时的状态）。当该UAV重新接入网络时，一次性同步断连期间积累的本地搜索信息和接收全局更新。</w:t>
      </w:r>
    </w:p>
    <w:p>
      <w:pPr>
        <w:ind w:firstLine="420"/>
      </w:pPr>
      <w:r>
        <w:rPr>
          <w:rFonts w:ascii="宋体" w:hAnsi="宋体" w:eastAsia="宋体"/>
        </w:rPr>
        <w:t>在通信硬约束(12)(13)的保障下，步骤4中的"断连"状态在大多数时候不会持续过长（τ ≤ τ_max），因此信息同步的延迟被控制在可接受范围内。</w:t>
      </w:r>
    </w:p>
    <w:p>
      <w:r>
        <w:br w:type="page"/>
      </w:r>
    </w:p>
    <w:p>
      <w:pPr>
        <w:pStyle w:val="Heading1"/>
      </w:pPr>
      <w:r>
        <w:t>九、论文创新点阐述</w:t>
      </w:r>
    </w:p>
    <w:p>
      <w:pPr>
        <w:ind w:firstLine="420"/>
      </w:pPr>
      <w:r>
        <w:rPr>
          <w:rFonts w:ascii="宋体" w:hAnsi="宋体" w:eastAsia="宋体"/>
        </w:rPr>
        <w:t>以下从航空宇航科学与技术学科（协同路径规划方向）的视角，阐述本通信建模方法在论文中的创新表述。</w:t>
      </w:r>
    </w:p>
    <w:p>
      <w:pPr>
        <w:pStyle w:val="Heading2"/>
      </w:pPr>
      <w:r>
        <w:t>9.1 核心创新：从"通信加权"到"通信保障"</w:t>
      </w:r>
    </w:p>
    <w:p>
      <w:pPr>
        <w:ind w:firstLine="420"/>
      </w:pPr>
      <w:r>
        <w:rPr>
          <w:rFonts w:ascii="宋体" w:hAnsi="宋体" w:eastAsia="宋体"/>
        </w:rPr>
        <w:t>现有通信感知的协同路径规划方法普遍将通信质量作为目标函数中的一个加权项，通过权重系数与覆盖率等目标进行折中。这种"软约束"方式存在根本性缺陷：在最优搜索路径恰好穿越通信盲区时，权重机制无法阻止算法选择牺牲通信来换取覆盖率，可能造成UAV长时间失联。</w:t>
      </w:r>
    </w:p>
    <w:p>
      <w:pPr>
        <w:ind w:firstLine="420"/>
      </w:pPr>
      <w:r>
        <w:rPr>
          <w:rFonts w:ascii="宋体" w:hAnsi="宋体" w:eastAsia="宋体"/>
        </w:rPr>
        <w:t>本研究提出"通信硬约束嵌入协同路径规划"方法，将基本通信服务率和最大连续断连时长作为候选动作的硬过滤条件。相比于加权惩罚机制，硬约束从决策空间层面排除了不可行的候选动作，从规划机制上保障了通信的最低服务水平，而非在事后通过权重修正来间接影响决策。</w:t>
      </w:r>
    </w:p>
    <w:p>
      <w:pPr>
        <w:ind w:firstLine="420"/>
      </w:pPr>
      <w:r>
        <w:rPr>
          <w:rFonts w:ascii="宋体" w:hAnsi="宋体" w:eastAsia="宋体"/>
          <w:i/>
        </w:rPr>
        <w:t>建议论文中的英文表述：</w:t>
      </w:r>
    </w:p>
    <w:p>
      <w:pPr>
        <w:ind w:firstLine="420"/>
      </w:pPr>
      <w:r>
        <w:rPr>
          <w:rFonts w:ascii="宋体" w:hAnsi="宋体" w:eastAsia="宋体"/>
          <w:i/>
        </w:rPr>
        <w:t>"Rather than treating communication quality as a weighted soft term in the objective function, this work formulates communication service requirements as hard constraints embedded in the action selection process of cooperative path planning. Candidate actions that violate the minimum communication service ratio or maximum disconnection duration are directly excluded from the feasible set, providing a guarantee of baseline communication availability that soft-constrained methods cannot offer."</w:t>
      </w:r>
    </w:p>
    <w:p>
      <w:pPr>
        <w:pStyle w:val="Heading2"/>
      </w:pPr>
      <w:r>
        <w:t>9.2 方法创新：双层通信图与SINR驱动的链路建模</w:t>
      </w:r>
    </w:p>
    <w:p>
      <w:pPr>
        <w:ind w:firstLine="420"/>
      </w:pPr>
      <w:r>
        <w:rPr>
          <w:rFonts w:ascii="宋体" w:hAnsi="宋体" w:eastAsia="宋体"/>
        </w:rPr>
        <w:t>替代通信距离圆盘模型（Disk Graph Model）和单层连通图，本研究构建了基于SINR物理模型的双层通信图：（1）基本通信图 G^B 囊括所有可用链路（含NLoS），确保最低联通保障；（2）LoS优质通信图 G^L 仅包含视距传播链路，反映高质量通信服务。通过区分LoS/NLoS链路的路径损耗指数（α_L = 2.0 vs. α_N = 3.5），模型避免了原算法中将NLoS链路直接判为"零质量"的过度简化，使路径规划算法能够在通信质量的连续谱上做出更精细的决策。</w:t>
      </w:r>
    </w:p>
    <w:p>
      <w:pPr>
        <w:pStyle w:val="Heading2"/>
      </w:pPr>
      <w:r>
        <w:t>9.3 评价创新：多维度通信指标体系</w:t>
      </w:r>
    </w:p>
    <w:p>
      <w:pPr>
        <w:ind w:firstLine="420"/>
      </w:pPr>
      <w:r>
        <w:rPr>
          <w:rFonts w:ascii="宋体" w:hAnsi="宋体" w:eastAsia="宋体"/>
        </w:rPr>
        <w:t>区别于现有研究通常仅报告"连通UAV数量"或"通信时间比例"等少量指标，本研究设计了覆盖服务可用性、链路质量、路径质量、网络鲁棒性和极端行为五个维度的8项通信评价指标。该指标体系提供了通信效果的全面刻画，尤其是指标之间（如 η_B vs. τ_out^max、ρ_LoS vs. η_L）的交叉分析，可以揭示仅靠单一指标无法发现的通信瓶颈。</w:t>
      </w:r>
    </w:p>
    <w:p>
      <w:pPr>
        <w:pStyle w:val="Heading2"/>
      </w:pPr>
      <w:r>
        <w:t>9.4 故事线总结</w:t>
      </w:r>
    </w:p>
    <w:p>
      <w:pPr>
        <w:ind w:firstLine="420"/>
      </w:pPr>
      <w:r>
        <w:rPr>
          <w:rFonts w:ascii="宋体" w:hAnsi="宋体" w:eastAsia="宋体"/>
          <w:i/>
        </w:rPr>
        <w:t>建议论文中围绕以下逻辑链展开（中文）：</w:t>
      </w:r>
    </w:p>
    <w:p>
      <w:pPr>
        <w:ind w:firstLine="420"/>
      </w:pPr>
      <w:r>
        <w:rPr>
          <w:rFonts w:ascii="宋体" w:hAnsi="宋体" w:eastAsia="宋体"/>
        </w:rPr>
        <w:t>"面向地形遮挡环境下的跨域无人集群协同搜索任务，提出了一种通信保障的协同路径规划方法。首先，构建了基于SINR的物理层信道模型，通过区分LoS/NLoS路径损耗指数和引入Fresnel简化余量，建立了地形遮挡与通信质量的连续映射关系。其次，将通信网络建模为双层图结构——基本通信图G^B保障最低连通性，LoS优质通信图G^L衡量通信品质，并通过图连通分量分析确定每架UAV的服务接入状态。在此基础上，将基本通信服务率和最大连续断连时长嵌入为路径规划的硬约束，从决策空间层面排除通信不可行的候选动作。仿真后通过8项多维度指标全面评价通信效果。相比于仅将通信作为目标函数加权项的现有方法，硬约束机制从根本上保障了任务过程中的最低通信服务水平，同时保持了路径规划对搜索覆盖率的优化能力。"</w:t>
      </w:r>
    </w:p>
    <w:p>
      <w:r>
        <w:br w:type="page"/>
      </w:r>
    </w:p>
    <w:p>
      <w:pPr>
        <w:pStyle w:val="Heading1"/>
      </w:pPr>
      <w:r>
        <w:t>十、总结</w:t>
      </w:r>
    </w:p>
    <w:p>
      <w:pPr>
        <w:ind w:firstLine="420"/>
      </w:pPr>
      <w:r>
        <w:rPr>
          <w:rFonts w:ascii="宋体" w:hAnsi="宋体" w:eastAsia="宋体"/>
        </w:rPr>
        <w:t>本文档从航空宇航科学与技术学科（协同路径规划方向）的视角，系统阐述了地形遮挡环境下跨域无人集群协同搜索任务中的通信能力建模方法。核心内容包括四个方面：</w:t>
      </w:r>
    </w:p>
    <w:p>
      <w:pPr>
        <w:pStyle w:val="Heading2"/>
      </w:pPr>
      <w:r>
        <w:t>10.1 四大核心组件</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D9E2F3"/>
          </w:tcPr>
          <w:p>
            <w:pPr>
              <w:jc w:val="center"/>
            </w:pPr>
            <w:r/>
            <w:r>
              <w:rPr>
                <w:rFonts w:ascii="宋体" w:hAnsi="宋体" w:eastAsia="宋体"/>
                <w:b/>
                <w:sz w:val="20"/>
              </w:rPr>
              <w:t>组件</w:t>
            </w:r>
          </w:p>
        </w:tc>
        <w:tc>
          <w:tcPr>
            <w:tcW w:type="dxa" w:w="3402"/>
            <w:shd w:fill="D9E2F3"/>
          </w:tcPr>
          <w:p>
            <w:pPr>
              <w:jc w:val="center"/>
            </w:pPr>
            <w:r/>
            <w:r>
              <w:rPr>
                <w:rFonts w:ascii="宋体" w:hAnsi="宋体" w:eastAsia="宋体"/>
                <w:b/>
                <w:sz w:val="20"/>
              </w:rPr>
              <w:t>核心内容</w:t>
            </w:r>
          </w:p>
        </w:tc>
        <w:tc>
          <w:tcPr>
            <w:tcW w:type="dxa" w:w="3402"/>
            <w:shd w:fill="D9E2F3"/>
          </w:tcPr>
          <w:p>
            <w:pPr>
              <w:jc w:val="center"/>
            </w:pPr>
            <w:r/>
            <w:r>
              <w:rPr>
                <w:rFonts w:ascii="宋体" w:hAnsi="宋体" w:eastAsia="宋体"/>
                <w:b/>
                <w:sz w:val="20"/>
              </w:rPr>
              <w:t>价值</w:t>
            </w:r>
          </w:p>
        </w:tc>
      </w:tr>
      <w:tr>
        <w:tc>
          <w:tcPr>
            <w:tcW w:type="dxa" w:w="1701"/>
          </w:tcPr>
          <w:p>
            <w:r/>
            <w:r>
              <w:rPr>
                <w:rFonts w:ascii="宋体" w:hAnsi="宋体" w:eastAsia="宋体"/>
                <w:sz w:val="20"/>
              </w:rPr>
              <w:t>物理层信道模型</w:t>
            </w:r>
          </w:p>
        </w:tc>
        <w:tc>
          <w:tcPr>
            <w:tcW w:type="dxa" w:w="3402"/>
          </w:tcPr>
          <w:p>
            <w:r/>
            <w:r>
              <w:rPr>
                <w:rFonts w:ascii="宋体" w:hAnsi="宋体" w:eastAsia="宋体"/>
                <w:sz w:val="20"/>
              </w:rPr>
              <w:t>SINR + 双路径损耗指数 + Fresnel简化余量 + Shannon数据率</w:t>
            </w:r>
          </w:p>
        </w:tc>
        <w:tc>
          <w:tcPr>
            <w:tcW w:type="dxa" w:w="3402"/>
          </w:tcPr>
          <w:p>
            <w:r/>
            <w:r>
              <w:rPr>
                <w:rFonts w:ascii="宋体" w:hAnsi="宋体" w:eastAsia="宋体"/>
                <w:sz w:val="20"/>
              </w:rPr>
              <w:t>提供链路质量的连续物理度量，替代二值"通/断"判定</w:t>
            </w:r>
          </w:p>
        </w:tc>
      </w:tr>
      <w:tr>
        <w:tc>
          <w:tcPr>
            <w:tcW w:type="dxa" w:w="1701"/>
          </w:tcPr>
          <w:p>
            <w:r/>
            <w:r>
              <w:rPr>
                <w:rFonts w:ascii="宋体" w:hAnsi="宋体" w:eastAsia="宋体"/>
                <w:sz w:val="20"/>
              </w:rPr>
              <w:t>双层通信图</w:t>
            </w:r>
          </w:p>
        </w:tc>
        <w:tc>
          <w:tcPr>
            <w:tcW w:type="dxa" w:w="3402"/>
          </w:tcPr>
          <w:p>
            <w:r/>
            <w:r>
              <w:rPr>
                <w:rFonts w:ascii="宋体" w:hAnsi="宋体" w:eastAsia="宋体"/>
                <w:sz w:val="20"/>
              </w:rPr>
              <w:t>G^B（基本通信图）+ G^L（LoS优质通信图）+ 多跳中继</w:t>
            </w:r>
          </w:p>
        </w:tc>
        <w:tc>
          <w:tcPr>
            <w:tcW w:type="dxa" w:w="3402"/>
          </w:tcPr>
          <w:p>
            <w:r/>
            <w:r>
              <w:rPr>
                <w:rFonts w:ascii="宋体" w:hAnsi="宋体" w:eastAsia="宋体"/>
                <w:sz w:val="20"/>
              </w:rPr>
              <w:t>区分不同质量等级的通信服务，为分层决策提供基础</w:t>
            </w:r>
          </w:p>
        </w:tc>
      </w:tr>
      <w:tr>
        <w:tc>
          <w:tcPr>
            <w:tcW w:type="dxa" w:w="1701"/>
          </w:tcPr>
          <w:p>
            <w:r/>
            <w:r>
              <w:rPr>
                <w:rFonts w:ascii="宋体" w:hAnsi="宋体" w:eastAsia="宋体"/>
                <w:sz w:val="20"/>
              </w:rPr>
              <w:t>通信硬约束</w:t>
            </w:r>
          </w:p>
        </w:tc>
        <w:tc>
          <w:tcPr>
            <w:tcW w:type="dxa" w:w="3402"/>
          </w:tcPr>
          <w:p>
            <w:r/>
            <w:r>
              <w:rPr>
                <w:rFonts w:ascii="宋体" w:hAnsi="宋体" w:eastAsia="宋体"/>
                <w:sz w:val="20"/>
              </w:rPr>
              <w:t>基本通信服务率约束 + 最大连续断连时长约束 + 自适应降级</w:t>
            </w:r>
          </w:p>
        </w:tc>
        <w:tc>
          <w:tcPr>
            <w:tcW w:type="dxa" w:w="3402"/>
          </w:tcPr>
          <w:p>
            <w:r/>
            <w:r>
              <w:rPr>
                <w:rFonts w:ascii="宋体" w:hAnsi="宋体" w:eastAsia="宋体"/>
                <w:sz w:val="20"/>
              </w:rPr>
              <w:t>从规划层面保障通信底线，自适应机制确保鲁棒性</w:t>
            </w:r>
          </w:p>
        </w:tc>
      </w:tr>
      <w:tr>
        <w:tc>
          <w:tcPr>
            <w:tcW w:type="dxa" w:w="1701"/>
          </w:tcPr>
          <w:p>
            <w:r/>
            <w:r>
              <w:rPr>
                <w:rFonts w:ascii="宋体" w:hAnsi="宋体" w:eastAsia="宋体"/>
                <w:sz w:val="20"/>
              </w:rPr>
              <w:t>8项评价指标</w:t>
            </w:r>
          </w:p>
        </w:tc>
        <w:tc>
          <w:tcPr>
            <w:tcW w:type="dxa" w:w="3402"/>
          </w:tcPr>
          <w:p>
            <w:r/>
            <w:r>
              <w:rPr>
                <w:rFonts w:ascii="宋体" w:hAnsi="宋体" w:eastAsia="宋体"/>
                <w:sz w:val="20"/>
              </w:rPr>
              <w:t>覆盖可用性、质量、路径、鲁棒性、极端行为五维度</w:t>
            </w:r>
          </w:p>
        </w:tc>
        <w:tc>
          <w:tcPr>
            <w:tcW w:type="dxa" w:w="3402"/>
          </w:tcPr>
          <w:p>
            <w:r/>
            <w:r>
              <w:rPr>
                <w:rFonts w:ascii="宋体" w:hAnsi="宋体" w:eastAsia="宋体"/>
                <w:sz w:val="20"/>
              </w:rPr>
              <w:t>全面刻画通信效果，支撑多维度实验分析</w:t>
            </w:r>
          </w:p>
        </w:tc>
      </w:tr>
    </w:tbl>
    <w:p/>
    <w:p>
      <w:pPr>
        <w:pStyle w:val="Heading2"/>
      </w:pPr>
      <w:r>
        <w:t>10.2 代码改动预估</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35"/>
            <w:shd w:fill="D9E2F3"/>
          </w:tcPr>
          <w:p>
            <w:pPr>
              <w:jc w:val="center"/>
            </w:pPr>
            <w:r/>
            <w:r>
              <w:rPr>
                <w:rFonts w:ascii="宋体" w:hAnsi="宋体" w:eastAsia="宋体"/>
                <w:b/>
                <w:sz w:val="20"/>
              </w:rPr>
              <w:t>文件</w:t>
            </w:r>
          </w:p>
        </w:tc>
        <w:tc>
          <w:tcPr>
            <w:tcW w:type="dxa" w:w="850"/>
            <w:shd w:fill="D9E2F3"/>
          </w:tcPr>
          <w:p>
            <w:pPr>
              <w:jc w:val="center"/>
            </w:pPr>
            <w:r/>
            <w:r>
              <w:rPr>
                <w:rFonts w:ascii="宋体" w:hAnsi="宋体" w:eastAsia="宋体"/>
                <w:b/>
                <w:sz w:val="20"/>
              </w:rPr>
              <w:t>操作</w:t>
            </w:r>
          </w:p>
        </w:tc>
        <w:tc>
          <w:tcPr>
            <w:tcW w:type="dxa" w:w="3402"/>
            <w:shd w:fill="D9E2F3"/>
          </w:tcPr>
          <w:p>
            <w:pPr>
              <w:jc w:val="center"/>
            </w:pPr>
            <w:r/>
            <w:r>
              <w:rPr>
                <w:rFonts w:ascii="宋体" w:hAnsi="宋体" w:eastAsia="宋体"/>
                <w:b/>
                <w:sz w:val="20"/>
              </w:rPr>
              <w:t>内容</w:t>
            </w:r>
          </w:p>
        </w:tc>
        <w:tc>
          <w:tcPr>
            <w:tcW w:type="dxa" w:w="1134"/>
            <w:shd w:fill="D9E2F3"/>
          </w:tcPr>
          <w:p>
            <w:pPr>
              <w:jc w:val="center"/>
            </w:pPr>
            <w:r/>
            <w:r>
              <w:rPr>
                <w:rFonts w:ascii="宋体" w:hAnsi="宋体" w:eastAsia="宋体"/>
                <w:b/>
                <w:sz w:val="20"/>
              </w:rPr>
              <w:t>代码量</w:t>
            </w:r>
          </w:p>
        </w:tc>
      </w:tr>
      <w:tr>
        <w:tc>
          <w:tcPr>
            <w:tcW w:type="dxa" w:w="2835"/>
          </w:tcPr>
          <w:p>
            <w:r/>
            <w:r>
              <w:rPr>
                <w:rFonts w:ascii="宋体" w:hAnsi="宋体" w:eastAsia="宋体"/>
                <w:sz w:val="20"/>
              </w:rPr>
              <w:t>comm/buildUAVRelayGraph.m</w:t>
            </w:r>
          </w:p>
        </w:tc>
        <w:tc>
          <w:tcPr>
            <w:tcW w:type="dxa" w:w="850"/>
          </w:tcPr>
          <w:p>
            <w:r/>
            <w:r>
              <w:rPr>
                <w:rFonts w:ascii="宋体" w:hAnsi="宋体" w:eastAsia="宋体"/>
                <w:sz w:val="20"/>
              </w:rPr>
              <w:t>修改</w:t>
            </w:r>
          </w:p>
        </w:tc>
        <w:tc>
          <w:tcPr>
            <w:tcW w:type="dxa" w:w="3402"/>
          </w:tcPr>
          <w:p>
            <w:r/>
            <w:r>
              <w:rPr>
                <w:rFonts w:ascii="宋体" w:hAnsi="宋体" w:eastAsia="宋体"/>
                <w:sz w:val="20"/>
              </w:rPr>
              <w:t>evaluateLink()中增加SINR/数据率计算；hasTerrainLoS()中增加Fresnel余量参数；输出双层图G^B和G^L</w:t>
            </w:r>
          </w:p>
        </w:tc>
        <w:tc>
          <w:tcPr>
            <w:tcW w:type="dxa" w:w="1134"/>
          </w:tcPr>
          <w:p>
            <w:r/>
            <w:r>
              <w:rPr>
                <w:rFonts w:ascii="宋体" w:hAnsi="宋体" w:eastAsia="宋体"/>
                <w:sz w:val="20"/>
              </w:rPr>
              <w:t>~80行</w:t>
            </w:r>
          </w:p>
        </w:tc>
      </w:tr>
      <w:tr>
        <w:tc>
          <w:tcPr>
            <w:tcW w:type="dxa" w:w="2835"/>
          </w:tcPr>
          <w:p>
            <w:r/>
            <w:r>
              <w:rPr>
                <w:rFonts w:ascii="宋体" w:hAnsi="宋体" w:eastAsia="宋体"/>
                <w:sz w:val="20"/>
              </w:rPr>
              <w:t>comm/buildUAVRelayGraph.m</w:t>
            </w:r>
          </w:p>
        </w:tc>
        <w:tc>
          <w:tcPr>
            <w:tcW w:type="dxa" w:w="850"/>
          </w:tcPr>
          <w:p>
            <w:r/>
            <w:r>
              <w:rPr>
                <w:rFonts w:ascii="宋体" w:hAnsi="宋体" w:eastAsia="宋体"/>
                <w:sz w:val="20"/>
              </w:rPr>
              <w:t>新增子函数</w:t>
            </w:r>
          </w:p>
        </w:tc>
        <w:tc>
          <w:tcPr>
            <w:tcW w:type="dxa" w:w="3402"/>
          </w:tcPr>
          <w:p>
            <w:r/>
            <w:r>
              <w:rPr>
                <w:rFonts w:ascii="宋体" w:hAnsi="宋体" w:eastAsia="宋体"/>
                <w:sz w:val="20"/>
              </w:rPr>
              <w:t>computeSINR(), computeDataRate(), computePathLoss()</w:t>
            </w:r>
          </w:p>
        </w:tc>
        <w:tc>
          <w:tcPr>
            <w:tcW w:type="dxa" w:w="1134"/>
          </w:tcPr>
          <w:p>
            <w:r/>
            <w:r>
              <w:rPr>
                <w:rFonts w:ascii="宋体" w:hAnsi="宋体" w:eastAsia="宋体"/>
                <w:sz w:val="20"/>
              </w:rPr>
              <w:t>~40行</w:t>
            </w:r>
          </w:p>
        </w:tc>
      </w:tr>
      <w:tr>
        <w:tc>
          <w:tcPr>
            <w:tcW w:type="dxa" w:w="2835"/>
          </w:tcPr>
          <w:p>
            <w:r/>
            <w:r>
              <w:rPr>
                <w:rFonts w:ascii="宋体" w:hAnsi="宋体" w:eastAsia="宋体"/>
                <w:sz w:val="20"/>
              </w:rPr>
              <w:t>core/selectBestAction.m</w:t>
            </w:r>
          </w:p>
        </w:tc>
        <w:tc>
          <w:tcPr>
            <w:tcW w:type="dxa" w:w="850"/>
          </w:tcPr>
          <w:p>
            <w:r/>
            <w:r>
              <w:rPr>
                <w:rFonts w:ascii="宋体" w:hAnsi="宋体" w:eastAsia="宋体"/>
                <w:sz w:val="20"/>
              </w:rPr>
              <w:t>修改</w:t>
            </w:r>
          </w:p>
        </w:tc>
        <w:tc>
          <w:tcPr>
            <w:tcW w:type="dxa" w:w="3402"/>
          </w:tcPr>
          <w:p>
            <w:r/>
            <w:r>
              <w:rPr>
                <w:rFonts w:ascii="宋体" w:hAnsi="宋体" w:eastAsia="宋体"/>
                <w:sz w:val="20"/>
              </w:rPr>
              <w:t>在候选动作评分前增加硬约束过滤步骤</w:t>
            </w:r>
          </w:p>
        </w:tc>
        <w:tc>
          <w:tcPr>
            <w:tcW w:type="dxa" w:w="1134"/>
          </w:tcPr>
          <w:p>
            <w:r/>
            <w:r>
              <w:rPr>
                <w:rFonts w:ascii="宋体" w:hAnsi="宋体" w:eastAsia="宋体"/>
                <w:sz w:val="20"/>
              </w:rPr>
              <w:t>~25行</w:t>
            </w:r>
          </w:p>
        </w:tc>
      </w:tr>
      <w:tr>
        <w:tc>
          <w:tcPr>
            <w:tcW w:type="dxa" w:w="2835"/>
          </w:tcPr>
          <w:p>
            <w:r/>
            <w:r>
              <w:rPr>
                <w:rFonts w:ascii="宋体" w:hAnsi="宋体" w:eastAsia="宋体"/>
                <w:sz w:val="20"/>
              </w:rPr>
              <w:t>core/evaluateCandidate.m</w:t>
            </w:r>
          </w:p>
        </w:tc>
        <w:tc>
          <w:tcPr>
            <w:tcW w:type="dxa" w:w="850"/>
          </w:tcPr>
          <w:p>
            <w:r/>
            <w:r>
              <w:rPr>
                <w:rFonts w:ascii="宋体" w:hAnsi="宋体" w:eastAsia="宋体"/>
                <w:sz w:val="20"/>
              </w:rPr>
              <w:t>修改</w:t>
            </w:r>
          </w:p>
        </w:tc>
        <w:tc>
          <w:tcPr>
            <w:tcW w:type="dxa" w:w="3402"/>
          </w:tcPr>
          <w:p>
            <w:r/>
            <w:r>
              <w:rPr>
                <w:rFonts w:ascii="宋体" w:hAnsi="宋体" w:eastAsia="宋体"/>
                <w:sz w:val="20"/>
              </w:rPr>
              <w:t>评分函数中的relayScore改用SINR基底（接口变化）</w:t>
            </w:r>
          </w:p>
        </w:tc>
        <w:tc>
          <w:tcPr>
            <w:tcW w:type="dxa" w:w="1134"/>
          </w:tcPr>
          <w:p>
            <w:r/>
            <w:r>
              <w:rPr>
                <w:rFonts w:ascii="宋体" w:hAnsi="宋体" w:eastAsia="宋体"/>
                <w:sz w:val="20"/>
              </w:rPr>
              <w:t>~10行</w:t>
            </w:r>
          </w:p>
        </w:tc>
      </w:tr>
      <w:tr>
        <w:tc>
          <w:tcPr>
            <w:tcW w:type="dxa" w:w="2835"/>
          </w:tcPr>
          <w:p>
            <w:r/>
            <w:r>
              <w:rPr>
                <w:rFonts w:ascii="宋体" w:hAnsi="宋体" w:eastAsia="宋体"/>
                <w:sz w:val="20"/>
              </w:rPr>
              <w:t>comm/computeCommunicationMetrics.m</w:t>
            </w:r>
          </w:p>
        </w:tc>
        <w:tc>
          <w:tcPr>
            <w:tcW w:type="dxa" w:w="850"/>
          </w:tcPr>
          <w:p>
            <w:r/>
            <w:r>
              <w:rPr>
                <w:rFonts w:ascii="宋体" w:hAnsi="宋体" w:eastAsia="宋体"/>
                <w:sz w:val="20"/>
              </w:rPr>
              <w:t>新建</w:t>
            </w:r>
          </w:p>
        </w:tc>
        <w:tc>
          <w:tcPr>
            <w:tcW w:type="dxa" w:w="3402"/>
          </w:tcPr>
          <w:p>
            <w:r/>
            <w:r>
              <w:rPr>
                <w:rFonts w:ascii="宋体" w:hAnsi="宋体" w:eastAsia="宋体"/>
                <w:sz w:val="20"/>
              </w:rPr>
              <w:t>8项通信评价指标的统计计算</w:t>
            </w:r>
          </w:p>
        </w:tc>
        <w:tc>
          <w:tcPr>
            <w:tcW w:type="dxa" w:w="1134"/>
          </w:tcPr>
          <w:p>
            <w:r/>
            <w:r>
              <w:rPr>
                <w:rFonts w:ascii="宋体" w:hAnsi="宋体" w:eastAsia="宋体"/>
                <w:sz w:val="20"/>
              </w:rPr>
              <w:t>~80行</w:t>
            </w:r>
          </w:p>
        </w:tc>
      </w:tr>
      <w:tr>
        <w:tc>
          <w:tcPr>
            <w:tcW w:type="dxa" w:w="2835"/>
          </w:tcPr>
          <w:p>
            <w:r/>
            <w:r>
              <w:rPr>
                <w:rFonts w:ascii="宋体" w:hAnsi="宋体" w:eastAsia="宋体"/>
                <w:sz w:val="20"/>
              </w:rPr>
              <w:t>core/runSearchSimulation.m</w:t>
            </w:r>
          </w:p>
        </w:tc>
        <w:tc>
          <w:tcPr>
            <w:tcW w:type="dxa" w:w="850"/>
          </w:tcPr>
          <w:p>
            <w:r/>
            <w:r>
              <w:rPr>
                <w:rFonts w:ascii="宋体" w:hAnsi="宋体" w:eastAsia="宋体"/>
                <w:sz w:val="20"/>
              </w:rPr>
              <w:t>修改</w:t>
            </w:r>
          </w:p>
        </w:tc>
        <w:tc>
          <w:tcPr>
            <w:tcW w:type="dxa" w:w="3402"/>
          </w:tcPr>
          <w:p>
            <w:r/>
            <w:r>
              <w:rPr>
                <w:rFonts w:ascii="宋体" w:hAnsi="宋体" w:eastAsia="宋体"/>
                <w:sz w:val="20"/>
              </w:rPr>
              <w:t>扩展history数组，记录新增的8项指标</w:t>
            </w:r>
          </w:p>
        </w:tc>
        <w:tc>
          <w:tcPr>
            <w:tcW w:type="dxa" w:w="1134"/>
          </w:tcPr>
          <w:p>
            <w:r/>
            <w:r>
              <w:rPr>
                <w:rFonts w:ascii="宋体" w:hAnsi="宋体" w:eastAsia="宋体"/>
                <w:sz w:val="20"/>
              </w:rPr>
              <w:t>~30行</w:t>
            </w:r>
          </w:p>
        </w:tc>
      </w:tr>
      <w:tr>
        <w:tc>
          <w:tcPr>
            <w:tcW w:type="dxa" w:w="2835"/>
          </w:tcPr>
          <w:p>
            <w:r/>
            <w:r>
              <w:rPr>
                <w:rFonts w:ascii="宋体" w:hAnsi="宋体" w:eastAsia="宋体"/>
                <w:sz w:val="20"/>
              </w:rPr>
              <w:t>init/getDefaultParams.m</w:t>
            </w:r>
          </w:p>
        </w:tc>
        <w:tc>
          <w:tcPr>
            <w:tcW w:type="dxa" w:w="850"/>
          </w:tcPr>
          <w:p>
            <w:r/>
            <w:r>
              <w:rPr>
                <w:rFonts w:ascii="宋体" w:hAnsi="宋体" w:eastAsia="宋体"/>
                <w:sz w:val="20"/>
              </w:rPr>
              <w:t>修改</w:t>
            </w:r>
          </w:p>
        </w:tc>
        <w:tc>
          <w:tcPr>
            <w:tcW w:type="dxa" w:w="3402"/>
          </w:tcPr>
          <w:p>
            <w:r/>
            <w:r>
              <w:rPr>
                <w:rFonts w:ascii="宋体" w:hAnsi="宋体" w:eastAsia="宋体"/>
                <w:sz w:val="20"/>
              </w:rPr>
              <w:t>增加SINR/阈值/Fresnel/Fading参数</w:t>
            </w:r>
          </w:p>
        </w:tc>
        <w:tc>
          <w:tcPr>
            <w:tcW w:type="dxa" w:w="1134"/>
          </w:tcPr>
          <w:p>
            <w:r/>
            <w:r>
              <w:rPr>
                <w:rFonts w:ascii="宋体" w:hAnsi="宋体" w:eastAsia="宋体"/>
                <w:sz w:val="20"/>
              </w:rPr>
              <w:t>~25行</w:t>
            </w:r>
          </w:p>
        </w:tc>
      </w:tr>
      <w:tr>
        <w:tc>
          <w:tcPr>
            <w:tcW w:type="dxa" w:w="2835"/>
          </w:tcPr>
          <w:p>
            <w:r/>
            <w:r>
              <w:rPr>
                <w:rFonts w:ascii="宋体" w:hAnsi="宋体" w:eastAsia="宋体"/>
                <w:sz w:val="20"/>
              </w:rPr>
              <w:t>init/initializeHistoryAndVisualization.m</w:t>
            </w:r>
          </w:p>
        </w:tc>
        <w:tc>
          <w:tcPr>
            <w:tcW w:type="dxa" w:w="850"/>
          </w:tcPr>
          <w:p>
            <w:r/>
            <w:r>
              <w:rPr>
                <w:rFonts w:ascii="宋体" w:hAnsi="宋体" w:eastAsia="宋体"/>
                <w:sz w:val="20"/>
              </w:rPr>
              <w:t>修改</w:t>
            </w:r>
          </w:p>
        </w:tc>
        <w:tc>
          <w:tcPr>
            <w:tcW w:type="dxa" w:w="3402"/>
          </w:tcPr>
          <w:p>
            <w:r/>
            <w:r>
              <w:rPr>
                <w:rFonts w:ascii="宋体" w:hAnsi="宋体" w:eastAsia="宋体"/>
                <w:sz w:val="20"/>
              </w:rPr>
              <w:t>扩展历史记录数组的初始化</w:t>
            </w:r>
          </w:p>
        </w:tc>
        <w:tc>
          <w:tcPr>
            <w:tcW w:type="dxa" w:w="1134"/>
          </w:tcPr>
          <w:p>
            <w:r/>
            <w:r>
              <w:rPr>
                <w:rFonts w:ascii="宋体" w:hAnsi="宋体" w:eastAsia="宋体"/>
                <w:sz w:val="20"/>
              </w:rPr>
              <w:t>~20行</w:t>
            </w:r>
          </w:p>
        </w:tc>
      </w:tr>
      <w:tr>
        <w:tc>
          <w:tcPr>
            <w:tcW w:type="dxa" w:w="2835"/>
          </w:tcPr>
          <w:p>
            <w:r/>
            <w:r>
              <w:rPr>
                <w:rFonts w:ascii="宋体" w:hAnsi="宋体" w:eastAsia="宋体"/>
                <w:sz w:val="20"/>
              </w:rPr>
              <w:t>合计</w:t>
            </w:r>
          </w:p>
        </w:tc>
        <w:tc>
          <w:tcPr>
            <w:tcW w:type="dxa" w:w="850"/>
          </w:tcPr>
          <w:p>
            <w:r/>
            <w:r>
              <w:rPr>
                <w:rFonts w:ascii="宋体" w:hAnsi="宋体" w:eastAsia="宋体"/>
                <w:sz w:val="20"/>
              </w:rPr>
              <w:t>—</w:t>
            </w:r>
          </w:p>
        </w:tc>
        <w:tc>
          <w:tcPr>
            <w:tcW w:type="dxa" w:w="3402"/>
          </w:tcPr>
          <w:p>
            <w:r/>
            <w:r>
              <w:rPr>
                <w:rFonts w:ascii="宋体" w:hAnsi="宋体" w:eastAsia="宋体"/>
                <w:sz w:val="20"/>
              </w:rPr>
              <w:t>—</w:t>
            </w:r>
          </w:p>
        </w:tc>
        <w:tc>
          <w:tcPr>
            <w:tcW w:type="dxa" w:w="1134"/>
          </w:tcPr>
          <w:p>
            <w:r/>
            <w:r>
              <w:rPr>
                <w:rFonts w:ascii="宋体" w:hAnsi="宋体" w:eastAsia="宋体"/>
                <w:sz w:val="20"/>
              </w:rPr>
              <w:t>~310行</w:t>
            </w:r>
          </w:p>
        </w:tc>
      </w:tr>
    </w:tbl>
    <w:p/>
    <w:p>
      <w:pPr>
        <w:pStyle w:val="Heading2"/>
      </w:pPr>
      <w:r>
        <w:t>10.3 与现有代码的关系</w:t>
      </w:r>
    </w:p>
    <w:p>
      <w:pPr>
        <w:ind w:firstLine="420"/>
      </w:pPr>
      <w:r>
        <w:rPr>
          <w:rFonts w:ascii="宋体" w:hAnsi="宋体" w:eastAsia="宋体"/>
        </w:rPr>
        <w:t>本通信建模优化是增量式改进，而非推倒重来：</w:t>
      </w:r>
    </w:p>
    <w:p>
      <w:pPr>
        <w:pStyle w:val="ListBullet"/>
        <w:ind w:left="720"/>
      </w:pPr>
      <w:r>
        <w:t>保留：路径规划算法框架（selectBestAction → evaluateCandidate 的主循环结构）、熵-信息素引导机制、UAV/USV运动模型、传感器观测模型、DEM地形生成器——全部保持不变；</w:t>
      </w:r>
    </w:p>
    <w:p>
      <w:pPr>
        <w:pStyle w:val="ListBullet"/>
        <w:ind w:left="720"/>
      </w:pPr>
      <w:r>
        <w:t>增强：buildUAVRelayGraph() 的链路评估和通信图构建——在保留BFS连通分量分析逻辑的基础上，升级底层的链路质量计算模型；</w:t>
      </w:r>
    </w:p>
    <w:p>
      <w:pPr>
        <w:pStyle w:val="ListBullet"/>
        <w:ind w:left="720"/>
      </w:pPr>
      <w:r>
        <w:t>新增：通信硬约束过滤步骤（嵌入selectBestAction）、通信指标综合计算函数（新建文件）、扩展的历史记录（扩展现有数组）；</w:t>
      </w:r>
    </w:p>
    <w:p>
      <w:pPr>
        <w:pStyle w:val="ListBullet"/>
        <w:ind w:left="720"/>
      </w:pPr>
      <w:r>
        <w:t>调整：getDefaultParams() 增加约10个新参数，部分原有参数（如commTerrainClearanceKm）的默认值可能微调。</w:t>
      </w:r>
    </w:p>
    <w:p>
      <w:pPr>
        <w:ind w:firstLine="420"/>
      </w:pPr>
      <w:r>
        <w:rPr>
          <w:rFonts w:ascii="宋体" w:hAnsi="宋体" w:eastAsia="宋体"/>
        </w:rPr>
        <w:t>三个版本的算法（OldAlgorithm / NewAlgorithm / TerrainCommAlgorithm）中，仅 TerrainCommAlgorithm 集成上述改进。OldAlgorithm 和 NewAlgorithm 作为2D基准保持不变，用于对比实验以验证通信建模改进的效果。</w:t>
      </w:r>
    </w:p>
    <w:p/>
    <w:p>
      <w:pPr>
        <w:jc w:val="center"/>
      </w:pPr>
      <w:r>
        <w:rPr>
          <w:rFonts w:ascii="宋体" w:hAnsi="宋体" w:eastAsia="宋体"/>
          <w:b/>
        </w:rPr>
        <w:t>— 全文完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