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8"/>
        </w:rPr>
        <w:t>IILM UNIVERSITY</w:t>
      </w:r>
    </w:p>
    <w:p>
      <w:pPr>
        <w:jc w:val="center"/>
      </w:pPr>
      <w:r>
        <w:rPr>
          <w:rFonts w:ascii="Aptos" w:hAnsi="Aptos"/>
          <w:b/>
          <w:sz w:val="26"/>
        </w:rPr>
        <w:t>School of Computer Science &amp; Engineering</w:t>
      </w:r>
    </w:p>
    <w:p/>
    <w:p>
      <w:pPr>
        <w:jc w:val="center"/>
      </w:pPr>
      <w:r>
        <w:rPr>
          <w:rFonts w:ascii="Aptos" w:hAnsi="Aptos"/>
          <w:b/>
          <w:sz w:val="40"/>
        </w:rPr>
        <w:t>INTERNSHIP / JOB SIMULATION REPORT</w:t>
      </w:r>
    </w:p>
    <w:p>
      <w:pPr>
        <w:jc w:val="center"/>
      </w:pPr>
      <w:r>
        <w:rPr>
          <w:rFonts w:ascii="Aptos" w:hAnsi="Aptos"/>
          <w:b/>
          <w:sz w:val="44"/>
        </w:rPr>
        <w:t>Goldman Sachs – Internal Audit Job Simulation</w:t>
      </w:r>
    </w:p>
    <w:p/>
    <w:p>
      <w:pPr>
        <w:jc w:val="center"/>
      </w:pPr>
      <w:r>
        <w:rPr>
          <w:rFonts w:ascii="Aptos" w:hAnsi="Aptos"/>
          <w:b w:val="0"/>
          <w:sz w:val="22"/>
        </w:rPr>
        <w:t>Submitted in partial fulfilment of the requirements for the degree of</w:t>
      </w:r>
    </w:p>
    <w:p>
      <w:pPr>
        <w:jc w:val="center"/>
      </w:pPr>
      <w:r>
        <w:rPr>
          <w:rFonts w:ascii="Aptos" w:hAnsi="Aptos"/>
          <w:b/>
          <w:sz w:val="24"/>
        </w:rPr>
        <w:t>B.Tech (Computer Science &amp; Engineering)</w:t>
      </w:r>
    </w:p>
    <w:p/>
    <w:p>
      <w:pPr>
        <w:jc w:val="center"/>
      </w:pPr>
      <w:r>
        <w:rPr>
          <w:rFonts w:ascii="Aptos" w:hAnsi="Aptos"/>
          <w:b/>
          <w:sz w:val="22"/>
        </w:rPr>
        <w:t>Submitted By</w:t>
      </w:r>
    </w:p>
    <w:p>
      <w:pPr>
        <w:jc w:val="center"/>
      </w:pPr>
      <w:r>
        <w:rPr>
          <w:rFonts w:ascii="Aptos" w:hAnsi="Aptos"/>
          <w:b/>
          <w:sz w:val="32"/>
        </w:rPr>
        <w:t>Sarthak Shubham</w:t>
      </w:r>
    </w:p>
    <w:p>
      <w:pPr>
        <w:jc w:val="center"/>
      </w:pPr>
      <w:r>
        <w:rPr>
          <w:rFonts w:ascii="Aptos" w:hAnsi="Aptos"/>
          <w:b w:val="0"/>
          <w:sz w:val="22"/>
        </w:rPr>
        <w:t>Roll Number: 25SCS1003002959</w:t>
      </w:r>
    </w:p>
    <w:p>
      <w:pPr>
        <w:jc w:val="center"/>
      </w:pPr>
      <w:r>
        <w:rPr>
          <w:rFonts w:ascii="Aptos" w:hAnsi="Aptos"/>
          <w:b w:val="0"/>
          <w:sz w:val="22"/>
        </w:rPr>
        <w:t>Batch: 2025–2029</w:t>
      </w:r>
    </w:p>
    <w:p>
      <w:pPr>
        <w:jc w:val="center"/>
      </w:pPr>
      <w:r>
        <w:rPr>
          <w:rFonts w:ascii="Aptos" w:hAnsi="Aptos"/>
          <w:b w:val="0"/>
          <w:sz w:val="22"/>
        </w:rPr>
        <w:t>IILM University, Greater Noida, U.P.</w:t>
      </w:r>
    </w:p>
    <w:p/>
    <w:p>
      <w:pPr>
        <w:jc w:val="center"/>
      </w:pPr>
      <w:r>
        <w:rPr>
          <w:rFonts w:ascii="Aptos" w:hAnsi="Aptos"/>
          <w:b/>
          <w:sz w:val="22"/>
        </w:rPr>
        <w:t>Platform: Forage</w:t>
      </w:r>
    </w:p>
    <w:p>
      <w:pPr>
        <w:jc w:val="center"/>
      </w:pPr>
      <w:r>
        <w:rPr>
          <w:rFonts w:ascii="Aptos" w:hAnsi="Aptos"/>
          <w:b w:val="0"/>
          <w:sz w:val="22"/>
        </w:rPr>
        <w:t>Completion Period: September 2026</w:t>
      </w:r>
    </w:p>
    <w:p>
      <w:r>
        <w:br w:type="page"/>
      </w:r>
    </w:p>
    <w:p>
      <w:pPr>
        <w:jc w:val="center"/>
      </w:pPr>
      <w:r>
        <w:rPr>
          <w:rFonts w:ascii="Aptos" w:hAnsi="Aptos"/>
          <w:b/>
          <w:sz w:val="32"/>
        </w:rPr>
        <w:t>CANDIDATE'S DECLARATION</w:t>
      </w:r>
    </w:p>
    <w:p>
      <w:pPr>
        <w:spacing w:after="120"/>
      </w:pPr>
      <w:r>
        <w:t>I, Sarthak Shubham, hereby declare that this report titled “Goldman Sachs – Internal Audit Job Simulation” has been prepared to document my participation in the Forage virtual job simulation. The report is based on the practical activities, scenario analysis and risk-assessment work completed during the simulation.</w:t>
      </w:r>
    </w:p>
    <w:p>
      <w:pPr>
        <w:spacing w:after="120"/>
      </w:pPr>
      <w:r>
        <w:t>I understand that the program was a virtual job simulation designed to provide a risk-free experience of professional tasks. The report therefore presents the work as simulated learning and practical exposure and does not represent employment or an internship as an employee of Goldman Sachs.</w:t>
      </w:r>
    </w:p>
    <w:p>
      <w:pPr>
        <w:spacing w:after="120"/>
      </w:pPr>
      <w:r>
        <w:t>The work documented includes the Foundations of Internal Audit task and the Risk Assessment in Global Banking &amp; Markets task, together with the associated personal-finance risk assessment and scenario responses.</w:t>
      </w:r>
    </w:p>
    <w:p/>
    <w:p>
      <w:pPr>
        <w:spacing w:after="120"/>
      </w:pPr>
      <w:r>
        <w:t>Signature: ______________________________</w:t>
      </w:r>
    </w:p>
    <w:p>
      <w:pPr>
        <w:spacing w:after="120"/>
      </w:pPr>
      <w:r>
        <w:t>Student Name: Sarthak Shubham</w:t>
      </w:r>
    </w:p>
    <w:p>
      <w:pPr>
        <w:spacing w:after="120"/>
      </w:pPr>
      <w:r>
        <w:t>Roll No.: 25SCS1003002959</w:t>
      </w:r>
    </w:p>
    <w:p>
      <w:r>
        <w:br w:type="page"/>
      </w:r>
    </w:p>
    <w:p>
      <w:pPr>
        <w:jc w:val="center"/>
      </w:pPr>
      <w:r>
        <w:rPr>
          <w:rFonts w:ascii="Aptos" w:hAnsi="Aptos"/>
          <w:b/>
          <w:sz w:val="32"/>
        </w:rPr>
        <w:t>ACKNOWLEDGEMENT</w:t>
      </w:r>
    </w:p>
    <w:p>
      <w:pPr>
        <w:spacing w:after="120"/>
      </w:pPr>
      <w:r>
        <w:t>I would like to express my gratitude to everyone who supported me in completing the Goldman Sachs Internal Audit Job Simulation through Forage.</w:t>
      </w:r>
    </w:p>
    <w:p>
      <w:pPr>
        <w:spacing w:after="120"/>
      </w:pPr>
      <w:r>
        <w:t>I am thankful to Forage for providing a structured, risk-free environment in which students can experience realistic professional tasks. The simulation helped me understand how internal audit, risk identification and control assessment can be applied to financial and business situations.</w:t>
      </w:r>
    </w:p>
    <w:p>
      <w:pPr>
        <w:spacing w:after="120"/>
      </w:pPr>
      <w:r>
        <w:t>I am also thankful to IILM University, Greater Noida, and the faculty of the School of Computer Science &amp; Engineering for their academic support and encouragement. Finally, I express my gratitude to my family for their continued support.</w:t>
      </w:r>
    </w:p>
    <w:p>
      <w:pPr>
        <w:spacing w:after="120"/>
      </w:pPr>
      <w:r>
        <w:t>Student Name: Sarthak Shubham</w:t>
      </w:r>
    </w:p>
    <w:p>
      <w:pPr>
        <w:spacing w:after="120"/>
      </w:pPr>
      <w:r>
        <w:t>Roll No.: 25SCS1003002959</w:t>
      </w:r>
    </w:p>
    <w:p>
      <w:r>
        <w:br w:type="page"/>
      </w:r>
    </w:p>
    <w:p>
      <w:pPr>
        <w:jc w:val="center"/>
      </w:pPr>
      <w:r>
        <w:rPr>
          <w:rFonts w:ascii="Aptos" w:hAnsi="Aptos"/>
          <w:b/>
          <w:sz w:val="32"/>
        </w:rPr>
        <w:t>TABLE OF CONTENTS</w:t>
      </w:r>
    </w:p>
    <w:p>
      <w:r>
        <w:rPr>
          <w:b/>
        </w:rPr>
        <w:t xml:space="preserve">1. </w:t>
      </w:r>
      <w:r>
        <w:t>Introduction</w:t>
      </w:r>
      <w:r>
        <w:t xml:space="preserve">                                           1</w:t>
      </w:r>
    </w:p>
    <w:p>
      <w:r>
        <w:rPr>
          <w:b/>
        </w:rPr>
        <w:t xml:space="preserve">2. </w:t>
      </w:r>
      <w:r>
        <w:t>Organization &amp; Job Simulation Profile</w:t>
      </w:r>
      <w:r>
        <w:t xml:space="preserve">                  2</w:t>
      </w:r>
    </w:p>
    <w:p>
      <w:r>
        <w:rPr>
          <w:b/>
        </w:rPr>
        <w:t xml:space="preserve">3. </w:t>
      </w:r>
      <w:r>
        <w:t>Problem Statement &amp; Industry Context</w:t>
      </w:r>
      <w:r>
        <w:t xml:space="preserve">                   3</w:t>
      </w:r>
    </w:p>
    <w:p>
      <w:r>
        <w:rPr>
          <w:b/>
        </w:rPr>
        <w:t xml:space="preserve">4. </w:t>
      </w:r>
      <w:r>
        <w:t>Task 1 – Foundations of Internal Audit</w:t>
      </w:r>
      <w:r>
        <w:t xml:space="preserve">                 4</w:t>
      </w:r>
    </w:p>
    <w:p>
      <w:r>
        <w:rPr>
          <w:b/>
        </w:rPr>
        <w:t xml:space="preserve">5. </w:t>
      </w:r>
      <w:r>
        <w:t>Task 2 – Risk Assessment in Global Banking &amp; Markets</w:t>
      </w:r>
      <w:r>
        <w:t xml:space="preserve">   5</w:t>
      </w:r>
    </w:p>
    <w:p>
      <w:r>
        <w:rPr>
          <w:b/>
        </w:rPr>
        <w:t xml:space="preserve">6. </w:t>
      </w:r>
      <w:r>
        <w:t>Scenario Analysis &amp; Recommendations</w:t>
      </w:r>
      <w:r>
        <w:t xml:space="preserve">                    6</w:t>
      </w:r>
    </w:p>
    <w:p>
      <w:r>
        <w:rPr>
          <w:b/>
        </w:rPr>
        <w:t xml:space="preserve">7. </w:t>
      </w:r>
      <w:r>
        <w:t>Personal Finance Risk Assessment</w:t>
      </w:r>
      <w:r>
        <w:t xml:space="preserve">                       8</w:t>
      </w:r>
    </w:p>
    <w:p>
      <w:r>
        <w:rPr>
          <w:b/>
        </w:rPr>
        <w:t xml:space="preserve">8. </w:t>
      </w:r>
      <w:r>
        <w:t>Methodology &amp; Skills Developed</w:t>
      </w:r>
      <w:r>
        <w:t xml:space="preserve">                         9</w:t>
      </w:r>
    </w:p>
    <w:p>
      <w:r>
        <w:rPr>
          <w:b/>
        </w:rPr>
        <w:t xml:space="preserve">9. </w:t>
      </w:r>
      <w:r>
        <w:t>Key Learning Outcomes &amp; Conclusion</w:t>
      </w:r>
      <w:r>
        <w:t xml:space="preserve">                     10</w:t>
      </w:r>
    </w:p>
    <w:p>
      <w:r>
        <w:rPr>
          <w:b/>
        </w:rPr>
        <w:t xml:space="preserve">10. </w:t>
      </w:r>
      <w:r>
        <w:t>Certificate &amp; Submitted Work Products</w:t>
      </w:r>
      <w:r>
        <w:t xml:space="preserve">                  11</w:t>
      </w:r>
    </w:p>
    <w:p>
      <w:r>
        <w:rPr>
          <w:b/>
        </w:rPr>
        <w:t xml:space="preserve">11. </w:t>
      </w:r>
      <w:r>
        <w:t>References</w:t>
      </w:r>
      <w:r>
        <w:t xml:space="preserve">                                             12</w:t>
      </w:r>
    </w:p>
    <w:p>
      <w:r>
        <w:br w:type="page"/>
      </w:r>
    </w:p>
    <w:p>
      <w:pPr>
        <w:pStyle w:val="Heading1"/>
      </w:pPr>
      <w:r>
        <w:t>1. Introduction</w:t>
      </w:r>
    </w:p>
    <w:p>
      <w:pPr>
        <w:spacing w:after="120"/>
      </w:pPr>
      <w:r>
        <w:t>This report presents the work completed during the Goldman Sachs Internal Audit Job Simulation on the Forage platform. The program was designed as a risk-free way for students to experience realistic work tasks and develop confidence in professional applications.</w:t>
      </w:r>
    </w:p>
    <w:p>
      <w:pPr>
        <w:spacing w:after="120"/>
      </w:pPr>
      <w:r>
        <w:t>The simulation introduced the learner to the role of internal audit in the financial ecosystem. It emphasized risk awareness, control assessment and the importance of identifying issues that could affect business operations, financial performance, clients or regulatory responsibilities.</w:t>
      </w:r>
    </w:p>
    <w:p>
      <w:pPr>
        <w:spacing w:after="120"/>
      </w:pPr>
      <w:r>
        <w:t>The simulation was completed during September 2026. The official certificate records Sarthak Shubham as a participant who completed practical tasks in Foundations of Internal Audit and Risk Assessment in Global Banking &amp; Markets.</w:t>
      </w:r>
    </w:p>
    <w:p>
      <w:pPr>
        <w:pStyle w:val="Heading2"/>
      </w:pPr>
      <w:r>
        <w:t>1.1 Candidate Details</w:t>
      </w:r>
    </w:p>
    <w:tbl>
      <w:tblPr>
        <w:tblStyle w:val="TableGrid"/>
        <w:tblW w:type="auto" w:w="0"/>
        <w:tblLook w:firstColumn="1" w:firstRow="1" w:lastColumn="0" w:lastRow="0" w:noHBand="0" w:noVBand="1" w:val="04A0"/>
      </w:tblPr>
      <w:tblGrid>
        <w:gridCol w:w="4968"/>
        <w:gridCol w:w="4968"/>
      </w:tblGrid>
      <w:tr>
        <w:tc>
          <w:tcPr>
            <w:tcW w:type="dxa" w:w="4968"/>
            <w:shd w:fill="EAF1FB"/>
          </w:tcPr>
          <w:p>
            <w:r>
              <w:t>Student Name</w:t>
            </w:r>
          </w:p>
        </w:tc>
        <w:tc>
          <w:tcPr>
            <w:tcW w:type="dxa" w:w="4968"/>
          </w:tcPr>
          <w:p>
            <w:r>
              <w:t>Sarthak Shubham</w:t>
            </w:r>
          </w:p>
        </w:tc>
      </w:tr>
      <w:tr>
        <w:tc>
          <w:tcPr>
            <w:tcW w:type="dxa" w:w="4968"/>
            <w:shd w:fill="EAF1FB"/>
          </w:tcPr>
          <w:p>
            <w:r>
              <w:t>Roll Number</w:t>
            </w:r>
          </w:p>
        </w:tc>
        <w:tc>
          <w:tcPr>
            <w:tcW w:type="dxa" w:w="4968"/>
          </w:tcPr>
          <w:p>
            <w:r>
              <w:t>25SCS1003002959</w:t>
            </w:r>
          </w:p>
        </w:tc>
      </w:tr>
      <w:tr>
        <w:tc>
          <w:tcPr>
            <w:tcW w:type="dxa" w:w="4968"/>
            <w:shd w:fill="EAF1FB"/>
          </w:tcPr>
          <w:p>
            <w:r>
              <w:t>Degree</w:t>
            </w:r>
          </w:p>
        </w:tc>
        <w:tc>
          <w:tcPr>
            <w:tcW w:type="dxa" w:w="4968"/>
          </w:tcPr>
          <w:p>
            <w:r>
              <w:t>B.Tech (Computer Science &amp; Engineering)</w:t>
            </w:r>
          </w:p>
        </w:tc>
      </w:tr>
      <w:tr>
        <w:tc>
          <w:tcPr>
            <w:tcW w:type="dxa" w:w="4968"/>
            <w:shd w:fill="EAF1FB"/>
          </w:tcPr>
          <w:p>
            <w:r>
              <w:t>Batch</w:t>
            </w:r>
          </w:p>
        </w:tc>
        <w:tc>
          <w:tcPr>
            <w:tcW w:type="dxa" w:w="4968"/>
          </w:tcPr>
          <w:p>
            <w:r>
              <w:t>2025–2029</w:t>
            </w:r>
          </w:p>
        </w:tc>
      </w:tr>
      <w:tr>
        <w:tc>
          <w:tcPr>
            <w:tcW w:type="dxa" w:w="4968"/>
            <w:shd w:fill="EAF1FB"/>
          </w:tcPr>
          <w:p>
            <w:r>
              <w:t>University</w:t>
            </w:r>
          </w:p>
        </w:tc>
        <w:tc>
          <w:tcPr>
            <w:tcW w:type="dxa" w:w="4968"/>
          </w:tcPr>
          <w:p>
            <w:r>
              <w:t>IILM University, Greater Noida, U.P.</w:t>
            </w:r>
          </w:p>
        </w:tc>
      </w:tr>
    </w:tbl>
    <w:p>
      <w:r>
        <w:br w:type="page"/>
      </w:r>
    </w:p>
    <w:p>
      <w:pPr>
        <w:pStyle w:val="Heading1"/>
      </w:pPr>
      <w:r>
        <w:t>2. Organization &amp; Job Simulation Profile</w:t>
      </w:r>
    </w:p>
    <w:p>
      <w:pPr>
        <w:spacing w:after="120"/>
      </w:pPr>
      <w:r>
        <w:t>Goldman Sachs is presented in the simulation as a leading global investment bank whose financial operations require strong controls, sound risk management and reliable processes. The course description explains that internal audit plays a critical role in the financial ecosystem and provides an opportunity to explore accounting and audit-related career work.</w:t>
      </w:r>
    </w:p>
    <w:p>
      <w:pPr>
        <w:spacing w:after="120"/>
      </w:pPr>
      <w:r>
        <w:t>Forage provides the virtual job-simulation environment. Instead of placing the student into an actual employee position, the platform presents example tasks that reproduce elements of professional work. This makes the experience suitable for learning, practice and application of analytical skills.</w:t>
      </w:r>
    </w:p>
    <w:p>
      <w:pPr>
        <w:pStyle w:val="Heading2"/>
      </w:pPr>
      <w:r>
        <w:t>2.1 Purpose of the Simulation</w:t>
      </w:r>
    </w:p>
    <w:p>
      <w:pPr>
        <w:pStyle w:val="ListBullet"/>
        <w:spacing w:after="60"/>
      </w:pPr>
      <w:r>
        <w:t>Understand fundamental concepts of internal auditing and its significance in financial institutions.</w:t>
      </w:r>
    </w:p>
    <w:p>
      <w:pPr>
        <w:pStyle w:val="ListBullet"/>
        <w:spacing w:after="60"/>
      </w:pPr>
      <w:r>
        <w:t>Develop a risk mindset for identifying potential issues in business processes.</w:t>
      </w:r>
    </w:p>
    <w:p>
      <w:pPr>
        <w:pStyle w:val="ListBullet"/>
        <w:spacing w:after="60"/>
      </w:pPr>
      <w:r>
        <w:t>Practice evaluating audit observations and control weaknesses.</w:t>
      </w:r>
    </w:p>
    <w:p>
      <w:pPr>
        <w:pStyle w:val="ListBullet"/>
        <w:spacing w:after="60"/>
      </w:pPr>
      <w:r>
        <w:t>Consider the implications of risks for business units and clients.</w:t>
      </w:r>
    </w:p>
    <w:p>
      <w:pPr>
        <w:pStyle w:val="ListBullet"/>
        <w:spacing w:after="60"/>
      </w:pPr>
      <w:r>
        <w:t>Develop the ability to communicate practical recommendations.</w:t>
      </w:r>
    </w:p>
    <w:p>
      <w:pPr>
        <w:pStyle w:val="Heading2"/>
      </w:pPr>
      <w:r>
        <w:t>2.2 Core Domain</w:t>
      </w:r>
    </w:p>
    <w:p>
      <w:pPr>
        <w:spacing w:after="120"/>
      </w:pPr>
      <w:r>
        <w:t>The main domain of the simulation was Internal Audit, with practical attention to risk assessment, financial operations, Global Banking and Markets processes, credit risk, trade execution and anti-money-laundering controls.</w:t>
      </w:r>
    </w:p>
    <w:p>
      <w:r>
        <w:br w:type="page"/>
      </w:r>
    </w:p>
    <w:p>
      <w:pPr>
        <w:pStyle w:val="Heading1"/>
      </w:pPr>
      <w:r>
        <w:t>3. Problem Statement &amp; Industry Context</w:t>
      </w:r>
    </w:p>
    <w:p>
      <w:pPr>
        <w:spacing w:after="120"/>
      </w:pPr>
      <w:r>
        <w:t>Financial institutions rely on interconnected processes, systems and controls. A weakness in one area can create consequences beyond the immediate process. For example, slow trade execution can affect financial results and client relationships; weak credit monitoring can allow deteriorating borrowers to become non-performing loans; and ineffective AML escalation can increase regulatory and reputational exposure.</w:t>
      </w:r>
    </w:p>
    <w:p>
      <w:pPr>
        <w:spacing w:after="120"/>
      </w:pPr>
      <w:r>
        <w:t>The simulation addresses this challenge by asking the learner to look beyond the surface observation and determine what the observation means from a risk and control perspective.</w:t>
      </w:r>
    </w:p>
    <w:p>
      <w:pPr>
        <w:pStyle w:val="Heading2"/>
      </w:pPr>
      <w:r>
        <w:t>3.1 Role of Internal Audit</w:t>
      </w:r>
    </w:p>
    <w:p>
      <w:pPr>
        <w:spacing w:after="120"/>
      </w:pPr>
      <w:r>
        <w:t>Within the context provided by the simulation, internal audit involves examining business processes and controls, identifying areas of risk, considering whether controls are effective, and communicating findings that can support improvements. The exercise therefore develops a structured way of thinking rather than simply checking whether an activity was completed.</w:t>
      </w:r>
    </w:p>
    <w:p>
      <w:pPr>
        <w:pStyle w:val="Heading2"/>
      </w:pPr>
      <w:r>
        <w:t>3.2 Risk Mindset</w:t>
      </w:r>
    </w:p>
    <w:p>
      <w:pPr>
        <w:spacing w:after="120"/>
      </w:pPr>
      <w:r>
        <w:t>A risk mindset means actively asking what could go wrong, what might cause it, how severe the consequences could be, whether existing controls are sufficient, and what action would reduce the exposure.</w:t>
      </w:r>
    </w:p>
    <w:p>
      <w:r>
        <w:br w:type="page"/>
      </w:r>
    </w:p>
    <w:p>
      <w:pPr>
        <w:pStyle w:val="Heading1"/>
      </w:pPr>
      <w:r>
        <w:t>4. Task 1 – Foundations of Internal Audit</w:t>
      </w:r>
    </w:p>
    <w:p>
      <w:pPr>
        <w:spacing w:after="120"/>
      </w:pPr>
      <w:r>
        <w:t>Task One introduced the fundamentals of internal audit and its significance in financial institutions. It also introduced the structure and function of internal audit in the Goldman Sachs context.</w:t>
      </w:r>
    </w:p>
    <w:p>
      <w:pPr>
        <w:pStyle w:val="Heading2"/>
      </w:pPr>
      <w:r>
        <w:t>4.1 Learning Focus</w:t>
      </w:r>
    </w:p>
    <w:p>
      <w:pPr>
        <w:pStyle w:val="ListBullet"/>
        <w:spacing w:after="60"/>
      </w:pPr>
      <w:r>
        <w:t>Understanding the basic purpose and significance of internal auditing.</w:t>
      </w:r>
    </w:p>
    <w:p>
      <w:pPr>
        <w:pStyle w:val="ListBullet"/>
        <w:spacing w:after="60"/>
      </w:pPr>
      <w:r>
        <w:t>Recognizing how audit thinking can be applied to everyday decisions.</w:t>
      </w:r>
    </w:p>
    <w:p>
      <w:pPr>
        <w:pStyle w:val="ListBullet"/>
        <w:spacing w:after="60"/>
      </w:pPr>
      <w:r>
        <w:t>Developing an initial risk-management mindset.</w:t>
      </w:r>
    </w:p>
    <w:p>
      <w:pPr>
        <w:pStyle w:val="ListBullet"/>
        <w:spacing w:after="60"/>
      </w:pPr>
      <w:r>
        <w:t>Connecting risks, consequences and controls.</w:t>
      </w:r>
    </w:p>
    <w:p>
      <w:pPr>
        <w:pStyle w:val="Heading2"/>
      </w:pPr>
      <w:r>
        <w:t>4.2 Practical Exercise – Personal Finance</w:t>
      </w:r>
    </w:p>
    <w:p>
      <w:pPr>
        <w:spacing w:after="120"/>
      </w:pPr>
      <w:r>
        <w:t>The practical exercise applied risk-management thinking to personal finance as a student. The resulting Excel risk assessment considered risks such as unexpected emergency expenses, discretionary overspending, delayed income, financial scams and inaccurate spending tracking.</w:t>
      </w:r>
    </w:p>
    <w:p>
      <w:pPr>
        <w:spacing w:after="120"/>
      </w:pPr>
      <w:r>
        <w:t>Each risk was considered using probability, impact, a risk rating and a suggested control. This converted a general personal-finance concern into a structured risk-management exercise.</w:t>
      </w:r>
    </w:p>
    <w:p>
      <w:pPr>
        <w:pStyle w:val="Heading2"/>
      </w:pPr>
      <w:r>
        <w:t>4.3 Example of Control Thinking</w:t>
      </w:r>
    </w:p>
    <w:p>
      <w:pPr>
        <w:spacing w:after="120"/>
      </w:pPr>
      <w:r>
        <w:t>For an unexpected emergency expense, the assessment identified a medium probability and high impact and classified the risk as severe. The suggested control was to build and maintain an emergency fund covering approximately one to two months of essential expenses.</w:t>
      </w:r>
    </w:p>
    <w:p>
      <w:r>
        <w:br w:type="page"/>
      </w:r>
    </w:p>
    <w:p>
      <w:pPr>
        <w:pStyle w:val="Heading1"/>
      </w:pPr>
      <w:r>
        <w:t>5. Task 2 – Risk Assessment in Global Banking &amp; Markets</w:t>
      </w:r>
    </w:p>
    <w:p>
      <w:pPr>
        <w:spacing w:after="120"/>
      </w:pPr>
      <w:r>
        <w:t>Task Two focused on risk assessment using three pre-constructed scenarios in which audit fieldwork had revealed observations in processes and internal controls for the Global Banking and Markets team.</w:t>
      </w:r>
    </w:p>
    <w:p>
      <w:pPr>
        <w:pStyle w:val="Heading2"/>
      </w:pPr>
      <w:r>
        <w:t>5.1 What Was Required</w:t>
      </w:r>
    </w:p>
    <w:p>
      <w:pPr>
        <w:pStyle w:val="ListBullet"/>
        <w:spacing w:after="60"/>
      </w:pPr>
      <w:r>
        <w:t>Review each audit scenario.</w:t>
      </w:r>
    </w:p>
    <w:p>
      <w:pPr>
        <w:pStyle w:val="ListBullet"/>
        <w:spacing w:after="60"/>
      </w:pPr>
      <w:r>
        <w:t>Identify potential risks and process gaps.</w:t>
      </w:r>
    </w:p>
    <w:p>
      <w:pPr>
        <w:pStyle w:val="ListBullet"/>
        <w:spacing w:after="60"/>
      </w:pPr>
      <w:r>
        <w:t>Consider associated control weaknesses.</w:t>
      </w:r>
    </w:p>
    <w:p>
      <w:pPr>
        <w:pStyle w:val="ListBullet"/>
        <w:spacing w:after="60"/>
      </w:pPr>
      <w:r>
        <w:t>Assess the implications for the business unit and clients.</w:t>
      </w:r>
    </w:p>
    <w:p>
      <w:pPr>
        <w:pStyle w:val="ListBullet"/>
        <w:spacing w:after="60"/>
      </w:pPr>
      <w:r>
        <w:t>Suggest a specific improvement where appropriate.</w:t>
      </w:r>
    </w:p>
    <w:p>
      <w:pPr>
        <w:pStyle w:val="Heading2"/>
      </w:pPr>
      <w:r>
        <w:t>5.2 Scenario 1 – Trade Execution</w:t>
      </w:r>
    </w:p>
    <w:p>
      <w:pPr>
        <w:spacing w:after="120"/>
      </w:pPr>
      <w:r>
        <w:t>The scenario involved trade execution delays, including spikes that could reach 45 seconds. The response concluded that the issue primarily fits a Technology Audit perspective because the delays originate from systems and infrastructure, while also having a Business Audit dimension because discrepancies affect trading-desk operations and client relationships.</w:t>
      </w:r>
    </w:p>
    <w:p>
      <w:pPr>
        <w:spacing w:after="120"/>
      </w:pPr>
      <w:r>
        <w:t>The recommended benefit of improvement was faster and more reliable execution, reduced financial losses, lower discrepancy rates and better client experience.</w:t>
      </w:r>
    </w:p>
    <w:p>
      <w:pPr>
        <w:pStyle w:val="Heading2"/>
      </w:pPr>
      <w:r>
        <w:t>5.3 Scenario 2 – Credit Risk / NPLs</w:t>
      </w:r>
    </w:p>
    <w:p>
      <w:pPr>
        <w:spacing w:after="120"/>
      </w:pPr>
      <w:r>
        <w:t>The response identified ongoing credit monitoring and periodic reassessment after loan approval as an area that could be strengthened. More frequent review of borrower financial health could help identify deterioration before loans become non-performing.</w:t>
      </w:r>
    </w:p>
    <w:p>
      <w:pPr>
        <w:spacing w:after="120"/>
      </w:pPr>
      <w:r>
        <w:t>The expected benefit is reduced default losses, protection of capital and profitability, and better structured or appropriately priced lending for clients.</w:t>
      </w:r>
    </w:p>
    <w:p>
      <w:pPr>
        <w:pStyle w:val="Heading2"/>
      </w:pPr>
      <w:r>
        <w:t>5.4 Scenario 3 – AML Transaction Monitoring</w:t>
      </w:r>
    </w:p>
    <w:p>
      <w:pPr>
        <w:spacing w:after="120"/>
      </w:pPr>
      <w:r>
        <w:t>The scenario identified a reporting rate of 60% for suspicious transactions compared with a 90% industry standard. The response interpreted this as a gap between identifying suspicious activity and consistently escalating or reporting it.</w:t>
      </w:r>
    </w:p>
    <w:p>
      <w:pPr>
        <w:spacing w:after="120"/>
      </w:pPr>
      <w:r>
        <w:t>The proposed control improvement was mandatory secondary review and an automated escalation workflow with a defined timeframe.</w:t>
      </w:r>
    </w:p>
    <w:p>
      <w:r>
        <w:br w:type="page"/>
      </w:r>
    </w:p>
    <w:p>
      <w:pPr>
        <w:pStyle w:val="Heading1"/>
      </w:pPr>
      <w:r>
        <w:t>6. Scenario Analysis &amp; Recommendations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244A78"/>
          </w:tcPr>
          <w:p>
            <w:r>
              <w:rPr>
                <w:b/>
                <w:color w:val="FFFFFF"/>
              </w:rPr>
              <w:t>Scenario</w:t>
            </w:r>
          </w:p>
        </w:tc>
        <w:tc>
          <w:tcPr>
            <w:tcW w:type="dxa" w:w="2484"/>
            <w:shd w:fill="244A78"/>
          </w:tcPr>
          <w:p>
            <w:r>
              <w:rPr>
                <w:b/>
                <w:color w:val="FFFFFF"/>
              </w:rPr>
              <w:t>Risk / Gap</w:t>
            </w:r>
          </w:p>
        </w:tc>
        <w:tc>
          <w:tcPr>
            <w:tcW w:type="dxa" w:w="2484"/>
            <w:shd w:fill="244A78"/>
          </w:tcPr>
          <w:p>
            <w:r>
              <w:rPr>
                <w:b/>
                <w:color w:val="FFFFFF"/>
              </w:rPr>
              <w:t>Impact</w:t>
            </w:r>
          </w:p>
        </w:tc>
        <w:tc>
          <w:tcPr>
            <w:tcW w:type="dxa" w:w="2484"/>
            <w:shd w:fill="244A78"/>
          </w:tcPr>
          <w:p>
            <w:r>
              <w:rPr>
                <w:b/>
                <w:color w:val="FFFFFF"/>
              </w:rPr>
              <w:t>Recommended Improvement</w:t>
            </w:r>
          </w:p>
        </w:tc>
      </w:tr>
      <w:tr>
        <w:tc>
          <w:tcPr>
            <w:tcW w:type="dxa" w:w="2484"/>
            <w:shd w:fill="F5F7FA"/>
          </w:tcPr>
          <w:p>
            <w:r>
              <w:t>Trade execution</w:t>
            </w:r>
          </w:p>
        </w:tc>
        <w:tc>
          <w:tcPr>
            <w:tcW w:type="dxa" w:w="2484"/>
            <w:shd w:fill="F5F7FA"/>
          </w:tcPr>
          <w:p>
            <w:r>
              <w:t>Slow / unreliable execution</w:t>
            </w:r>
          </w:p>
        </w:tc>
        <w:tc>
          <w:tcPr>
            <w:tcW w:type="dxa" w:w="2484"/>
            <w:shd w:fill="F5F7FA"/>
          </w:tcPr>
          <w:p>
            <w:r>
              <w:t>Financial loss, discrepancies, client dissatisfaction</w:t>
            </w:r>
          </w:p>
        </w:tc>
        <w:tc>
          <w:tcPr>
            <w:tcW w:type="dxa" w:w="2484"/>
            <w:shd w:fill="F5F7FA"/>
          </w:tcPr>
          <w:p>
            <w:r>
              <w:t>Improve execution reliability and investigate the technology/process causes.</w:t>
            </w:r>
          </w:p>
        </w:tc>
      </w:tr>
      <w:tr>
        <w:tc>
          <w:tcPr>
            <w:tcW w:type="dxa" w:w="2484"/>
            <w:shd w:fill="F5F7FA"/>
          </w:tcPr>
          <w:p>
            <w:r>
              <w:t>Credit risk / NPLs</w:t>
            </w:r>
          </w:p>
        </w:tc>
        <w:tc>
          <w:tcPr>
            <w:tcW w:type="dxa" w:w="2484"/>
            <w:shd w:fill="F5F7FA"/>
          </w:tcPr>
          <w:p>
            <w:r>
              <w:t>Insufficient post-approval monitoring</w:t>
            </w:r>
          </w:p>
        </w:tc>
        <w:tc>
          <w:tcPr>
            <w:tcW w:type="dxa" w:w="2484"/>
            <w:shd w:fill="F5F7FA"/>
          </w:tcPr>
          <w:p>
            <w:r>
              <w:t>Higher default exposure and NPLs</w:t>
            </w:r>
          </w:p>
        </w:tc>
        <w:tc>
          <w:tcPr>
            <w:tcW w:type="dxa" w:w="2484"/>
            <w:shd w:fill="F5F7FA"/>
          </w:tcPr>
          <w:p>
            <w:r>
              <w:t>Increase periodic borrower reviews and early-warning monitoring.</w:t>
            </w:r>
          </w:p>
        </w:tc>
      </w:tr>
      <w:tr>
        <w:tc>
          <w:tcPr>
            <w:tcW w:type="dxa" w:w="2484"/>
            <w:shd w:fill="F5F7FA"/>
          </w:tcPr>
          <w:p>
            <w:r>
              <w:t>AML monitoring</w:t>
            </w:r>
          </w:p>
        </w:tc>
        <w:tc>
          <w:tcPr>
            <w:tcW w:type="dxa" w:w="2484"/>
            <w:shd w:fill="F5F7FA"/>
          </w:tcPr>
          <w:p>
            <w:r>
              <w:t>Weak escalation/reporting of flagged transactions</w:t>
            </w:r>
          </w:p>
        </w:tc>
        <w:tc>
          <w:tcPr>
            <w:tcW w:type="dxa" w:w="2484"/>
            <w:shd w:fill="F5F7FA"/>
          </w:tcPr>
          <w:p>
            <w:r>
              <w:t>Regulatory and reputational risk</w:t>
            </w:r>
          </w:p>
        </w:tc>
        <w:tc>
          <w:tcPr>
            <w:tcW w:type="dxa" w:w="2484"/>
            <w:shd w:fill="F5F7FA"/>
          </w:tcPr>
          <w:p>
            <w:r>
              <w:t>Use mandatory secondary review and automated escalation with deadlines.</w:t>
            </w:r>
          </w:p>
        </w:tc>
      </w:tr>
    </w:tbl>
    <w:p>
      <w:pPr>
        <w:pStyle w:val="Heading2"/>
      </w:pPr>
      <w:r>
        <w:t>6.1 Business and Client Perspective</w:t>
      </w:r>
    </w:p>
    <w:p>
      <w:pPr>
        <w:spacing w:after="120"/>
      </w:pPr>
      <w:r>
        <w:t>A key learning from the scenarios was that audit findings should not be treated as isolated compliance observations. The analysis considered how operational weaknesses can affect financial results, business-unit performance, client trust and the firm's broader risk profile.</w:t>
      </w:r>
    </w:p>
    <w:p>
      <w:pPr>
        <w:spacing w:after="120"/>
      </w:pPr>
      <w:r>
        <w:t>For example, trade execution improvements can help clients receive trades closer to the intended price and time. Stronger credit assessment can support healthier lending decisions. Stronger AML controls can reduce regulatory exposure and protect the integrity of the financial system.</w:t>
      </w:r>
    </w:p>
    <w:p>
      <w:r>
        <w:br w:type="page"/>
      </w:r>
    </w:p>
    <w:p>
      <w:pPr>
        <w:pStyle w:val="Heading1"/>
      </w:pPr>
      <w:r>
        <w:t>7. Personal Finance Risk Assessment</w:t>
      </w:r>
    </w:p>
    <w:p>
      <w:pPr>
        <w:spacing w:after="120"/>
      </w:pPr>
      <w:r>
        <w:t>The Task One exercise was documented in an Excel workbook titled “Managing Personal Finances as a Student.” It used a simple risk matrix to connect probability and impact with an overall risk rating and a corresponding control.</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244A78"/>
          </w:tcPr>
          <w:p>
            <w:r>
              <w:rPr>
                <w:b/>
                <w:color w:val="FFFFFF"/>
              </w:rPr>
              <w:t>Risk</w:t>
            </w:r>
          </w:p>
        </w:tc>
        <w:tc>
          <w:tcPr>
            <w:tcW w:type="dxa" w:w="2484"/>
            <w:shd w:fill="244A78"/>
          </w:tcPr>
          <w:p>
            <w:r>
              <w:rPr>
                <w:b/>
                <w:color w:val="FFFFFF"/>
              </w:rPr>
              <w:t>Probability</w:t>
            </w:r>
          </w:p>
        </w:tc>
        <w:tc>
          <w:tcPr>
            <w:tcW w:type="dxa" w:w="2484"/>
            <w:shd w:fill="244A78"/>
          </w:tcPr>
          <w:p>
            <w:r>
              <w:rPr>
                <w:b/>
                <w:color w:val="FFFFFF"/>
              </w:rPr>
              <w:t>Impact</w:t>
            </w:r>
          </w:p>
        </w:tc>
        <w:tc>
          <w:tcPr>
            <w:tcW w:type="dxa" w:w="2484"/>
            <w:shd w:fill="244A78"/>
          </w:tcPr>
          <w:p>
            <w:r>
              <w:rPr>
                <w:b/>
                <w:color w:val="FFFFFF"/>
              </w:rPr>
              <w:t>Control</w:t>
            </w:r>
          </w:p>
        </w:tc>
      </w:tr>
      <w:tr>
        <w:tc>
          <w:tcPr>
            <w:tcW w:type="dxa" w:w="2484"/>
            <w:shd w:fill="F5F7FA"/>
          </w:tcPr>
          <w:p>
            <w:r>
              <w:t>Unexpected emergency expense</w:t>
            </w:r>
          </w:p>
        </w:tc>
        <w:tc>
          <w:tcPr>
            <w:tcW w:type="dxa" w:w="2484"/>
            <w:shd w:fill="F5F7FA"/>
          </w:tcPr>
          <w:p>
            <w:r>
              <w:t>Medium</w:t>
            </w:r>
          </w:p>
        </w:tc>
        <w:tc>
          <w:tcPr>
            <w:tcW w:type="dxa" w:w="2484"/>
            <w:shd w:fill="F5F7FA"/>
          </w:tcPr>
          <w:p>
            <w:r>
              <w:t>High</w:t>
            </w:r>
          </w:p>
        </w:tc>
        <w:tc>
          <w:tcPr>
            <w:tcW w:type="dxa" w:w="2484"/>
            <w:shd w:fill="F5F7FA"/>
          </w:tcPr>
          <w:p>
            <w:r>
              <w:t>Emergency fund for essential expenses.</w:t>
            </w:r>
          </w:p>
        </w:tc>
      </w:tr>
      <w:tr>
        <w:tc>
          <w:tcPr>
            <w:tcW w:type="dxa" w:w="2484"/>
            <w:shd w:fill="F5F7FA"/>
          </w:tcPr>
          <w:p>
            <w:r>
              <w:t>Discretionary overspending</w:t>
            </w:r>
          </w:p>
        </w:tc>
        <w:tc>
          <w:tcPr>
            <w:tcW w:type="dxa" w:w="2484"/>
            <w:shd w:fill="F5F7FA"/>
          </w:tcPr>
          <w:p>
            <w:r>
              <w:t>High</w:t>
            </w:r>
          </w:p>
        </w:tc>
        <w:tc>
          <w:tcPr>
            <w:tcW w:type="dxa" w:w="2484"/>
            <w:shd w:fill="F5F7FA"/>
          </w:tcPr>
          <w:p>
            <w:r>
              <w:t>Medium</w:t>
            </w:r>
          </w:p>
        </w:tc>
        <w:tc>
          <w:tcPr>
            <w:tcW w:type="dxa" w:w="2484"/>
            <w:shd w:fill="F5F7FA"/>
          </w:tcPr>
          <w:p>
            <w:r>
              <w:t>Monthly category limits and weekly review.</w:t>
            </w:r>
          </w:p>
        </w:tc>
      </w:tr>
      <w:tr>
        <w:tc>
          <w:tcPr>
            <w:tcW w:type="dxa" w:w="2484"/>
            <w:shd w:fill="F5F7FA"/>
          </w:tcPr>
          <w:p>
            <w:r>
              <w:t>Delayed / reduced income</w:t>
            </w:r>
          </w:p>
        </w:tc>
        <w:tc>
          <w:tcPr>
            <w:tcW w:type="dxa" w:w="2484"/>
            <w:shd w:fill="F5F7FA"/>
          </w:tcPr>
          <w:p>
            <w:r>
              <w:t>Low</w:t>
            </w:r>
          </w:p>
        </w:tc>
        <w:tc>
          <w:tcPr>
            <w:tcW w:type="dxa" w:w="2484"/>
            <w:shd w:fill="F5F7FA"/>
          </w:tcPr>
          <w:p>
            <w:r>
              <w:t>High</w:t>
            </w:r>
          </w:p>
        </w:tc>
        <w:tc>
          <w:tcPr>
            <w:tcW w:type="dxa" w:w="2484"/>
            <w:shd w:fill="F5F7FA"/>
          </w:tcPr>
          <w:p>
            <w:r>
              <w:t>Savings buffer and early confirmation of payments.</w:t>
            </w:r>
          </w:p>
        </w:tc>
      </w:tr>
      <w:tr>
        <w:tc>
          <w:tcPr>
            <w:tcW w:type="dxa" w:w="2484"/>
            <w:shd w:fill="F5F7FA"/>
          </w:tcPr>
          <w:p>
            <w:r>
              <w:t>Financial scam / fraud</w:t>
            </w:r>
          </w:p>
        </w:tc>
        <w:tc>
          <w:tcPr>
            <w:tcW w:type="dxa" w:w="2484"/>
            <w:shd w:fill="F5F7FA"/>
          </w:tcPr>
          <w:p>
            <w:r>
              <w:t>Low</w:t>
            </w:r>
          </w:p>
        </w:tc>
        <w:tc>
          <w:tcPr>
            <w:tcW w:type="dxa" w:w="2484"/>
            <w:shd w:fill="F5F7FA"/>
          </w:tcPr>
          <w:p>
            <w:r>
              <w:t>Very High</w:t>
            </w:r>
          </w:p>
        </w:tc>
        <w:tc>
          <w:tcPr>
            <w:tcW w:type="dxa" w:w="2484"/>
            <w:shd w:fill="F5F7FA"/>
          </w:tcPr>
          <w:p>
            <w:r>
              <w:t>Do not share bank details; use two-factor authentication and independent verification.</w:t>
            </w:r>
          </w:p>
        </w:tc>
      </w:tr>
      <w:tr>
        <w:tc>
          <w:tcPr>
            <w:tcW w:type="dxa" w:w="2484"/>
            <w:shd w:fill="F5F7FA"/>
          </w:tcPr>
          <w:p>
            <w:r>
              <w:t>Inaccurate spending tracking</w:t>
            </w:r>
          </w:p>
        </w:tc>
        <w:tc>
          <w:tcPr>
            <w:tcW w:type="dxa" w:w="2484"/>
            <w:shd w:fill="F5F7FA"/>
          </w:tcPr>
          <w:p>
            <w:r>
              <w:t>Medium</w:t>
            </w:r>
          </w:p>
        </w:tc>
        <w:tc>
          <w:tcPr>
            <w:tcW w:type="dxa" w:w="2484"/>
            <w:shd w:fill="F5F7FA"/>
          </w:tcPr>
          <w:p>
            <w:r>
              <w:t>Medium</w:t>
            </w:r>
          </w:p>
        </w:tc>
        <w:tc>
          <w:tcPr>
            <w:tcW w:type="dxa" w:w="2484"/>
            <w:shd w:fill="F5F7FA"/>
          </w:tcPr>
          <w:p>
            <w:r>
              <w:t>Automatic transaction tracking and payment reminders.</w:t>
            </w:r>
          </w:p>
        </w:tc>
      </w:tr>
    </w:tbl>
    <w:p>
      <w:pPr>
        <w:spacing w:after="120"/>
      </w:pPr>
      <w:r>
        <w:t>This exercise demonstrated that risk management is not limited to large organizations. The same basic logic—identify, assess, control and review—can be applied to personal and academic decisions.</w:t>
      </w:r>
    </w:p>
    <w:p>
      <w:r>
        <w:br w:type="page"/>
      </w:r>
    </w:p>
    <w:p>
      <w:pPr>
        <w:pStyle w:val="Heading1"/>
      </w:pPr>
      <w:r>
        <w:t>8. Methodology &amp; Skills Developed</w:t>
      </w:r>
    </w:p>
    <w:p>
      <w:pPr>
        <w:spacing w:after="120"/>
      </w:pPr>
      <w:r>
        <w:t>The work followed a structured problem-solving methodology:</w:t>
      </w:r>
    </w:p>
    <w:p>
      <w:r>
        <w:rPr>
          <w:b/>
        </w:rPr>
        <w:t xml:space="preserve">1. Understand: </w:t>
      </w:r>
      <w:r>
        <w:t>Identify the purpose of the process or scenario.</w:t>
      </w:r>
    </w:p>
    <w:p>
      <w:r>
        <w:rPr>
          <w:b/>
        </w:rPr>
        <w:t xml:space="preserve">2. Identify risk: </w:t>
      </w:r>
      <w:r>
        <w:t>Determine what could go wrong and the likely cause.</w:t>
      </w:r>
    </w:p>
    <w:p>
      <w:r>
        <w:rPr>
          <w:b/>
        </w:rPr>
        <w:t xml:space="preserve">3. Assess impact: </w:t>
      </w:r>
      <w:r>
        <w:t>Consider financial, operational, client, regulatory or reputational consequences.</w:t>
      </w:r>
    </w:p>
    <w:p>
      <w:r>
        <w:rPr>
          <w:b/>
        </w:rPr>
        <w:t xml:space="preserve">4. Examine controls: </w:t>
      </w:r>
      <w:r>
        <w:t>Identify the control weakness or missing safeguard.</w:t>
      </w:r>
    </w:p>
    <w:p>
      <w:r>
        <w:rPr>
          <w:b/>
        </w:rPr>
        <w:t xml:space="preserve">5. Recommend: </w:t>
      </w:r>
      <w:r>
        <w:t>Propose a practical action that addresses the identified gap.</w:t>
      </w:r>
    </w:p>
    <w:p>
      <w:r>
        <w:rPr>
          <w:b/>
        </w:rPr>
        <w:t xml:space="preserve">6. Communicate: </w:t>
      </w:r>
      <w:r>
        <w:t>Present the reasoning clearly and concisely.</w:t>
      </w:r>
    </w:p>
    <w:p>
      <w:pPr>
        <w:pStyle w:val="Heading2"/>
      </w:pPr>
      <w:r>
        <w:t>8.1 Skills Developed</w:t>
      </w:r>
    </w:p>
    <w:p>
      <w:pPr>
        <w:pStyle w:val="ListBullet"/>
        <w:spacing w:after="60"/>
      </w:pPr>
      <w:r>
        <w:t>Risk identification and prioritization.</w:t>
      </w:r>
    </w:p>
    <w:p>
      <w:pPr>
        <w:pStyle w:val="ListBullet"/>
        <w:spacing w:after="60"/>
      </w:pPr>
      <w:r>
        <w:t>Control-gap analysis.</w:t>
      </w:r>
    </w:p>
    <w:p>
      <w:pPr>
        <w:pStyle w:val="ListBullet"/>
        <w:spacing w:after="60"/>
      </w:pPr>
      <w:r>
        <w:t>Analytical and structured problem solving.</w:t>
      </w:r>
    </w:p>
    <w:p>
      <w:pPr>
        <w:pStyle w:val="ListBullet"/>
        <w:spacing w:after="60"/>
      </w:pPr>
      <w:r>
        <w:t>Understanding of financial-services risk concepts.</w:t>
      </w:r>
    </w:p>
    <w:p>
      <w:pPr>
        <w:pStyle w:val="ListBullet"/>
        <w:spacing w:after="60"/>
      </w:pPr>
      <w:r>
        <w:t>Business and client-impact analysis.</w:t>
      </w:r>
    </w:p>
    <w:p>
      <w:pPr>
        <w:pStyle w:val="ListBullet"/>
        <w:spacing w:after="60"/>
      </w:pPr>
      <w:r>
        <w:t>Professional written communication.</w:t>
      </w:r>
    </w:p>
    <w:p>
      <w:pPr>
        <w:pStyle w:val="ListBullet"/>
        <w:spacing w:after="60"/>
      </w:pPr>
      <w:r>
        <w:t>Ability to turn observations into actionable recommendations.</w:t>
      </w:r>
    </w:p>
    <w:p>
      <w:r>
        <w:br w:type="page"/>
      </w:r>
    </w:p>
    <w:p>
      <w:pPr>
        <w:pStyle w:val="Heading1"/>
      </w:pPr>
      <w:r>
        <w:t>9. Key Learning Outcomes &amp; Conclusion</w:t>
      </w:r>
    </w:p>
    <w:p>
      <w:pPr>
        <w:pStyle w:val="Heading2"/>
      </w:pPr>
      <w:r>
        <w:t>9.1 Key Learning Outcomes</w:t>
      </w:r>
    </w:p>
    <w:p>
      <w:pPr>
        <w:pStyle w:val="ListBullet"/>
        <w:spacing w:after="60"/>
      </w:pPr>
      <w:r>
        <w:t>Internal audit is closely connected to business processes, risk management and financial stability.</w:t>
      </w:r>
    </w:p>
    <w:p>
      <w:pPr>
        <w:pStyle w:val="ListBullet"/>
        <w:spacing w:after="60"/>
      </w:pPr>
      <w:r>
        <w:t>A strong risk mindset requires looking at both the immediate observation and its downstream consequences.</w:t>
      </w:r>
    </w:p>
    <w:p>
      <w:pPr>
        <w:pStyle w:val="ListBullet"/>
        <w:spacing w:after="60"/>
      </w:pPr>
      <w:r>
        <w:t>Controls should be specific enough to prevent, detect or escalate important risks.</w:t>
      </w:r>
    </w:p>
    <w:p>
      <w:pPr>
        <w:pStyle w:val="ListBullet"/>
        <w:spacing w:after="60"/>
      </w:pPr>
      <w:r>
        <w:t>Audit findings become more useful when recommendations are practical and linked to measurable business or client outcomes.</w:t>
      </w:r>
    </w:p>
    <w:p>
      <w:pPr>
        <w:pStyle w:val="ListBullet"/>
        <w:spacing w:after="60"/>
      </w:pPr>
      <w:r>
        <w:t>The same risk-management framework can be applied to organizational and personal decisions.</w:t>
      </w:r>
    </w:p>
    <w:p>
      <w:pPr>
        <w:pStyle w:val="Heading2"/>
      </w:pPr>
      <w:r>
        <w:t>9.2 Conclusion</w:t>
      </w:r>
    </w:p>
    <w:p>
      <w:pPr>
        <w:spacing w:after="120"/>
      </w:pPr>
      <w:r>
        <w:t>The Goldman Sachs Internal Audit Job Simulation provided practical exposure to internal audit and risk assessment through two structured tasks. The first task established the foundations of audit thinking and applied risk assessment to personal finance. The second task moved the analysis into Global Banking &amp; Markets scenarios involving trade execution, credit risk and AML monitoring.</w:t>
      </w:r>
    </w:p>
    <w:p>
      <w:pPr>
        <w:spacing w:after="120"/>
      </w:pPr>
      <w:r>
        <w:t>Overall, the simulation strengthened my ability to identify risks, evaluate control weaknesses and communicate practical improvements. As a second-year Computer Science and Engineering student, the experience also broadened my understanding of how analytical thinking can be applied outside purely technical systems.</w:t>
      </w:r>
    </w:p>
    <w:p>
      <w:r>
        <w:br w:type="page"/>
      </w:r>
    </w:p>
    <w:p>
      <w:pPr>
        <w:pStyle w:val="Heading1"/>
      </w:pPr>
      <w:r>
        <w:t>10. Certificate &amp; Submitted Work Products</w:t>
      </w:r>
    </w:p>
    <w:p>
      <w:pPr>
        <w:spacing w:after="120"/>
      </w:pPr>
      <w:r>
        <w:t>The official Forage certificate records the completion of the Goldman Sachs Internal Audit Job Simulation by Sarthak Shubham on September 10, 2026. The certificate states that practical tasks completed during September 2026 included Foundations of Internal Audit and Risk Assessment in Global Banking &amp; Markets.</w:t>
      </w:r>
    </w:p>
    <w:p>
      <w:pPr>
        <w:jc w:val="center"/>
      </w:pPr>
      <w:r>
        <w:drawing>
          <wp:inline xmlns:a="http://schemas.openxmlformats.org/drawingml/2006/main" xmlns:pic="http://schemas.openxmlformats.org/drawingml/2006/picture">
            <wp:extent cx="5852160" cy="4234559"/>
            <wp:docPr id="1" name="Picture 1"/>
            <wp:cNvGraphicFramePr>
              <a:graphicFrameLocks noChangeAspect="1"/>
            </wp:cNvGraphicFramePr>
            <a:graphic>
              <a:graphicData uri="http://schemas.openxmlformats.org/drawingml/2006/picture">
                <pic:pic>
                  <pic:nvPicPr>
                    <pic:cNvPr id="0" name="Sarthak_Goldman_Sachs_Certificate.png"/>
                    <pic:cNvPicPr/>
                  </pic:nvPicPr>
                  <pic:blipFill>
                    <a:blip r:embed="rId9"/>
                    <a:stretch>
                      <a:fillRect/>
                    </a:stretch>
                  </pic:blipFill>
                  <pic:spPr>
                    <a:xfrm>
                      <a:off x="0" y="0"/>
                      <a:ext cx="5852160" cy="4234559"/>
                    </a:xfrm>
                    <a:prstGeom prst="rect"/>
                  </pic:spPr>
                </pic:pic>
              </a:graphicData>
            </a:graphic>
          </wp:inline>
        </w:drawing>
      </w:r>
    </w:p>
    <w:p>
      <w:pPr>
        <w:pStyle w:val="Heading2"/>
      </w:pPr>
      <w:r>
        <w:t>10.1 Work Products</w:t>
      </w:r>
    </w:p>
    <w:p>
      <w:pPr>
        <w:pStyle w:val="ListBullet"/>
        <w:spacing w:after="60"/>
      </w:pPr>
      <w:r>
        <w:t>Risk_Assessment_Personal_Finance.xlsx – personal finance risk assessment using probability, impact, risk rating and controls.</w:t>
      </w:r>
    </w:p>
    <w:p>
      <w:pPr>
        <w:pStyle w:val="ListBullet"/>
        <w:spacing w:after="60"/>
      </w:pPr>
      <w:r>
        <w:t>Internal_Audit_Scenarios_Responses-1.docx – written responses to the three Global Banking &amp; Markets audit scenarios.</w:t>
      </w:r>
    </w:p>
    <w:p>
      <w:r>
        <w:br w:type="page"/>
      </w:r>
    </w:p>
    <w:p>
      <w:pPr>
        <w:pStyle w:val="Heading1"/>
      </w:pPr>
      <w:r>
        <w:t>11. References</w:t>
      </w:r>
    </w:p>
    <w:p>
      <w:pPr>
        <w:pStyle w:val="ListBullet"/>
        <w:spacing w:after="60"/>
      </w:pPr>
      <w:r>
        <w:t>Forage, Goldman Sachs – Internal Audit Job Simulation, course description and task materials, 2026.</w:t>
      </w:r>
    </w:p>
    <w:p>
      <w:pPr>
        <w:pStyle w:val="ListBullet"/>
        <w:spacing w:after="60"/>
      </w:pPr>
      <w:r>
        <w:t>Goldman Sachs – Internal Audit Job Simulation, Certificate of Completion issued to Sarthak Shubham, September 10, 2026.</w:t>
      </w:r>
    </w:p>
    <w:p>
      <w:pPr>
        <w:pStyle w:val="ListBullet"/>
        <w:spacing w:after="60"/>
      </w:pPr>
      <w:r>
        <w:t>Student work product: Risk Assessment – Personal Finance, 2026.</w:t>
      </w:r>
    </w:p>
    <w:p>
      <w:pPr>
        <w:pStyle w:val="ListBullet"/>
        <w:spacing w:after="60"/>
      </w:pPr>
      <w:r>
        <w:t>Student work product: Internal Audit Scenarios – Part 2 Responses, 2026.</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