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F3460"/>
          <w:sz w:val="72"/>
          <w:szCs w:val="72"/>
        </w:rPr>
        <w:t xml:space="preserve">VendorGuard</w:t>
      </w:r>
    </w:p>
    <w:p>
      <w:pPr>
        <w:pBdr>
          <w:bottom w:val="single" w:color="1A56A0" w:sz="8" w:space="4"/>
        </w:pBdr>
        <w:spacing w:after="80" w:before="0"/>
      </w:pPr>
      <w:r>
        <w:rPr>
          <w:rFonts w:ascii="Arial" w:cs="Arial" w:eastAsia="Arial" w:hAnsi="Arial"/>
          <w:color w:val="1A56A0"/>
          <w:sz w:val="36"/>
          <w:szCs w:val="36"/>
        </w:rPr>
        <w:t xml:space="preserve">Technical Design Document</w:t>
      </w:r>
    </w:p>
    <w:p>
      <w:pPr>
        <w:spacing w:after="0" w:before="60"/>
      </w:pPr>
      <w:r>
        <w:t xml:space="preserve"/>
      </w:r>
    </w:p>
    <w:p>
      <w:pPr>
        <w:spacing w:after="40" w:before="40"/>
      </w:pPr>
      <w:r>
        <w:rPr>
          <w:rFonts w:ascii="Arial" w:cs="Arial" w:eastAsia="Arial" w:hAnsi="Arial"/>
          <w:i/>
          <w:iCs/>
          <w:color w:val="555555"/>
          <w:sz w:val="22"/>
          <w:szCs w:val="22"/>
        </w:rPr>
        <w:t xml:space="preserve">AI-Powered Supply Chain Risk Agent for SME Manufacturers</w:t>
      </w:r>
    </w:p>
    <w:p>
      <w:pPr>
        <w:spacing w:after="0" w:before="12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bCs/>
                <w:color w:val="333333"/>
                <w:sz w:val="18"/>
                <w:szCs w:val="18"/>
              </w:rPr>
              <w:t xml:space="preserve">Document Type</w:t>
            </w:r>
          </w:p>
        </w:tc>
        <w:tc>
          <w:tcPr>
            <w:tcW w:type="dxa" w:w="3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Technical Design Document</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Version</w:t>
            </w:r>
          </w:p>
        </w:tc>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 — Initial Draft</w:t>
            </w:r>
          </w:p>
        </w:tc>
      </w:tr>
      <w:tr>
        <w:tc>
          <w:tcPr>
            <w:tcW w:type="dxa" w:w="20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bCs/>
                <w:color w:val="333333"/>
                <w:sz w:val="18"/>
                <w:szCs w:val="18"/>
              </w:rPr>
              <w:t xml:space="preserve">Date</w:t>
            </w:r>
          </w:p>
        </w:tc>
        <w:tc>
          <w:tcPr>
            <w:tcW w:type="dxa" w:w="3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20 June 2026</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Based on PRD</w:t>
            </w:r>
          </w:p>
        </w:tc>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VendorGuard PRD v1.0</w:t>
            </w:r>
          </w:p>
        </w:tc>
      </w:tr>
      <w:tr>
        <w:tc>
          <w:tcPr>
            <w:tcW w:type="dxa" w:w="20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bCs/>
                <w:color w:val="333333"/>
                <w:sz w:val="18"/>
                <w:szCs w:val="18"/>
              </w:rPr>
              <w:t xml:space="preserve">Track</w:t>
            </w:r>
          </w:p>
        </w:tc>
        <w:tc>
          <w:tcPr>
            <w:tcW w:type="dxa" w:w="3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Kaggle AI Agents Capstone 2026 — Agents for Business</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Target Market</w:t>
            </w:r>
          </w:p>
        </w:tc>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Auto-ancillary SMEs, Pune / Pimpri-Chinchwad</w:t>
            </w:r>
          </w:p>
        </w:tc>
      </w:tr>
    </w:tbl>
    <w:p>
      <w:r>
        <w:br w:type="page"/>
      </w:r>
    </w:p>
    <w:p>
      <w:pPr>
        <w:pStyle w:val="Heading1"/>
        <w:spacing w:after="120" w:before="320"/>
      </w:pPr>
      <w:r>
        <w:rPr>
          <w:rFonts w:ascii="Arial" w:cs="Arial" w:eastAsia="Arial" w:hAnsi="Arial"/>
          <w:b/>
          <w:bCs/>
          <w:color w:val="0F3460"/>
          <w:sz w:val="30"/>
          <w:szCs w:val="30"/>
        </w:rPr>
        <w:t xml:space="preserve">1. Purpose &amp; Scope</w:t>
      </w:r>
    </w:p>
    <w:p>
      <w:pPr>
        <w:spacing w:after="80" w:before="60"/>
      </w:pPr>
      <w:r>
        <w:rPr>
          <w:rFonts w:ascii="Arial" w:cs="Arial" w:eastAsia="Arial" w:hAnsi="Arial"/>
          <w:color w:val="333333"/>
          <w:sz w:val="20"/>
          <w:szCs w:val="20"/>
        </w:rPr>
        <w:t xml:space="preserve">This Technical Design Document (TDD) translates the VendorGuard PRD into concrete engineering decisions: system architecture, component contracts, data models, API integrations, and deployment topology. It is the authoritative reference for the engineering team during the one-week hackathon build and serves as the design baseline for the subsequent v1.0 full product.</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1.1 Objectives</w:t>
      </w:r>
    </w:p>
    <w:p>
      <w:pPr>
        <w:pStyle w:val="ListParagraph"/>
        <w:numPr>
          <w:ilvl w:val="0"/>
          <w:numId w:val="2"/>
        </w:numPr>
        <w:spacing w:after="40" w:before="40"/>
      </w:pPr>
      <w:r>
        <w:rPr>
          <w:rFonts w:ascii="Arial" w:cs="Arial" w:eastAsia="Arial" w:hAnsi="Arial"/>
          <w:color w:val="333333"/>
          <w:sz w:val="20"/>
          <w:szCs w:val="20"/>
        </w:rPr>
        <w:t xml:space="preserve">Define the internal architecture of each ADK agent and the inter-agent contracts.</w:t>
      </w:r>
    </w:p>
    <w:p>
      <w:pPr>
        <w:pStyle w:val="ListParagraph"/>
        <w:numPr>
          <w:ilvl w:val="0"/>
          <w:numId w:val="2"/>
        </w:numPr>
        <w:spacing w:after="40" w:before="40"/>
      </w:pPr>
      <w:r>
        <w:rPr>
          <w:rFonts w:ascii="Arial" w:cs="Arial" w:eastAsia="Arial" w:hAnsi="Arial"/>
          <w:color w:val="333333"/>
          <w:sz w:val="20"/>
          <w:szCs w:val="20"/>
        </w:rPr>
        <w:t xml:space="preserve">Specify all external API integrations, rate limits, fallback strategies, and data schemas.</w:t>
      </w:r>
    </w:p>
    <w:p>
      <w:pPr>
        <w:pStyle w:val="ListParagraph"/>
        <w:numPr>
          <w:ilvl w:val="0"/>
          <w:numId w:val="2"/>
        </w:numPr>
        <w:spacing w:after="40" w:before="40"/>
      </w:pPr>
      <w:r>
        <w:rPr>
          <w:rFonts w:ascii="Arial" w:cs="Arial" w:eastAsia="Arial" w:hAnsi="Arial"/>
          <w:color w:val="333333"/>
          <w:sz w:val="20"/>
          <w:szCs w:val="20"/>
        </w:rPr>
        <w:t xml:space="preserve">Document the risk scoring algorithm in full computational detail.</w:t>
      </w:r>
    </w:p>
    <w:p>
      <w:pPr>
        <w:pStyle w:val="ListParagraph"/>
        <w:numPr>
          <w:ilvl w:val="0"/>
          <w:numId w:val="2"/>
        </w:numPr>
        <w:spacing w:after="40" w:before="40"/>
      </w:pPr>
      <w:r>
        <w:rPr>
          <w:rFonts w:ascii="Arial" w:cs="Arial" w:eastAsia="Arial" w:hAnsi="Arial"/>
          <w:color w:val="333333"/>
          <w:sz w:val="20"/>
          <w:szCs w:val="20"/>
        </w:rPr>
        <w:t xml:space="preserve">Specify the React frontend component tree and the API contract between the frontend and the backend agent pipeline.</w:t>
      </w:r>
    </w:p>
    <w:p>
      <w:pPr>
        <w:pStyle w:val="ListParagraph"/>
        <w:numPr>
          <w:ilvl w:val="0"/>
          <w:numId w:val="2"/>
        </w:numPr>
        <w:spacing w:after="40" w:before="40"/>
      </w:pPr>
      <w:r>
        <w:rPr>
          <w:rFonts w:ascii="Arial" w:cs="Arial" w:eastAsia="Arial" w:hAnsi="Arial"/>
          <w:color w:val="333333"/>
          <w:sz w:val="20"/>
          <w:szCs w:val="20"/>
        </w:rPr>
        <w:t xml:space="preserve">Define the deployment topology on Google Cloud Run.</w:t>
      </w:r>
    </w:p>
    <w:p>
      <w:pPr>
        <w:pStyle w:val="ListParagraph"/>
        <w:numPr>
          <w:ilvl w:val="0"/>
          <w:numId w:val="2"/>
        </w:numPr>
        <w:spacing w:after="40" w:before="40"/>
      </w:pPr>
      <w:r>
        <w:rPr>
          <w:rFonts w:ascii="Arial" w:cs="Arial" w:eastAsia="Arial" w:hAnsi="Arial"/>
          <w:color w:val="333333"/>
          <w:sz w:val="20"/>
          <w:szCs w:val="20"/>
        </w:rPr>
        <w:t xml:space="preserve">Identify technical risks and their mitigations.</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1.2 Out of Scope (Hackathon MVP)</w:t>
      </w:r>
    </w:p>
    <w:p>
      <w:pPr>
        <w:pStyle w:val="ListParagraph"/>
        <w:numPr>
          <w:ilvl w:val="0"/>
          <w:numId w:val="2"/>
        </w:numPr>
        <w:spacing w:after="40" w:before="40"/>
      </w:pPr>
      <w:r>
        <w:rPr>
          <w:rFonts w:ascii="Arial" w:cs="Arial" w:eastAsia="Arial" w:hAnsi="Arial"/>
          <w:color w:val="333333"/>
          <w:sz w:val="20"/>
          <w:szCs w:val="20"/>
        </w:rPr>
        <w:t xml:space="preserve">WhatsApp Business API send integration (v1.0 only)</w:t>
      </w:r>
    </w:p>
    <w:p>
      <w:pPr>
        <w:pStyle w:val="ListParagraph"/>
        <w:numPr>
          <w:ilvl w:val="0"/>
          <w:numId w:val="2"/>
        </w:numPr>
        <w:spacing w:after="40" w:before="40"/>
      </w:pPr>
      <w:r>
        <w:rPr>
          <w:rFonts w:ascii="Arial" w:cs="Arial" w:eastAsia="Arial" w:hAnsi="Arial"/>
          <w:color w:val="333333"/>
          <w:sz w:val="20"/>
          <w:szCs w:val="20"/>
        </w:rPr>
        <w:t xml:space="preserve">PDF generation of procurement orders (stretch goal)</w:t>
      </w:r>
    </w:p>
    <w:p>
      <w:pPr>
        <w:pStyle w:val="ListParagraph"/>
        <w:numPr>
          <w:ilvl w:val="0"/>
          <w:numId w:val="2"/>
        </w:numPr>
        <w:spacing w:after="40" w:before="40"/>
      </w:pPr>
      <w:r>
        <w:rPr>
          <w:rFonts w:ascii="Arial" w:cs="Arial" w:eastAsia="Arial" w:hAnsi="Arial"/>
          <w:color w:val="333333"/>
          <w:sz w:val="20"/>
          <w:szCs w:val="20"/>
        </w:rPr>
        <w:t xml:space="preserve">Real-time continuous monitoring — MVP uses scheduled batch runs</w:t>
      </w:r>
    </w:p>
    <w:p>
      <w:pPr>
        <w:pStyle w:val="ListParagraph"/>
        <w:numPr>
          <w:ilvl w:val="0"/>
          <w:numId w:val="2"/>
        </w:numPr>
        <w:spacing w:after="40" w:before="40"/>
      </w:pPr>
      <w:r>
        <w:rPr>
          <w:rFonts w:ascii="Arial" w:cs="Arial" w:eastAsia="Arial" w:hAnsi="Arial"/>
          <w:color w:val="333333"/>
          <w:sz w:val="20"/>
          <w:szCs w:val="20"/>
        </w:rPr>
        <w:t xml:space="preserve">Google OAuth authentication — MVP uses pre-authorised demo account</w:t>
      </w:r>
    </w:p>
    <w:p>
      <w:pPr>
        <w:pStyle w:val="ListParagraph"/>
        <w:numPr>
          <w:ilvl w:val="0"/>
          <w:numId w:val="2"/>
        </w:numPr>
        <w:spacing w:after="40" w:before="40"/>
      </w:pPr>
      <w:r>
        <w:rPr>
          <w:rFonts w:ascii="Arial" w:cs="Arial" w:eastAsia="Arial" w:hAnsi="Arial"/>
          <w:color w:val="333333"/>
          <w:sz w:val="20"/>
          <w:szCs w:val="20"/>
        </w:rPr>
        <w:t xml:space="preserve">AI-matched alternate supplier network (v1.0; MVP uses rule-based backup vendor lookup)</w:t>
      </w:r>
    </w:p>
    <w:p>
      <w:r>
        <w:br w:type="page"/>
      </w:r>
    </w:p>
    <w:p>
      <w:pPr>
        <w:pStyle w:val="Heading1"/>
        <w:spacing w:after="120" w:before="320"/>
      </w:pPr>
      <w:r>
        <w:rPr>
          <w:rFonts w:ascii="Arial" w:cs="Arial" w:eastAsia="Arial" w:hAnsi="Arial"/>
          <w:b/>
          <w:bCs/>
          <w:color w:val="0F3460"/>
          <w:sz w:val="30"/>
          <w:szCs w:val="30"/>
        </w:rPr>
        <w:t xml:space="preserve">2. High-Level System Architecture</w:t>
      </w:r>
    </w:p>
    <w:p>
      <w:pPr>
        <w:spacing w:after="80" w:before="60"/>
      </w:pPr>
      <w:r>
        <w:rPr>
          <w:rFonts w:ascii="Arial" w:cs="Arial" w:eastAsia="Arial" w:hAnsi="Arial"/>
          <w:color w:val="333333"/>
          <w:sz w:val="20"/>
          <w:szCs w:val="20"/>
        </w:rPr>
        <w:t xml:space="preserve">VendorGuard is a Python multi-agent system built on Google Agent Development Kit (ADK). Four specialised agents are orchestrated by a central Coordinator. The system is deployed as a containerised application on Google Cloud Run and exposed via a React single-page application.</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34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7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Input</w:t>
            </w:r>
          </w:p>
        </w:tc>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Vendor Register (Google Sheet / CSV)</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 Drive MCP Server</w:t>
            </w:r>
          </w:p>
        </w:tc>
      </w:tr>
      <w:tr>
        <w:tc>
          <w:tcPr>
            <w:tcW w:type="dxa" w:w="2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Framework</w:t>
            </w:r>
          </w:p>
        </w:tc>
        <w:tc>
          <w:tcPr>
            <w:tcW w:type="dxa" w:w="3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Coordinator + 4 Specialised Agents</w:t>
            </w:r>
          </w:p>
        </w:tc>
        <w:tc>
          <w:tcPr>
            <w:tcW w:type="dxa" w:w="37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 ADK (Python)</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LLM</w:t>
            </w:r>
          </w:p>
        </w:tc>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Reasoning, synthesis, draft generation</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Gemini 1.5 Pro via ADK</w:t>
            </w:r>
          </w:p>
        </w:tc>
      </w:tr>
      <w:tr>
        <w:tc>
          <w:tcPr>
            <w:tcW w:type="dxa" w:w="2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External APIs</w:t>
            </w:r>
          </w:p>
        </w:tc>
        <w:tc>
          <w:tcPr>
            <w:tcW w:type="dxa" w:w="3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Weather, News, Commodity, Logistics</w:t>
            </w:r>
          </w:p>
        </w:tc>
        <w:tc>
          <w:tcPr>
            <w:tcW w:type="dxa" w:w="37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OpenWeatherMap, Newscatcher, pytrends, PPAC</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Backend API</w:t>
            </w:r>
          </w:p>
        </w:tc>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REST endpoints for frontend</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FastAPI (Python)</w:t>
            </w:r>
          </w:p>
        </w:tc>
      </w:tr>
      <w:tr>
        <w:tc>
          <w:tcPr>
            <w:tcW w:type="dxa" w:w="2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3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Dashboard, Risk Heat Map, Alert Panel</w:t>
            </w:r>
          </w:p>
        </w:tc>
        <w:tc>
          <w:tcPr>
            <w:tcW w:type="dxa" w:w="37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React + Tailwind CSS</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Deployment</w:t>
            </w:r>
          </w:p>
        </w:tc>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Containerised web app</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 Cloud Run</w:t>
            </w:r>
          </w:p>
        </w:tc>
      </w:tr>
    </w:tbl>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2.2 Data Flow</w:t>
      </w:r>
    </w:p>
    <w:p>
      <w:pPr>
        <w:spacing w:after="80" w:before="60"/>
      </w:pPr>
      <w:r>
        <w:rPr>
          <w:rFonts w:ascii="Arial" w:cs="Arial" w:eastAsia="Arial" w:hAnsi="Arial"/>
          <w:color w:val="333333"/>
          <w:sz w:val="20"/>
          <w:szCs w:val="20"/>
        </w:rPr>
        <w:t xml:space="preserve">The pipeline executes in five sequential stages:</w:t>
      </w:r>
    </w:p>
    <w:p>
      <w:pPr>
        <w:pStyle w:val="ListParagraph"/>
        <w:numPr>
          <w:ilvl w:val="0"/>
          <w:numId w:val="2"/>
        </w:numPr>
        <w:spacing w:after="40" w:before="40"/>
      </w:pPr>
      <w:r>
        <w:rPr>
          <w:rFonts w:ascii="Arial" w:cs="Arial" w:eastAsia="Arial" w:hAnsi="Arial"/>
          <w:color w:val="333333"/>
          <w:sz w:val="20"/>
          <w:szCs w:val="20"/>
        </w:rPr>
        <w:t xml:space="preserve">Stage 1 — Ingest: Ingest Agent reads vendor register from Google Drive via MCP, validates schema, and emits structured VendorRecord objects.</w:t>
      </w:r>
    </w:p>
    <w:p>
      <w:pPr>
        <w:pStyle w:val="ListParagraph"/>
        <w:numPr>
          <w:ilvl w:val="0"/>
          <w:numId w:val="2"/>
        </w:numPr>
        <w:spacing w:after="40" w:before="40"/>
      </w:pPr>
      <w:r>
        <w:rPr>
          <w:rFonts w:ascii="Arial" w:cs="Arial" w:eastAsia="Arial" w:hAnsi="Arial"/>
          <w:color w:val="333333"/>
          <w:sz w:val="20"/>
          <w:szCs w:val="20"/>
        </w:rPr>
        <w:t xml:space="preserve">Stage 2 — Risk Monitoring (Parallel): Coordinator fans out one Risk Monitor Agent call per vendor simultaneously. Each call fetches weather, news, commodity, and logistics signals for the vendor's city and commodity.</w:t>
      </w:r>
    </w:p>
    <w:p>
      <w:pPr>
        <w:pStyle w:val="ListParagraph"/>
        <w:numPr>
          <w:ilvl w:val="0"/>
          <w:numId w:val="2"/>
        </w:numPr>
        <w:spacing w:after="40" w:before="40"/>
      </w:pPr>
      <w:r>
        <w:rPr>
          <w:rFonts w:ascii="Arial" w:cs="Arial" w:eastAsia="Arial" w:hAnsi="Arial"/>
          <w:color w:val="333333"/>
          <w:sz w:val="20"/>
          <w:szCs w:val="20"/>
        </w:rPr>
        <w:t xml:space="preserve">Stage 3 — Prediction &amp; Synthesis: Prediction Agent receives all vendor risk signals, weights them against historical delivery performance, and produces a unified RiskAssessment for each vendor.</w:t>
      </w:r>
    </w:p>
    <w:p>
      <w:pPr>
        <w:pStyle w:val="ListParagraph"/>
        <w:numPr>
          <w:ilvl w:val="0"/>
          <w:numId w:val="2"/>
        </w:numPr>
        <w:spacing w:after="40" w:before="40"/>
      </w:pPr>
      <w:r>
        <w:rPr>
          <w:rFonts w:ascii="Arial" w:cs="Arial" w:eastAsia="Arial" w:hAnsi="Arial"/>
          <w:color w:val="333333"/>
          <w:sz w:val="20"/>
          <w:szCs w:val="20"/>
        </w:rPr>
        <w:t xml:space="preserve">Stage 4 — Procurement Drafting (Conditional): For every vendor whose composite risk score exceeds the threshold (default: 65/100), the Procurement Agent drafts an alert, alternate supplier recommendation, and early PO text.</w:t>
      </w:r>
    </w:p>
    <w:p>
      <w:pPr>
        <w:pStyle w:val="ListParagraph"/>
        <w:numPr>
          <w:ilvl w:val="0"/>
          <w:numId w:val="2"/>
        </w:numPr>
        <w:spacing w:after="40" w:before="40"/>
      </w:pPr>
      <w:r>
        <w:rPr>
          <w:rFonts w:ascii="Arial" w:cs="Arial" w:eastAsia="Arial" w:hAnsi="Arial"/>
          <w:color w:val="333333"/>
          <w:sz w:val="20"/>
          <w:szCs w:val="20"/>
        </w:rPr>
        <w:t xml:space="preserve">Stage 5 — Output: Results are written to an in-memory state store, surfaced via FastAPI REST endpoints, and rendered in the React dashboard. High-risk alerts are formatted for WhatsApp clipboard copy (MVP).</w:t>
      </w:r>
    </w:p>
    <w:p>
      <w:r>
        <w:br w:type="page"/>
      </w:r>
    </w:p>
    <w:p>
      <w:pPr>
        <w:pStyle w:val="Heading1"/>
        <w:spacing w:after="120" w:before="320"/>
      </w:pPr>
      <w:r>
        <w:rPr>
          <w:rFonts w:ascii="Arial" w:cs="Arial" w:eastAsia="Arial" w:hAnsi="Arial"/>
          <w:b/>
          <w:bCs/>
          <w:color w:val="0F3460"/>
          <w:sz w:val="30"/>
          <w:szCs w:val="30"/>
        </w:rPr>
        <w:t xml:space="preserve">3. Agent Design Specifications</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3.1 Coordinator Agent</w:t>
      </w:r>
    </w:p>
    <w:p>
      <w:pPr>
        <w:spacing w:after="80" w:before="60"/>
      </w:pPr>
      <w:r>
        <w:rPr>
          <w:rFonts w:ascii="Arial" w:cs="Arial" w:eastAsia="Arial" w:hAnsi="Arial"/>
          <w:color w:val="333333"/>
          <w:sz w:val="20"/>
          <w:szCs w:val="20"/>
        </w:rPr>
        <w:t xml:space="preserve">The Coordinator is the root ADK agent. It owns the pipeline lifecycle, manages parallelism, handles retries, and enforces rate limits.</w:t>
      </w:r>
    </w:p>
    <w:p>
      <w:pPr>
        <w:spacing w:after="0" w:before="60"/>
      </w:pPr>
      <w:r>
        <w:t xml:space="preserve"/>
      </w:r>
    </w:p>
    <w:p>
      <w:pPr>
        <w:pStyle w:val="Heading3"/>
        <w:spacing w:after="60" w:before="160"/>
      </w:pPr>
      <w:r>
        <w:rPr>
          <w:rFonts w:ascii="Arial" w:cs="Arial" w:eastAsia="Arial" w:hAnsi="Arial"/>
          <w:b/>
          <w:bCs/>
          <w:color w:val="333333"/>
          <w:sz w:val="22"/>
          <w:szCs w:val="22"/>
        </w:rPr>
        <w:t xml:space="preserve">Responsibilities</w:t>
      </w:r>
    </w:p>
    <w:p>
      <w:pPr>
        <w:pStyle w:val="ListParagraph"/>
        <w:numPr>
          <w:ilvl w:val="0"/>
          <w:numId w:val="2"/>
        </w:numPr>
        <w:spacing w:after="40" w:before="40"/>
      </w:pPr>
      <w:r>
        <w:rPr>
          <w:rFonts w:ascii="Arial" w:cs="Arial" w:eastAsia="Arial" w:hAnsi="Arial"/>
          <w:color w:val="333333"/>
          <w:sz w:val="20"/>
          <w:szCs w:val="20"/>
        </w:rPr>
        <w:t xml:space="preserve">Accept a scan trigger (HTTP request or CLI command).</w:t>
      </w:r>
    </w:p>
    <w:p>
      <w:pPr>
        <w:pStyle w:val="ListParagraph"/>
        <w:numPr>
          <w:ilvl w:val="0"/>
          <w:numId w:val="2"/>
        </w:numPr>
        <w:spacing w:after="40" w:before="40"/>
      </w:pPr>
      <w:r>
        <w:rPr>
          <w:rFonts w:ascii="Arial" w:cs="Arial" w:eastAsia="Arial" w:hAnsi="Arial"/>
          <w:color w:val="333333"/>
          <w:sz w:val="20"/>
          <w:szCs w:val="20"/>
        </w:rPr>
        <w:t xml:space="preserve">Invoke Ingest Agent and await a list of VendorRecord objects.</w:t>
      </w:r>
    </w:p>
    <w:p>
      <w:pPr>
        <w:pStyle w:val="ListParagraph"/>
        <w:numPr>
          <w:ilvl w:val="0"/>
          <w:numId w:val="2"/>
        </w:numPr>
        <w:spacing w:after="40" w:before="40"/>
      </w:pPr>
      <w:r>
        <w:rPr>
          <w:rFonts w:ascii="Arial" w:cs="Arial" w:eastAsia="Arial" w:hAnsi="Arial"/>
          <w:color w:val="333333"/>
          <w:sz w:val="20"/>
          <w:szCs w:val="20"/>
        </w:rPr>
        <w:t xml:space="preserve">Fan out Risk Monitor Agent calls in parallel using Python asyncio gather, capped at 5 concurrent calls to respect API rate limits.</w:t>
      </w:r>
    </w:p>
    <w:p>
      <w:pPr>
        <w:pStyle w:val="ListParagraph"/>
        <w:numPr>
          <w:ilvl w:val="0"/>
          <w:numId w:val="2"/>
        </w:numPr>
        <w:spacing w:after="40" w:before="40"/>
      </w:pPr>
      <w:r>
        <w:rPr>
          <w:rFonts w:ascii="Arial" w:cs="Arial" w:eastAsia="Arial" w:hAnsi="Arial"/>
          <w:color w:val="333333"/>
          <w:sz w:val="20"/>
          <w:szCs w:val="20"/>
        </w:rPr>
        <w:t xml:space="preserve">Collect RiskSignal objects and pass them with VendorRecords to the Prediction Agent.</w:t>
      </w:r>
    </w:p>
    <w:p>
      <w:pPr>
        <w:pStyle w:val="ListParagraph"/>
        <w:numPr>
          <w:ilvl w:val="0"/>
          <w:numId w:val="2"/>
        </w:numPr>
        <w:spacing w:after="40" w:before="40"/>
      </w:pPr>
      <w:r>
        <w:rPr>
          <w:rFonts w:ascii="Arial" w:cs="Arial" w:eastAsia="Arial" w:hAnsi="Arial"/>
          <w:color w:val="333333"/>
          <w:sz w:val="20"/>
          <w:szCs w:val="20"/>
        </w:rPr>
        <w:t xml:space="preserve">For each vendor with risk_score &gt; threshold, invoke Procurement Agent.</w:t>
      </w:r>
    </w:p>
    <w:p>
      <w:pPr>
        <w:pStyle w:val="ListParagraph"/>
        <w:numPr>
          <w:ilvl w:val="0"/>
          <w:numId w:val="2"/>
        </w:numPr>
        <w:spacing w:after="40" w:before="40"/>
      </w:pPr>
      <w:r>
        <w:rPr>
          <w:rFonts w:ascii="Arial" w:cs="Arial" w:eastAsia="Arial" w:hAnsi="Arial"/>
          <w:color w:val="333333"/>
          <w:sz w:val="20"/>
          <w:szCs w:val="20"/>
        </w:rPr>
        <w:t xml:space="preserve">Aggregate all outputs into a ScanResult object and write to state store.</w:t>
      </w:r>
    </w:p>
    <w:p>
      <w:pPr>
        <w:spacing w:after="0" w:before="60"/>
      </w:pPr>
      <w:r>
        <w:t xml:space="preserve"/>
      </w:r>
    </w:p>
    <w:p>
      <w:pPr>
        <w:pStyle w:val="Heading3"/>
        <w:spacing w:after="60" w:before="160"/>
      </w:pPr>
      <w:r>
        <w:rPr>
          <w:rFonts w:ascii="Arial" w:cs="Arial" w:eastAsia="Arial" w:hAnsi="Arial"/>
          <w:b/>
          <w:bCs/>
          <w:color w:val="333333"/>
          <w:sz w:val="22"/>
          <w:szCs w:val="22"/>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22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w:t>
            </w:r>
          </w:p>
        </w:tc>
        <w:tc>
          <w:tcPr>
            <w:tcW w:type="dxa" w:w="43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risk_threshold</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65</w:t>
            </w:r>
          </w:p>
        </w:tc>
        <w:tc>
          <w:tcPr>
            <w:tcW w:type="dxa" w:w="4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Minimum risk score to trigger Procurement Agent</w:t>
            </w:r>
          </w:p>
        </w:tc>
      </w:tr>
      <w:tr>
        <w:tc>
          <w:tcPr>
            <w:tcW w:type="dxa" w:w="2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max_parallel_vendors</w:t>
            </w:r>
          </w:p>
        </w:tc>
        <w:tc>
          <w:tcPr>
            <w:tcW w:type="dxa" w:w="2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43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Concurrent Risk Monitor agent calls</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retry_attempts</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4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Retry count for failed API calls</w:t>
            </w:r>
          </w:p>
        </w:tc>
      </w:tr>
      <w:tr>
        <w:tc>
          <w:tcPr>
            <w:tcW w:type="dxa" w:w="2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retry_backoff_seconds</w:t>
            </w:r>
          </w:p>
        </w:tc>
        <w:tc>
          <w:tcPr>
            <w:tcW w:type="dxa" w:w="2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43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Exponential backoff base</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scan_timeout_seconds</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120</w:t>
            </w:r>
          </w:p>
        </w:tc>
        <w:tc>
          <w:tcPr>
            <w:tcW w:type="dxa" w:w="4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Hard timeout for full pipeline</w:t>
            </w:r>
          </w:p>
        </w:tc>
      </w:tr>
    </w:tbl>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3.2 Ingest Agent</w:t>
      </w:r>
    </w:p>
    <w:p>
      <w:pPr>
        <w:spacing w:after="80" w:before="60"/>
      </w:pPr>
      <w:r>
        <w:rPr>
          <w:rFonts w:ascii="Arial" w:cs="Arial" w:eastAsia="Arial" w:hAnsi="Arial"/>
          <w:color w:val="333333"/>
          <w:sz w:val="20"/>
          <w:szCs w:val="20"/>
        </w:rPr>
        <w:t xml:space="preserve">Reads and normalises the manufacturer's vendor register from Google Drive via the MCP server.</w:t>
      </w:r>
    </w:p>
    <w:p>
      <w:pPr>
        <w:spacing w:after="0" w:before="60"/>
      </w:pPr>
      <w:r>
        <w:t xml:space="preserve"/>
      </w:r>
    </w:p>
    <w:p>
      <w:pPr>
        <w:pStyle w:val="Heading3"/>
        <w:spacing w:after="60" w:before="160"/>
      </w:pPr>
      <w:r>
        <w:rPr>
          <w:rFonts w:ascii="Arial" w:cs="Arial" w:eastAsia="Arial" w:hAnsi="Arial"/>
          <w:b/>
          <w:bCs/>
          <w:color w:val="333333"/>
          <w:sz w:val="22"/>
          <w:szCs w:val="22"/>
        </w:rPr>
        <w:t xml:space="preserve">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Source</w:t>
            </w:r>
          </w:p>
        </w:tc>
        <w:tc>
          <w:tcPr>
            <w:tcW w:type="dxa" w:w="756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8"/>
                <w:szCs w:val="18"/>
              </w:rPr>
              <w:t xml:space="preserve">Google Sheet URL or CSV file path provided by the user at scan initiation.</w:t>
            </w:r>
          </w:p>
        </w:tc>
      </w:tr>
    </w:tbl>
    <w:p>
      <w:pPr>
        <w:spacing w:after="0" w:before="60"/>
      </w:pPr>
      <w:r>
        <w:t xml:space="preserve"/>
      </w:r>
    </w:p>
    <w:p>
      <w:pPr>
        <w:pStyle w:val="Heading3"/>
        <w:spacing w:after="60" w:before="160"/>
      </w:pPr>
      <w:r>
        <w:rPr>
          <w:rFonts w:ascii="Arial" w:cs="Arial" w:eastAsia="Arial" w:hAnsi="Arial"/>
          <w:b/>
          <w:bCs/>
          <w:color w:val="333333"/>
          <w:sz w:val="22"/>
          <w:szCs w:val="22"/>
        </w:rPr>
        <w:t xml:space="preserve">Processing Steps</w:t>
      </w:r>
    </w:p>
    <w:p>
      <w:pPr>
        <w:pStyle w:val="ListParagraph"/>
        <w:numPr>
          <w:ilvl w:val="0"/>
          <w:numId w:val="2"/>
        </w:numPr>
        <w:spacing w:after="40" w:before="40"/>
      </w:pPr>
      <w:r>
        <w:rPr>
          <w:rFonts w:ascii="Arial" w:cs="Arial" w:eastAsia="Arial" w:hAnsi="Arial"/>
          <w:color w:val="333333"/>
          <w:sz w:val="20"/>
          <w:szCs w:val="20"/>
        </w:rPr>
        <w:t xml:space="preserve">Connect to Google Drive MCP server using pre-authorised credentials.</w:t>
      </w:r>
    </w:p>
    <w:p>
      <w:pPr>
        <w:pStyle w:val="ListParagraph"/>
        <w:numPr>
          <w:ilvl w:val="0"/>
          <w:numId w:val="2"/>
        </w:numPr>
        <w:spacing w:after="40" w:before="40"/>
      </w:pPr>
      <w:r>
        <w:rPr>
          <w:rFonts w:ascii="Arial" w:cs="Arial" w:eastAsia="Arial" w:hAnsi="Arial"/>
          <w:color w:val="333333"/>
          <w:sz w:val="20"/>
          <w:szCs w:val="20"/>
        </w:rPr>
        <w:t xml:space="preserve">Read spreadsheet data as raw rows. Support both Google Sheets (via Sheets API through MCP) and uploaded CSV files.</w:t>
      </w:r>
    </w:p>
    <w:p>
      <w:pPr>
        <w:pStyle w:val="ListParagraph"/>
        <w:numPr>
          <w:ilvl w:val="0"/>
          <w:numId w:val="2"/>
        </w:numPr>
        <w:spacing w:after="40" w:before="40"/>
      </w:pPr>
      <w:r>
        <w:rPr>
          <w:rFonts w:ascii="Arial" w:cs="Arial" w:eastAsia="Arial" w:hAnsi="Arial"/>
          <w:color w:val="333333"/>
          <w:sz w:val="20"/>
          <w:szCs w:val="20"/>
        </w:rPr>
        <w:t xml:space="preserve">Validate required columns: vendor_id, vendor_name, city, state, commodity, open_po_value_inr, lead_time_days, historical_ontime_pct.</w:t>
      </w:r>
    </w:p>
    <w:p>
      <w:pPr>
        <w:pStyle w:val="ListParagraph"/>
        <w:numPr>
          <w:ilvl w:val="0"/>
          <w:numId w:val="2"/>
        </w:numPr>
        <w:spacing w:after="40" w:before="40"/>
      </w:pPr>
      <w:r>
        <w:rPr>
          <w:rFonts w:ascii="Arial" w:cs="Arial" w:eastAsia="Arial" w:hAnsi="Arial"/>
          <w:color w:val="333333"/>
          <w:sz w:val="20"/>
          <w:szCs w:val="20"/>
        </w:rPr>
        <w:t xml:space="preserve">Flag missing or malformed fields; return validation errors to Coordinator for user notification.</w:t>
      </w:r>
    </w:p>
    <w:p>
      <w:pPr>
        <w:pStyle w:val="ListParagraph"/>
        <w:numPr>
          <w:ilvl w:val="0"/>
          <w:numId w:val="2"/>
        </w:numPr>
        <w:spacing w:after="40" w:before="40"/>
      </w:pPr>
      <w:r>
        <w:rPr>
          <w:rFonts w:ascii="Arial" w:cs="Arial" w:eastAsia="Arial" w:hAnsi="Arial"/>
          <w:color w:val="333333"/>
          <w:sz w:val="20"/>
          <w:szCs w:val="20"/>
        </w:rPr>
        <w:t xml:space="preserve">Normalise city names against a canonical Maharashtra/India city list for consistent API geo-lookups.</w:t>
      </w:r>
    </w:p>
    <w:p>
      <w:pPr>
        <w:pStyle w:val="ListParagraph"/>
        <w:numPr>
          <w:ilvl w:val="0"/>
          <w:numId w:val="2"/>
        </w:numPr>
        <w:spacing w:after="40" w:before="40"/>
      </w:pPr>
      <w:r>
        <w:rPr>
          <w:rFonts w:ascii="Arial" w:cs="Arial" w:eastAsia="Arial" w:hAnsi="Arial"/>
          <w:color w:val="333333"/>
          <w:sz w:val="20"/>
          <w:szCs w:val="20"/>
        </w:rPr>
        <w:t xml:space="preserve">Return a List[VendorRecord] to the Coordinator.</w:t>
      </w:r>
    </w:p>
    <w:p>
      <w:pPr>
        <w:spacing w:after="0" w:before="60"/>
      </w:pPr>
      <w:r>
        <w:t xml:space="preserve"/>
      </w:r>
    </w:p>
    <w:p>
      <w:pPr>
        <w:pStyle w:val="Heading3"/>
        <w:spacing w:after="60" w:before="160"/>
      </w:pPr>
      <w:r>
        <w:rPr>
          <w:rFonts w:ascii="Arial" w:cs="Arial" w:eastAsia="Arial" w:hAnsi="Arial"/>
          <w:b/>
          <w:bCs/>
          <w:color w:val="333333"/>
          <w:sz w:val="22"/>
          <w:szCs w:val="22"/>
        </w:rPr>
        <w:t xml:space="preserve">VendorRecord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1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vendor_id</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Unique identifier, e.g. VND-001</w:t>
            </w:r>
          </w:p>
        </w:tc>
      </w:tr>
      <w:tr>
        <w:tc>
          <w:tcPr>
            <w:tcW w:type="dxa" w:w="2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vendor_name</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5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vendor name</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city</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Vendor's primary city (normalised)</w:t>
            </w:r>
          </w:p>
        </w:tc>
      </w:tr>
      <w:tr>
        <w:tc>
          <w:tcPr>
            <w:tcW w:type="dxa" w:w="2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state</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5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Indian state name</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commodity</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Primary commodity supplied</w:t>
            </w:r>
          </w:p>
        </w:tc>
      </w:tr>
      <w:tr>
        <w:tc>
          <w:tcPr>
            <w:tcW w:type="dxa" w:w="2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open_po_value_inr</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int</w:t>
            </w:r>
          </w:p>
        </w:tc>
        <w:tc>
          <w:tcPr>
            <w:tcW w:type="dxa" w:w="5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Current open PO value in INR</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lead_time_days</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Standard lead time in days</w:t>
            </w:r>
          </w:p>
        </w:tc>
      </w:tr>
      <w:tr>
        <w:tc>
          <w:tcPr>
            <w:tcW w:type="dxa" w:w="2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historical_ontime_pct</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float</w:t>
            </w:r>
          </w:p>
        </w:tc>
        <w:tc>
          <w:tcPr>
            <w:tcW w:type="dxa" w:w="5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On-time delivery rate 0.0-100.0</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last_delivery_date</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date</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Date of last completed delivery</w:t>
            </w:r>
          </w:p>
        </w:tc>
      </w:tr>
      <w:tr>
        <w:tc>
          <w:tcPr>
            <w:tcW w:type="dxa" w:w="2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backup_vendor_id</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str|None</w:t>
            </w:r>
          </w:p>
        </w:tc>
        <w:tc>
          <w:tcPr>
            <w:tcW w:type="dxa" w:w="5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Optional alternate vendor reference</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contact_whatsapp</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str|None</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 number for future integration</w:t>
            </w:r>
          </w:p>
        </w:tc>
      </w:tr>
    </w:tbl>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3.3 Risk Monitor Agent</w:t>
      </w:r>
    </w:p>
    <w:p>
      <w:pPr>
        <w:spacing w:after="80" w:before="60"/>
      </w:pPr>
      <w:r>
        <w:rPr>
          <w:rFonts w:ascii="Arial" w:cs="Arial" w:eastAsia="Arial" w:hAnsi="Arial"/>
          <w:color w:val="333333"/>
          <w:sz w:val="20"/>
          <w:szCs w:val="20"/>
        </w:rPr>
        <w:t xml:space="preserve">Fetches and scores external risk signals for a single vendor. This agent is invoked once per vendor in parallel.</w:t>
      </w:r>
    </w:p>
    <w:p>
      <w:pPr>
        <w:spacing w:after="0" w:before="60"/>
      </w:pPr>
      <w:r>
        <w:t xml:space="preserve"/>
      </w:r>
    </w:p>
    <w:p>
      <w:pPr>
        <w:pStyle w:val="Heading3"/>
        <w:spacing w:after="60" w:before="160"/>
      </w:pPr>
      <w:r>
        <w:rPr>
          <w:rFonts w:ascii="Arial" w:cs="Arial" w:eastAsia="Arial" w:hAnsi="Arial"/>
          <w:b/>
          <w:bCs/>
          <w:color w:val="333333"/>
          <w:sz w:val="22"/>
          <w:szCs w:val="22"/>
        </w:rPr>
        <w:t xml:space="preserve">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Input</w:t>
            </w:r>
          </w:p>
        </w:tc>
        <w:tc>
          <w:tcPr>
            <w:tcW w:type="dxa" w:w="756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8"/>
                <w:szCs w:val="18"/>
              </w:rPr>
              <w:t xml:space="preserve">A single VendorRecord object. The agent is stateless — all context comes from the VendorRecord.</w:t>
            </w:r>
          </w:p>
        </w:tc>
      </w:tr>
    </w:tbl>
    <w:p>
      <w:pPr>
        <w:spacing w:after="0" w:before="60"/>
      </w:pPr>
      <w:r>
        <w:t xml:space="preserve"/>
      </w:r>
    </w:p>
    <w:p>
      <w:pPr>
        <w:pStyle w:val="Heading3"/>
        <w:spacing w:after="60" w:before="160"/>
      </w:pPr>
      <w:r>
        <w:rPr>
          <w:rFonts w:ascii="Arial" w:cs="Arial" w:eastAsia="Arial" w:hAnsi="Arial"/>
          <w:b/>
          <w:bCs/>
          <w:color w:val="333333"/>
          <w:sz w:val="22"/>
          <w:szCs w:val="22"/>
        </w:rPr>
        <w:t xml:space="preserve">Data Sources &amp; Fetching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28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24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Query Strategy</w:t>
            </w:r>
          </w:p>
        </w:tc>
        <w:tc>
          <w:tcPr>
            <w:tcW w:type="dxa" w:w="21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Fallback</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Weather</w:t>
            </w:r>
          </w:p>
        </w:tc>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OpenWeatherMap 7-day forecast</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Geocode city → lat/lon → /forecast/daily</w:t>
            </w:r>
          </w:p>
        </w:tc>
        <w:tc>
          <w:tcPr>
            <w:tcW w:type="dxa" w:w="2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ADK web search for weather</w:t>
            </w:r>
          </w:p>
        </w:tc>
      </w:tr>
      <w:tr>
        <w:tc>
          <w:tcPr>
            <w:tcW w:type="dxa" w:w="20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Disruption News</w:t>
            </w:r>
          </w:p>
        </w:tc>
        <w:tc>
          <w:tcPr>
            <w:tcW w:type="dxa" w:w="2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Newscatcher API</w:t>
            </w:r>
          </w:p>
        </w:tc>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Query: '{city} strike OR flood OR shutdown'</w:t>
            </w:r>
          </w:p>
        </w:tc>
        <w:tc>
          <w:tcPr>
            <w:tcW w:type="dxa" w:w="2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ADK built-in web search</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Commodity Trend</w:t>
            </w:r>
          </w:p>
        </w:tc>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pytrends (Google Trends)</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Keyword: '{commodity} price India'</w:t>
            </w:r>
          </w:p>
        </w:tc>
        <w:tc>
          <w:tcPr>
            <w:tcW w:type="dxa" w:w="2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Skip; log warning</w:t>
            </w:r>
          </w:p>
        </w:tc>
      </w:tr>
      <w:tr>
        <w:tc>
          <w:tcPr>
            <w:tcW w:type="dxa" w:w="20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Fuel / Logistics</w:t>
            </w:r>
          </w:p>
        </w:tc>
        <w:tc>
          <w:tcPr>
            <w:tcW w:type="dxa" w:w="2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PPAC India scraper</w:t>
            </w:r>
          </w:p>
        </w:tc>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BeautifulSoup scrape of PPAC diesel table</w:t>
            </w:r>
          </w:p>
        </w:tc>
        <w:tc>
          <w:tcPr>
            <w:tcW w:type="dxa" w:w="2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Cache last known price</w:t>
            </w:r>
          </w:p>
        </w:tc>
      </w:tr>
    </w:tbl>
    <w:p>
      <w:pPr>
        <w:spacing w:after="0" w:before="60"/>
      </w:pPr>
      <w:r>
        <w:t xml:space="preserve"/>
      </w:r>
    </w:p>
    <w:p>
      <w:pPr>
        <w:pStyle w:val="Heading3"/>
        <w:spacing w:after="60" w:before="160"/>
      </w:pPr>
      <w:r>
        <w:rPr>
          <w:rFonts w:ascii="Arial" w:cs="Arial" w:eastAsia="Arial" w:hAnsi="Arial"/>
          <w:b/>
          <w:bCs/>
          <w:color w:val="333333"/>
          <w:sz w:val="22"/>
          <w:szCs w:val="22"/>
        </w:rPr>
        <w:t xml:space="preserve">RiskSignal Schema</w:t>
      </w:r>
    </w:p>
    <w:p>
      <w:pPr>
        <w:pStyle w:val="ListParagraph"/>
        <w:numPr>
          <w:ilvl w:val="0"/>
          <w:numId w:val="2"/>
        </w:numPr>
        <w:spacing w:after="40" w:before="40"/>
      </w:pPr>
      <w:r>
        <w:rPr>
          <w:rFonts w:ascii="Arial" w:cs="Arial" w:eastAsia="Arial" w:hAnsi="Arial"/>
          <w:color w:val="333333"/>
          <w:sz w:val="20"/>
          <w:szCs w:val="20"/>
        </w:rPr>
        <w:t xml:space="preserve">vendor_id: str</w:t>
      </w:r>
    </w:p>
    <w:p>
      <w:pPr>
        <w:pStyle w:val="ListParagraph"/>
        <w:numPr>
          <w:ilvl w:val="0"/>
          <w:numId w:val="2"/>
        </w:numPr>
        <w:spacing w:after="40" w:before="40"/>
      </w:pPr>
      <w:r>
        <w:rPr>
          <w:rFonts w:ascii="Arial" w:cs="Arial" w:eastAsia="Arial" w:hAnsi="Arial"/>
          <w:color w:val="333333"/>
          <w:sz w:val="20"/>
          <w:szCs w:val="20"/>
        </w:rPr>
        <w:t xml:space="preserve">weather_risk_score: float (0–30) — points assigned by severity of forecast (see 4.1)</w:t>
      </w:r>
    </w:p>
    <w:p>
      <w:pPr>
        <w:pStyle w:val="ListParagraph"/>
        <w:numPr>
          <w:ilvl w:val="0"/>
          <w:numId w:val="2"/>
        </w:numPr>
        <w:spacing w:after="40" w:before="40"/>
      </w:pPr>
      <w:r>
        <w:rPr>
          <w:rFonts w:ascii="Arial" w:cs="Arial" w:eastAsia="Arial" w:hAnsi="Arial"/>
          <w:color w:val="333333"/>
          <w:sz w:val="20"/>
          <w:szCs w:val="20"/>
        </w:rPr>
        <w:t xml:space="preserve">weather_evidence: str — plain text summary of worst forecast event</w:t>
      </w:r>
    </w:p>
    <w:p>
      <w:pPr>
        <w:pStyle w:val="ListParagraph"/>
        <w:numPr>
          <w:ilvl w:val="0"/>
          <w:numId w:val="2"/>
        </w:numPr>
        <w:spacing w:after="40" w:before="40"/>
      </w:pPr>
      <w:r>
        <w:rPr>
          <w:rFonts w:ascii="Arial" w:cs="Arial" w:eastAsia="Arial" w:hAnsi="Arial"/>
          <w:color w:val="333333"/>
          <w:sz w:val="20"/>
          <w:szCs w:val="20"/>
        </w:rPr>
        <w:t xml:space="preserve">news_risk_score: float (0–30)</w:t>
      </w:r>
    </w:p>
    <w:p>
      <w:pPr>
        <w:pStyle w:val="ListParagraph"/>
        <w:numPr>
          <w:ilvl w:val="0"/>
          <w:numId w:val="2"/>
        </w:numPr>
        <w:spacing w:after="40" w:before="40"/>
      </w:pPr>
      <w:r>
        <w:rPr>
          <w:rFonts w:ascii="Arial" w:cs="Arial" w:eastAsia="Arial" w:hAnsi="Arial"/>
          <w:color w:val="333333"/>
          <w:sz w:val="20"/>
          <w:szCs w:val="20"/>
        </w:rPr>
        <w:t xml:space="preserve">news_evidence: List[str] — up to 3 article headlines with URLs</w:t>
      </w:r>
    </w:p>
    <w:p>
      <w:pPr>
        <w:pStyle w:val="ListParagraph"/>
        <w:numPr>
          <w:ilvl w:val="0"/>
          <w:numId w:val="2"/>
        </w:numPr>
        <w:spacing w:after="40" w:before="40"/>
      </w:pPr>
      <w:r>
        <w:rPr>
          <w:rFonts w:ascii="Arial" w:cs="Arial" w:eastAsia="Arial" w:hAnsi="Arial"/>
          <w:color w:val="333333"/>
          <w:sz w:val="20"/>
          <w:szCs w:val="20"/>
        </w:rPr>
        <w:t xml:space="preserve">commodity_risk_score: float (0–20)</w:t>
      </w:r>
    </w:p>
    <w:p>
      <w:pPr>
        <w:pStyle w:val="ListParagraph"/>
        <w:numPr>
          <w:ilvl w:val="0"/>
          <w:numId w:val="2"/>
        </w:numPr>
        <w:spacing w:after="40" w:before="40"/>
      </w:pPr>
      <w:r>
        <w:rPr>
          <w:rFonts w:ascii="Arial" w:cs="Arial" w:eastAsia="Arial" w:hAnsi="Arial"/>
          <w:color w:val="333333"/>
          <w:sz w:val="20"/>
          <w:szCs w:val="20"/>
        </w:rPr>
        <w:t xml:space="preserve">commodity_evidence: str</w:t>
      </w:r>
    </w:p>
    <w:p>
      <w:pPr>
        <w:pStyle w:val="ListParagraph"/>
        <w:numPr>
          <w:ilvl w:val="0"/>
          <w:numId w:val="2"/>
        </w:numPr>
        <w:spacing w:after="40" w:before="40"/>
      </w:pPr>
      <w:r>
        <w:rPr>
          <w:rFonts w:ascii="Arial" w:cs="Arial" w:eastAsia="Arial" w:hAnsi="Arial"/>
          <w:color w:val="333333"/>
          <w:sz w:val="20"/>
          <w:szCs w:val="20"/>
        </w:rPr>
        <w:t xml:space="preserve">logistics_risk_score: float (0–10) — derived from fuel price delta</w:t>
      </w:r>
    </w:p>
    <w:p>
      <w:pPr>
        <w:pStyle w:val="ListParagraph"/>
        <w:numPr>
          <w:ilvl w:val="0"/>
          <w:numId w:val="2"/>
        </w:numPr>
        <w:spacing w:after="40" w:before="40"/>
      </w:pPr>
      <w:r>
        <w:rPr>
          <w:rFonts w:ascii="Arial" w:cs="Arial" w:eastAsia="Arial" w:hAnsi="Arial"/>
          <w:color w:val="333333"/>
          <w:sz w:val="20"/>
          <w:szCs w:val="20"/>
        </w:rPr>
        <w:t xml:space="preserve">raw_signals: Dict — full API responses for audit trail</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3.4 Prediction &amp; Synthesis Agent</w:t>
      </w:r>
    </w:p>
    <w:p>
      <w:pPr>
        <w:spacing w:after="80" w:before="60"/>
      </w:pPr>
      <w:r>
        <w:rPr>
          <w:rFonts w:ascii="Arial" w:cs="Arial" w:eastAsia="Arial" w:hAnsi="Arial"/>
          <w:color w:val="333333"/>
          <w:sz w:val="20"/>
          <w:szCs w:val="20"/>
        </w:rPr>
        <w:t xml:space="preserve">Combines vendor history with risk signals to produce a unified risk assessment, identify at-risk purchase orders, and determine action urgency.</w:t>
      </w:r>
    </w:p>
    <w:p>
      <w:pPr>
        <w:spacing w:after="0" w:before="60"/>
      </w:pPr>
      <w:r>
        <w:t xml:space="preserve"/>
      </w:r>
    </w:p>
    <w:p>
      <w:pPr>
        <w:pStyle w:val="Heading3"/>
        <w:spacing w:after="60" w:before="160"/>
      </w:pPr>
      <w:r>
        <w:rPr>
          <w:rFonts w:ascii="Arial" w:cs="Arial" w:eastAsia="Arial" w:hAnsi="Arial"/>
          <w:b/>
          <w:bCs/>
          <w:color w:val="333333"/>
          <w:sz w:val="22"/>
          <w:szCs w:val="22"/>
        </w:rPr>
        <w:t xml:space="preserve">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Input</w:t>
            </w:r>
          </w:p>
        </w:tc>
        <w:tc>
          <w:tcPr>
            <w:tcW w:type="dxa" w:w="756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8"/>
                <w:szCs w:val="18"/>
              </w:rPr>
              <w:t xml:space="preserve">List[VendorRecord] + List[RiskSignal] (paired by vendor_id)</w:t>
            </w:r>
          </w:p>
        </w:tc>
      </w:tr>
    </w:tbl>
    <w:p>
      <w:pPr>
        <w:spacing w:after="0" w:before="60"/>
      </w:pPr>
      <w:r>
        <w:t xml:space="preserve"/>
      </w:r>
    </w:p>
    <w:p>
      <w:pPr>
        <w:pStyle w:val="Heading3"/>
        <w:spacing w:after="60" w:before="160"/>
      </w:pPr>
      <w:r>
        <w:rPr>
          <w:rFonts w:ascii="Arial" w:cs="Arial" w:eastAsia="Arial" w:hAnsi="Arial"/>
          <w:b/>
          <w:bCs/>
          <w:color w:val="333333"/>
          <w:sz w:val="22"/>
          <w:szCs w:val="22"/>
        </w:rPr>
        <w:t xml:space="preserve">Processing</w:t>
      </w:r>
    </w:p>
    <w:p>
      <w:pPr>
        <w:pStyle w:val="ListParagraph"/>
        <w:numPr>
          <w:ilvl w:val="0"/>
          <w:numId w:val="2"/>
        </w:numPr>
        <w:spacing w:after="40" w:before="40"/>
      </w:pPr>
      <w:r>
        <w:rPr>
          <w:rFonts w:ascii="Arial" w:cs="Arial" w:eastAsia="Arial" w:hAnsi="Arial"/>
          <w:color w:val="333333"/>
          <w:sz w:val="20"/>
          <w:szCs w:val="20"/>
        </w:rPr>
        <w:t xml:space="preserve">Merge each VendorRecord with its corresponding RiskSignal by vendor_id.</w:t>
      </w:r>
    </w:p>
    <w:p>
      <w:pPr>
        <w:pStyle w:val="ListParagraph"/>
        <w:numPr>
          <w:ilvl w:val="0"/>
          <w:numId w:val="2"/>
        </w:numPr>
        <w:spacing w:after="40" w:before="40"/>
      </w:pPr>
      <w:r>
        <w:rPr>
          <w:rFonts w:ascii="Arial" w:cs="Arial" w:eastAsia="Arial" w:hAnsi="Arial"/>
          <w:color w:val="333333"/>
          <w:sz w:val="20"/>
          <w:szCs w:val="20"/>
        </w:rPr>
        <w:t xml:space="preserve">Compute historical_risk_score from historical_ontime_pct (see Section 4 for formula).</w:t>
      </w:r>
    </w:p>
    <w:p>
      <w:pPr>
        <w:pStyle w:val="ListParagraph"/>
        <w:numPr>
          <w:ilvl w:val="0"/>
          <w:numId w:val="2"/>
        </w:numPr>
        <w:spacing w:after="40" w:before="40"/>
      </w:pPr>
      <w:r>
        <w:rPr>
          <w:rFonts w:ascii="Arial" w:cs="Arial" w:eastAsia="Arial" w:hAnsi="Arial"/>
          <w:color w:val="333333"/>
          <w:sz w:val="20"/>
          <w:szCs w:val="20"/>
        </w:rPr>
        <w:t xml:space="preserve">Sum all component scores to produce composite_risk_score (0–100).</w:t>
      </w:r>
    </w:p>
    <w:p>
      <w:pPr>
        <w:pStyle w:val="ListParagraph"/>
        <w:numPr>
          <w:ilvl w:val="0"/>
          <w:numId w:val="2"/>
        </w:numPr>
        <w:spacing w:after="40" w:before="40"/>
      </w:pPr>
      <w:r>
        <w:rPr>
          <w:rFonts w:ascii="Arial" w:cs="Arial" w:eastAsia="Arial" w:hAnsi="Arial"/>
          <w:color w:val="333333"/>
          <w:sz w:val="20"/>
          <w:szCs w:val="20"/>
        </w:rPr>
        <w:t xml:space="preserve">Assign risk_band: LOW (0–40), MEDIUM (41–65), HIGH (66–100).</w:t>
      </w:r>
    </w:p>
    <w:p>
      <w:pPr>
        <w:pStyle w:val="ListParagraph"/>
        <w:numPr>
          <w:ilvl w:val="0"/>
          <w:numId w:val="2"/>
        </w:numPr>
        <w:spacing w:after="40" w:before="40"/>
      </w:pPr>
      <w:r>
        <w:rPr>
          <w:rFonts w:ascii="Arial" w:cs="Arial" w:eastAsia="Arial" w:hAnsi="Arial"/>
          <w:color w:val="333333"/>
          <w:sz w:val="20"/>
          <w:szCs w:val="20"/>
        </w:rPr>
        <w:t xml:space="preserve">For HIGH vendors, identify active POs at risk (flag open_po_value_inr as at-risk amount).</w:t>
      </w:r>
    </w:p>
    <w:p>
      <w:pPr>
        <w:pStyle w:val="ListParagraph"/>
        <w:numPr>
          <w:ilvl w:val="0"/>
          <w:numId w:val="2"/>
        </w:numPr>
        <w:spacing w:after="40" w:before="40"/>
      </w:pPr>
      <w:r>
        <w:rPr>
          <w:rFonts w:ascii="Arial" w:cs="Arial" w:eastAsia="Arial" w:hAnsi="Arial"/>
          <w:color w:val="333333"/>
          <w:sz w:val="20"/>
          <w:szCs w:val="20"/>
        </w:rPr>
        <w:t xml:space="preserve">Rank all vendors by composite_risk_score descending.</w:t>
      </w:r>
    </w:p>
    <w:p>
      <w:pPr>
        <w:pStyle w:val="ListParagraph"/>
        <w:numPr>
          <w:ilvl w:val="0"/>
          <w:numId w:val="2"/>
        </w:numPr>
        <w:spacing w:after="40" w:before="40"/>
      </w:pPr>
      <w:r>
        <w:rPr>
          <w:rFonts w:ascii="Arial" w:cs="Arial" w:eastAsia="Arial" w:hAnsi="Arial"/>
          <w:color w:val="333333"/>
          <w:sz w:val="20"/>
          <w:szCs w:val="20"/>
        </w:rPr>
        <w:t xml:space="preserve">Return List[RiskAssessment] to Coordinator.</w:t>
      </w:r>
    </w:p>
    <w:p>
      <w:pPr>
        <w:spacing w:after="0" w:before="60"/>
      </w:pPr>
      <w:r>
        <w:t xml:space="preserve"/>
      </w:r>
    </w:p>
    <w:p>
      <w:pPr>
        <w:pStyle w:val="Heading3"/>
        <w:spacing w:after="60" w:before="160"/>
      </w:pPr>
      <w:r>
        <w:rPr>
          <w:rFonts w:ascii="Arial" w:cs="Arial" w:eastAsia="Arial" w:hAnsi="Arial"/>
          <w:b/>
          <w:bCs/>
          <w:color w:val="333333"/>
          <w:sz w:val="22"/>
          <w:szCs w:val="22"/>
        </w:rPr>
        <w:t xml:space="preserve">RiskAssessment Schema</w:t>
      </w:r>
    </w:p>
    <w:p>
      <w:pPr>
        <w:pStyle w:val="ListParagraph"/>
        <w:numPr>
          <w:ilvl w:val="0"/>
          <w:numId w:val="2"/>
        </w:numPr>
        <w:spacing w:after="40" w:before="40"/>
      </w:pPr>
      <w:r>
        <w:rPr>
          <w:rFonts w:ascii="Arial" w:cs="Arial" w:eastAsia="Arial" w:hAnsi="Arial"/>
          <w:color w:val="333333"/>
          <w:sz w:val="20"/>
          <w:szCs w:val="20"/>
        </w:rPr>
        <w:t xml:space="preserve">vendor_id, vendor_name, city, commodity: str (from VendorRecord)</w:t>
      </w:r>
    </w:p>
    <w:p>
      <w:pPr>
        <w:pStyle w:val="ListParagraph"/>
        <w:numPr>
          <w:ilvl w:val="0"/>
          <w:numId w:val="2"/>
        </w:numPr>
        <w:spacing w:after="40" w:before="40"/>
      </w:pPr>
      <w:r>
        <w:rPr>
          <w:rFonts w:ascii="Arial" w:cs="Arial" w:eastAsia="Arial" w:hAnsi="Arial"/>
          <w:color w:val="333333"/>
          <w:sz w:val="20"/>
          <w:szCs w:val="20"/>
        </w:rPr>
        <w:t xml:space="preserve">composite_risk_score: float (0–100)</w:t>
      </w:r>
    </w:p>
    <w:p>
      <w:pPr>
        <w:pStyle w:val="ListParagraph"/>
        <w:numPr>
          <w:ilvl w:val="0"/>
          <w:numId w:val="2"/>
        </w:numPr>
        <w:spacing w:after="40" w:before="40"/>
      </w:pPr>
      <w:r>
        <w:rPr>
          <w:rFonts w:ascii="Arial" w:cs="Arial" w:eastAsia="Arial" w:hAnsi="Arial"/>
          <w:color w:val="333333"/>
          <w:sz w:val="20"/>
          <w:szCs w:val="20"/>
        </w:rPr>
        <w:t xml:space="preserve">risk_band: Literal['LOW', 'MEDIUM', 'HIGH']</w:t>
      </w:r>
    </w:p>
    <w:p>
      <w:pPr>
        <w:pStyle w:val="ListParagraph"/>
        <w:numPr>
          <w:ilvl w:val="0"/>
          <w:numId w:val="2"/>
        </w:numPr>
        <w:spacing w:after="40" w:before="40"/>
      </w:pPr>
      <w:r>
        <w:rPr>
          <w:rFonts w:ascii="Arial" w:cs="Arial" w:eastAsia="Arial" w:hAnsi="Arial"/>
          <w:color w:val="333333"/>
          <w:sz w:val="20"/>
          <w:szCs w:val="20"/>
        </w:rPr>
        <w:t xml:space="preserve">component_scores: Dict[str, float] — breakdown of 4 components</w:t>
      </w:r>
    </w:p>
    <w:p>
      <w:pPr>
        <w:pStyle w:val="ListParagraph"/>
        <w:numPr>
          <w:ilvl w:val="0"/>
          <w:numId w:val="2"/>
        </w:numPr>
        <w:spacing w:after="40" w:before="40"/>
      </w:pPr>
      <w:r>
        <w:rPr>
          <w:rFonts w:ascii="Arial" w:cs="Arial" w:eastAsia="Arial" w:hAnsi="Arial"/>
          <w:color w:val="333333"/>
          <w:sz w:val="20"/>
          <w:szCs w:val="20"/>
        </w:rPr>
        <w:t xml:space="preserve">at_risk_po_value_inr: int — 0 if LOW/MEDIUM</w:t>
      </w:r>
    </w:p>
    <w:p>
      <w:pPr>
        <w:pStyle w:val="ListParagraph"/>
        <w:numPr>
          <w:ilvl w:val="0"/>
          <w:numId w:val="2"/>
        </w:numPr>
        <w:spacing w:after="40" w:before="40"/>
      </w:pPr>
      <w:r>
        <w:rPr>
          <w:rFonts w:ascii="Arial" w:cs="Arial" w:eastAsia="Arial" w:hAnsi="Arial"/>
          <w:color w:val="333333"/>
          <w:sz w:val="20"/>
          <w:szCs w:val="20"/>
        </w:rPr>
        <w:t xml:space="preserve">recommended_action: Literal['MONITOR', 'FLAG', 'PROCURE']</w:t>
      </w:r>
    </w:p>
    <w:p>
      <w:pPr>
        <w:pStyle w:val="ListParagraph"/>
        <w:numPr>
          <w:ilvl w:val="0"/>
          <w:numId w:val="2"/>
        </w:numPr>
        <w:spacing w:after="40" w:before="40"/>
      </w:pPr>
      <w:r>
        <w:rPr>
          <w:rFonts w:ascii="Arial" w:cs="Arial" w:eastAsia="Arial" w:hAnsi="Arial"/>
          <w:color w:val="333333"/>
          <w:sz w:val="20"/>
          <w:szCs w:val="20"/>
        </w:rPr>
        <w:t xml:space="preserve">evidence_summary: str — 2–3 sentence plain-language summary</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3.5 Procurement Drafting Agent</w:t>
      </w:r>
    </w:p>
    <w:p>
      <w:pPr>
        <w:spacing w:after="80" w:before="60"/>
      </w:pPr>
      <w:r>
        <w:rPr>
          <w:rFonts w:ascii="Arial" w:cs="Arial" w:eastAsia="Arial" w:hAnsi="Arial"/>
          <w:color w:val="333333"/>
          <w:sz w:val="20"/>
          <w:szCs w:val="20"/>
        </w:rPr>
        <w:t xml:space="preserve">Generates human-readable procurement actions for high-risk vendors using Gemini 1.5 Pro.</w:t>
      </w:r>
    </w:p>
    <w:p>
      <w:pPr>
        <w:spacing w:after="0" w:before="60"/>
      </w:pPr>
      <w:r>
        <w:t xml:space="preserve"/>
      </w:r>
    </w:p>
    <w:p>
      <w:pPr>
        <w:pStyle w:val="Heading3"/>
        <w:spacing w:after="60" w:before="160"/>
      </w:pPr>
      <w:r>
        <w:rPr>
          <w:rFonts w:ascii="Arial" w:cs="Arial" w:eastAsia="Arial" w:hAnsi="Arial"/>
          <w:b/>
          <w:bCs/>
          <w:color w:val="333333"/>
          <w:sz w:val="22"/>
          <w:szCs w:val="22"/>
        </w:rPr>
        <w:t xml:space="preserve">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Input</w:t>
            </w:r>
          </w:p>
        </w:tc>
        <w:tc>
          <w:tcPr>
            <w:tcW w:type="dxa" w:w="756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8"/>
                <w:szCs w:val="18"/>
              </w:rPr>
              <w:t xml:space="preserve">A single RiskAssessment where recommended_action == 'PROCURE', plus the full List[VendorRecord] (for backup vendor lookup).</w:t>
            </w:r>
          </w:p>
        </w:tc>
      </w:tr>
    </w:tbl>
    <w:p>
      <w:pPr>
        <w:spacing w:after="0" w:before="60"/>
      </w:pPr>
      <w:r>
        <w:t xml:space="preserve"/>
      </w:r>
    </w:p>
    <w:p>
      <w:pPr>
        <w:pStyle w:val="Heading3"/>
        <w:spacing w:after="60" w:before="160"/>
      </w:pPr>
      <w:r>
        <w:rPr>
          <w:rFonts w:ascii="Arial" w:cs="Arial" w:eastAsia="Arial" w:hAnsi="Arial"/>
          <w:b/>
          <w:bCs/>
          <w:color w:val="333333"/>
          <w:sz w:val="22"/>
          <w:szCs w:val="22"/>
        </w:rPr>
        <w:t xml:space="preserve">Prompting Strategy</w:t>
      </w:r>
    </w:p>
    <w:p>
      <w:pPr>
        <w:spacing w:after="80" w:before="60"/>
      </w:pPr>
      <w:r>
        <w:rPr>
          <w:rFonts w:ascii="Arial" w:cs="Arial" w:eastAsia="Arial" w:hAnsi="Arial"/>
          <w:color w:val="333333"/>
          <w:sz w:val="20"/>
          <w:szCs w:val="20"/>
        </w:rPr>
        <w:t xml:space="preserve">The agent sends a structured prompt to Gemini 1.5 Pro containing:</w:t>
      </w:r>
    </w:p>
    <w:p>
      <w:pPr>
        <w:pStyle w:val="ListParagraph"/>
        <w:numPr>
          <w:ilvl w:val="0"/>
          <w:numId w:val="2"/>
        </w:numPr>
        <w:spacing w:after="40" w:before="40"/>
      </w:pPr>
      <w:r>
        <w:rPr>
          <w:rFonts w:ascii="Arial" w:cs="Arial" w:eastAsia="Arial" w:hAnsi="Arial"/>
          <w:color w:val="333333"/>
          <w:sz w:val="20"/>
          <w:szCs w:val="20"/>
        </w:rPr>
        <w:t xml:space="preserve">System context: role as a supply chain advisor for an Indian SME manufacturer.</w:t>
      </w:r>
    </w:p>
    <w:p>
      <w:pPr>
        <w:pStyle w:val="ListParagraph"/>
        <w:numPr>
          <w:ilvl w:val="0"/>
          <w:numId w:val="2"/>
        </w:numPr>
        <w:spacing w:after="40" w:before="40"/>
      </w:pPr>
      <w:r>
        <w:rPr>
          <w:rFonts w:ascii="Arial" w:cs="Arial" w:eastAsia="Arial" w:hAnsi="Arial"/>
          <w:color w:val="333333"/>
          <w:sz w:val="20"/>
          <w:szCs w:val="20"/>
        </w:rPr>
        <w:t xml:space="preserve">Vendor details: name, city, commodity, open PO value, lead time.</w:t>
      </w:r>
    </w:p>
    <w:p>
      <w:pPr>
        <w:pStyle w:val="ListParagraph"/>
        <w:numPr>
          <w:ilvl w:val="0"/>
          <w:numId w:val="2"/>
        </w:numPr>
        <w:spacing w:after="40" w:before="40"/>
      </w:pPr>
      <w:r>
        <w:rPr>
          <w:rFonts w:ascii="Arial" w:cs="Arial" w:eastAsia="Arial" w:hAnsi="Arial"/>
          <w:color w:val="333333"/>
          <w:sz w:val="20"/>
          <w:szCs w:val="20"/>
        </w:rPr>
        <w:t xml:space="preserve">Risk evidence: weather, news, commodity, and historical signals.</w:t>
      </w:r>
    </w:p>
    <w:p>
      <w:pPr>
        <w:pStyle w:val="ListParagraph"/>
        <w:numPr>
          <w:ilvl w:val="0"/>
          <w:numId w:val="2"/>
        </w:numPr>
        <w:spacing w:after="40" w:before="40"/>
      </w:pPr>
      <w:r>
        <w:rPr>
          <w:rFonts w:ascii="Arial" w:cs="Arial" w:eastAsia="Arial" w:hAnsi="Arial"/>
          <w:color w:val="333333"/>
          <w:sz w:val="20"/>
          <w:szCs w:val="20"/>
        </w:rPr>
        <w:t xml:space="preserve">Backup vendor details if backup_vendor_id is set.</w:t>
      </w:r>
    </w:p>
    <w:p>
      <w:pPr>
        <w:pStyle w:val="ListParagraph"/>
        <w:numPr>
          <w:ilvl w:val="0"/>
          <w:numId w:val="2"/>
        </w:numPr>
        <w:spacing w:after="40" w:before="40"/>
      </w:pPr>
      <w:r>
        <w:rPr>
          <w:rFonts w:ascii="Arial" w:cs="Arial" w:eastAsia="Arial" w:hAnsi="Arial"/>
          <w:color w:val="333333"/>
          <w:sz w:val="20"/>
          <w:szCs w:val="20"/>
        </w:rPr>
        <w:t xml:space="preserve">Instructions: generate (a) plain-language risk alert, (b) alternate supplier recommendation if applicable, (c) draft early PO text, all in simple language suitable for a non-technical factory owner.</w:t>
      </w:r>
    </w:p>
    <w:p>
      <w:pPr>
        <w:spacing w:after="0" w:before="60"/>
      </w:pPr>
      <w:r>
        <w:t xml:space="preserve"/>
      </w:r>
    </w:p>
    <w:p>
      <w:pPr>
        <w:pStyle w:val="Heading3"/>
        <w:spacing w:after="60" w:before="160"/>
      </w:pPr>
      <w:r>
        <w:rPr>
          <w:rFonts w:ascii="Arial" w:cs="Arial" w:eastAsia="Arial" w:hAnsi="Arial"/>
          <w:b/>
          <w:bCs/>
          <w:color w:val="333333"/>
          <w:sz w:val="22"/>
          <w:szCs w:val="22"/>
        </w:rPr>
        <w:t xml:space="preserve">ProcurementDraft Schema</w:t>
      </w:r>
    </w:p>
    <w:p>
      <w:pPr>
        <w:pStyle w:val="ListParagraph"/>
        <w:numPr>
          <w:ilvl w:val="0"/>
          <w:numId w:val="2"/>
        </w:numPr>
        <w:spacing w:after="40" w:before="40"/>
      </w:pPr>
      <w:r>
        <w:rPr>
          <w:rFonts w:ascii="Arial" w:cs="Arial" w:eastAsia="Arial" w:hAnsi="Arial"/>
          <w:color w:val="333333"/>
          <w:sz w:val="20"/>
          <w:szCs w:val="20"/>
        </w:rPr>
        <w:t xml:space="preserve">vendor_id: str</w:t>
      </w:r>
    </w:p>
    <w:p>
      <w:pPr>
        <w:pStyle w:val="ListParagraph"/>
        <w:numPr>
          <w:ilvl w:val="0"/>
          <w:numId w:val="2"/>
        </w:numPr>
        <w:spacing w:after="40" w:before="40"/>
      </w:pPr>
      <w:r>
        <w:rPr>
          <w:rFonts w:ascii="Arial" w:cs="Arial" w:eastAsia="Arial" w:hAnsi="Arial"/>
          <w:color w:val="333333"/>
          <w:sz w:val="20"/>
          <w:szCs w:val="20"/>
        </w:rPr>
        <w:t xml:space="preserve">risk_alert_text: str — 3–5 sentence plain-language alert</w:t>
      </w:r>
    </w:p>
    <w:p>
      <w:pPr>
        <w:pStyle w:val="ListParagraph"/>
        <w:numPr>
          <w:ilvl w:val="0"/>
          <w:numId w:val="2"/>
        </w:numPr>
        <w:spacing w:after="40" w:before="40"/>
      </w:pPr>
      <w:r>
        <w:rPr>
          <w:rFonts w:ascii="Arial" w:cs="Arial" w:eastAsia="Arial" w:hAnsi="Arial"/>
          <w:color w:val="333333"/>
          <w:sz w:val="20"/>
          <w:szCs w:val="20"/>
        </w:rPr>
        <w:t xml:space="preserve">alternate_supplier_recommendation: str | None</w:t>
      </w:r>
    </w:p>
    <w:p>
      <w:pPr>
        <w:pStyle w:val="ListParagraph"/>
        <w:numPr>
          <w:ilvl w:val="0"/>
          <w:numId w:val="2"/>
        </w:numPr>
        <w:spacing w:after="40" w:before="40"/>
      </w:pPr>
      <w:r>
        <w:rPr>
          <w:rFonts w:ascii="Arial" w:cs="Arial" w:eastAsia="Arial" w:hAnsi="Arial"/>
          <w:color w:val="333333"/>
          <w:sz w:val="20"/>
          <w:szCs w:val="20"/>
        </w:rPr>
        <w:t xml:space="preserve">draft_po_text: str — draft purchase order content</w:t>
      </w:r>
    </w:p>
    <w:p>
      <w:pPr>
        <w:pStyle w:val="ListParagraph"/>
        <w:numPr>
          <w:ilvl w:val="0"/>
          <w:numId w:val="2"/>
        </w:numPr>
        <w:spacing w:after="40" w:before="40"/>
      </w:pPr>
      <w:r>
        <w:rPr>
          <w:rFonts w:ascii="Arial" w:cs="Arial" w:eastAsia="Arial" w:hAnsi="Arial"/>
          <w:color w:val="333333"/>
          <w:sz w:val="20"/>
          <w:szCs w:val="20"/>
        </w:rPr>
        <w:t xml:space="preserve">whatsapp_ready_message: str — compressed single-message version for clipboard copy</w:t>
      </w:r>
    </w:p>
    <w:p>
      <w:pPr>
        <w:pStyle w:val="ListParagraph"/>
        <w:numPr>
          <w:ilvl w:val="0"/>
          <w:numId w:val="2"/>
        </w:numPr>
        <w:spacing w:after="40" w:before="40"/>
      </w:pPr>
      <w:r>
        <w:rPr>
          <w:rFonts w:ascii="Arial" w:cs="Arial" w:eastAsia="Arial" w:hAnsi="Arial"/>
          <w:color w:val="333333"/>
          <w:sz w:val="20"/>
          <w:szCs w:val="20"/>
        </w:rPr>
        <w:t xml:space="preserve">generated_at: datetime</w:t>
      </w:r>
    </w:p>
    <w:p>
      <w:r>
        <w:br w:type="page"/>
      </w:r>
    </w:p>
    <w:p>
      <w:pPr>
        <w:pStyle w:val="Heading1"/>
        <w:spacing w:after="120" w:before="320"/>
      </w:pPr>
      <w:r>
        <w:rPr>
          <w:rFonts w:ascii="Arial" w:cs="Arial" w:eastAsia="Arial" w:hAnsi="Arial"/>
          <w:b/>
          <w:bCs/>
          <w:color w:val="0F3460"/>
          <w:sz w:val="30"/>
          <w:szCs w:val="30"/>
        </w:rPr>
        <w:t xml:space="preserve">4. Risk Scoring Algorithm</w:t>
      </w:r>
    </w:p>
    <w:p>
      <w:pPr>
        <w:spacing w:after="80" w:before="60"/>
      </w:pPr>
      <w:r>
        <w:rPr>
          <w:rFonts w:ascii="Arial" w:cs="Arial" w:eastAsia="Arial" w:hAnsi="Arial"/>
          <w:color w:val="333333"/>
          <w:sz w:val="20"/>
          <w:szCs w:val="20"/>
        </w:rPr>
        <w:t xml:space="preserve">Each vendor receives a composite risk score computed from four independently weighted components. The maximum possible score is 100.</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4.1 Component 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160"/>
        <w:gridCol w:w="3600"/>
      </w:tblGrid>
      <w:tr>
        <w:trPr>
          <w:tblHeader/>
        </w:trPr>
        <w:tc>
          <w:tcPr>
            <w:tcW w:type="dxa" w:w="24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12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Max Points</w:t>
            </w:r>
          </w:p>
        </w:tc>
        <w:tc>
          <w:tcPr>
            <w:tcW w:type="dxa" w:w="21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 Condition</w:t>
            </w:r>
          </w:p>
        </w:tc>
        <w:tc>
          <w:tcPr>
            <w:tcW w:type="dxa" w:w="36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Scoring Logic</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Weather Risk</w:t>
            </w:r>
          </w:p>
        </w:tc>
        <w:tc>
          <w:tcPr>
            <w:tcW w:type="dxa" w:w="1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w:t>
            </w:r>
          </w:p>
        </w:tc>
        <w:tc>
          <w:tcPr>
            <w:tcW w:type="dxa" w:w="2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Severe forecast at vendor city in next 7 days</w:t>
            </w:r>
          </w:p>
        </w:tc>
        <w:tc>
          <w:tcPr>
            <w:tcW w:type="dxa" w:w="3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Heavy rain/flood alert: 30 | Moderate warning: 15 | Strong wind/hail: 10 | No alert: 0</w:t>
            </w:r>
          </w:p>
        </w:tc>
      </w:tr>
      <w:tr>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News Risk</w:t>
            </w:r>
          </w:p>
        </w:tc>
        <w:tc>
          <w:tcPr>
            <w:tcW w:type="dxa" w:w="1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30</w:t>
            </w:r>
          </w:p>
        </w:tc>
        <w:tc>
          <w:tcPr>
            <w:tcW w:type="dxa" w:w="2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Relevant disruption news in last 48 hours</w:t>
            </w:r>
          </w:p>
        </w:tc>
        <w:tc>
          <w:tcPr>
            <w:tcW w:type="dxa" w:w="3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Strike confirmed: 30 | Strike rumoured: 20 | Disruption reported: 15 | No news: 0</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Commodity Risk</w:t>
            </w:r>
          </w:p>
        </w:tc>
        <w:tc>
          <w:tcPr>
            <w:tcW w:type="dxa" w:w="1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W w:type="dxa" w:w="2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Price spike or shortage signal for commodity</w:t>
            </w:r>
          </w:p>
        </w:tc>
        <w:tc>
          <w:tcPr>
            <w:tcW w:type="dxa" w:w="3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&gt;10% trend spike: 20 | 5-10% spike: 10 | Stable: 0</w:t>
            </w:r>
          </w:p>
        </w:tc>
      </w:tr>
      <w:tr>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Historical Risk</w:t>
            </w:r>
          </w:p>
        </w:tc>
        <w:tc>
          <w:tcPr>
            <w:tcW w:type="dxa" w:w="1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W w:type="dxa" w:w="2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Vendor on-time delivery rate below 80%</w:t>
            </w:r>
          </w:p>
        </w:tc>
        <w:tc>
          <w:tcPr>
            <w:tcW w:type="dxa" w:w="3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OTD &lt;60%: 20 | OTD 60-70%: 15 | OTD 70-80%: 10 | OTD &gt;=80%: 0</w:t>
            </w:r>
          </w:p>
        </w:tc>
      </w:tr>
    </w:tbl>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4.2 Composite Score Formula</w:t>
      </w:r>
    </w:p>
    <w:p>
      <w:pPr>
        <w:pBdr>
          <w:left w:val="single" w:color="1A56A0" w:sz="12" w:space="4"/>
        </w:pBdr>
        <w:shd w:fill="F2F4F7" w:val="clear"/>
        <w:spacing w:after="80" w:before="80"/>
        <w:ind w:left="360"/>
      </w:pPr>
      <w:r>
        <w:rPr>
          <w:rFonts w:ascii="Courier New" w:cs="Courier New" w:eastAsia="Courier New" w:hAnsi="Courier New"/>
          <w:color w:val="333333"/>
          <w:sz w:val="20"/>
          <w:szCs w:val="20"/>
        </w:rPr>
        <w:t xml:space="preserve">composite_score = weather_score + news_score + commodity_score + historical_score</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4.3 Risk Bands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Band</w:t>
            </w:r>
          </w:p>
        </w:tc>
        <w:tc>
          <w:tcPr>
            <w:tcW w:type="dxa" w:w="20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Score Range</w:t>
            </w:r>
          </w:p>
        </w:tc>
        <w:tc>
          <w:tcPr>
            <w:tcW w:type="dxa" w:w="24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Dashboard Colour</w:t>
            </w:r>
          </w:p>
        </w:tc>
        <w:tc>
          <w:tcPr>
            <w:tcW w:type="dxa" w:w="31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System Action</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2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 40</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Green</w:t>
            </w:r>
          </w:p>
        </w:tc>
        <w:tc>
          <w:tcPr>
            <w:tcW w:type="dxa" w:w="3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Display on dashboard; no alert</w:t>
            </w:r>
          </w:p>
        </w:tc>
      </w:tr>
      <w:tr>
        <w:tc>
          <w:tcPr>
            <w:tcW w:type="dxa" w:w="1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20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41 – 65</w:t>
            </w:r>
          </w:p>
        </w:tc>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Amber</w:t>
            </w:r>
          </w:p>
        </w:tc>
        <w:tc>
          <w:tcPr>
            <w:tcW w:type="dxa" w:w="3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Flag on dashboard; no auto-draft</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2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66 – 100</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Red</w:t>
            </w:r>
          </w:p>
        </w:tc>
        <w:tc>
          <w:tcPr>
            <w:tcW w:type="dxa" w:w="3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Auto-trigger Procurement Agent; alert manufacturer</w:t>
            </w:r>
          </w:p>
        </w:tc>
      </w:tr>
    </w:tbl>
    <w:p>
      <w:r>
        <w:br w:type="page"/>
      </w:r>
    </w:p>
    <w:p>
      <w:pPr>
        <w:pStyle w:val="Heading1"/>
        <w:spacing w:after="120" w:before="320"/>
      </w:pPr>
      <w:r>
        <w:rPr>
          <w:rFonts w:ascii="Arial" w:cs="Arial" w:eastAsia="Arial" w:hAnsi="Arial"/>
          <w:b/>
          <w:bCs/>
          <w:color w:val="0F3460"/>
          <w:sz w:val="30"/>
          <w:szCs w:val="30"/>
        </w:rPr>
        <w:t xml:space="preserve">5. External API Integrations</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5.1 Google Drive MCP Server</w:t>
      </w:r>
    </w:p>
    <w:p>
      <w:pPr>
        <w:pStyle w:val="ListParagraph"/>
        <w:numPr>
          <w:ilvl w:val="0"/>
          <w:numId w:val="2"/>
        </w:numPr>
        <w:spacing w:after="40" w:before="40"/>
      </w:pPr>
      <w:r>
        <w:rPr>
          <w:rFonts w:ascii="Arial" w:cs="Arial" w:eastAsia="Arial" w:hAnsi="Arial"/>
          <w:color w:val="333333"/>
          <w:sz w:val="20"/>
          <w:szCs w:val="20"/>
        </w:rPr>
        <w:t xml:space="preserve">Protocol: MCP (Model Context Protocol) over stdio.</w:t>
      </w:r>
    </w:p>
    <w:p>
      <w:pPr>
        <w:pStyle w:val="ListParagraph"/>
        <w:numPr>
          <w:ilvl w:val="0"/>
          <w:numId w:val="2"/>
        </w:numPr>
        <w:spacing w:after="40" w:before="40"/>
      </w:pPr>
      <w:r>
        <w:rPr>
          <w:rFonts w:ascii="Arial" w:cs="Arial" w:eastAsia="Arial" w:hAnsi="Arial"/>
          <w:color w:val="333333"/>
          <w:sz w:val="20"/>
          <w:szCs w:val="20"/>
        </w:rPr>
        <w:t xml:space="preserve">Authentication: Service account JSON key injected as environment variable GOOGLE_SERVICE_ACCOUNT_JSON.</w:t>
      </w:r>
    </w:p>
    <w:p>
      <w:pPr>
        <w:pStyle w:val="ListParagraph"/>
        <w:numPr>
          <w:ilvl w:val="0"/>
          <w:numId w:val="2"/>
        </w:numPr>
        <w:spacing w:after="40" w:before="40"/>
      </w:pPr>
      <w:r>
        <w:rPr>
          <w:rFonts w:ascii="Arial" w:cs="Arial" w:eastAsia="Arial" w:hAnsi="Arial"/>
          <w:color w:val="333333"/>
          <w:sz w:val="20"/>
          <w:szCs w:val="20"/>
        </w:rPr>
        <w:t xml:space="preserve">Scopes required: https://www.googleapis.com/auth/drive.readonly, https://www.googleapis.com/auth/spreadsheets.readonly.</w:t>
      </w:r>
    </w:p>
    <w:p>
      <w:pPr>
        <w:pStyle w:val="ListParagraph"/>
        <w:numPr>
          <w:ilvl w:val="0"/>
          <w:numId w:val="2"/>
        </w:numPr>
        <w:spacing w:after="40" w:before="40"/>
      </w:pPr>
      <w:r>
        <w:rPr>
          <w:rFonts w:ascii="Arial" w:cs="Arial" w:eastAsia="Arial" w:hAnsi="Arial"/>
          <w:color w:val="333333"/>
          <w:sz w:val="20"/>
          <w:szCs w:val="20"/>
        </w:rPr>
        <w:t xml:space="preserve">Operations: list files, get spreadsheet values by range.</w:t>
      </w:r>
    </w:p>
    <w:p>
      <w:pPr>
        <w:pStyle w:val="ListParagraph"/>
        <w:numPr>
          <w:ilvl w:val="0"/>
          <w:numId w:val="2"/>
        </w:numPr>
        <w:spacing w:after="40" w:before="40"/>
      </w:pPr>
      <w:r>
        <w:rPr>
          <w:rFonts w:ascii="Arial" w:cs="Arial" w:eastAsia="Arial" w:hAnsi="Arial"/>
          <w:color w:val="333333"/>
          <w:sz w:val="20"/>
          <w:szCs w:val="20"/>
        </w:rPr>
        <w:t xml:space="preserve">Rate limits: 300 requests/minute per user. Ingest Agent makes at most 2 requests per scan — well within limits.</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5.2 OpenWeatherMap API</w:t>
      </w:r>
    </w:p>
    <w:p>
      <w:pPr>
        <w:pStyle w:val="ListParagraph"/>
        <w:numPr>
          <w:ilvl w:val="0"/>
          <w:numId w:val="2"/>
        </w:numPr>
        <w:spacing w:after="40" w:before="40"/>
      </w:pPr>
      <w:r>
        <w:rPr>
          <w:rFonts w:ascii="Arial" w:cs="Arial" w:eastAsia="Arial" w:hAnsi="Arial"/>
          <w:color w:val="333333"/>
          <w:sz w:val="20"/>
          <w:szCs w:val="20"/>
        </w:rPr>
        <w:t xml:space="preserve">Endpoint: /data/2.5/forecast/daily with cnt=7 (7-day daily forecast).</w:t>
      </w:r>
    </w:p>
    <w:p>
      <w:pPr>
        <w:pStyle w:val="ListParagraph"/>
        <w:numPr>
          <w:ilvl w:val="0"/>
          <w:numId w:val="2"/>
        </w:numPr>
        <w:spacing w:after="40" w:before="40"/>
      </w:pPr>
      <w:r>
        <w:rPr>
          <w:rFonts w:ascii="Arial" w:cs="Arial" w:eastAsia="Arial" w:hAnsi="Arial"/>
          <w:color w:val="333333"/>
          <w:sz w:val="20"/>
          <w:szCs w:val="20"/>
        </w:rPr>
        <w:t xml:space="preserve">Authentication: API key via env var OPENWEATHERMAP_API_KEY.</w:t>
      </w:r>
    </w:p>
    <w:p>
      <w:pPr>
        <w:pStyle w:val="ListParagraph"/>
        <w:numPr>
          <w:ilvl w:val="0"/>
          <w:numId w:val="2"/>
        </w:numPr>
        <w:spacing w:after="40" w:before="40"/>
      </w:pPr>
      <w:r>
        <w:rPr>
          <w:rFonts w:ascii="Arial" w:cs="Arial" w:eastAsia="Arial" w:hAnsi="Arial"/>
          <w:color w:val="333333"/>
          <w:sz w:val="20"/>
          <w:szCs w:val="20"/>
        </w:rPr>
        <w:t xml:space="preserve">Geo-coding: Use /geo/1.0/direct with city name + country code IN to get lat/lon before forecast call.</w:t>
      </w:r>
    </w:p>
    <w:p>
      <w:pPr>
        <w:pStyle w:val="ListParagraph"/>
        <w:numPr>
          <w:ilvl w:val="0"/>
          <w:numId w:val="2"/>
        </w:numPr>
        <w:spacing w:after="40" w:before="40"/>
      </w:pPr>
      <w:r>
        <w:rPr>
          <w:rFonts w:ascii="Arial" w:cs="Arial" w:eastAsia="Arial" w:hAnsi="Arial"/>
          <w:color w:val="333333"/>
          <w:sz w:val="20"/>
          <w:szCs w:val="20"/>
        </w:rPr>
        <w:t xml:space="preserve">Free tier limits: 1,000 calls/day. At 15 vendors x 2 calls (geo + forecast) = 30 calls per scan — well within limits.</w:t>
      </w:r>
    </w:p>
    <w:p>
      <w:pPr>
        <w:pStyle w:val="ListParagraph"/>
        <w:numPr>
          <w:ilvl w:val="0"/>
          <w:numId w:val="2"/>
        </w:numPr>
        <w:spacing w:after="40" w:before="40"/>
      </w:pPr>
      <w:r>
        <w:rPr>
          <w:rFonts w:ascii="Arial" w:cs="Arial" w:eastAsia="Arial" w:hAnsi="Arial"/>
          <w:color w:val="333333"/>
          <w:sz w:val="20"/>
          <w:szCs w:val="20"/>
        </w:rPr>
        <w:t xml:space="preserve">Response fields used: weather[].main, weather[].description, rain.3h for precipitation intensity.</w:t>
      </w:r>
    </w:p>
    <w:p>
      <w:pPr>
        <w:pStyle w:val="ListParagraph"/>
        <w:numPr>
          <w:ilvl w:val="0"/>
          <w:numId w:val="2"/>
        </w:numPr>
        <w:spacing w:after="40" w:before="40"/>
      </w:pPr>
      <w:r>
        <w:rPr>
          <w:rFonts w:ascii="Arial" w:cs="Arial" w:eastAsia="Arial" w:hAnsi="Arial"/>
          <w:color w:val="333333"/>
          <w:sz w:val="20"/>
          <w:szCs w:val="20"/>
        </w:rPr>
        <w:t xml:space="preserve">Fallback: If API unavailable, ADK web search query '{city} weather forecast 7 days'.</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5.3 Newscatcher API</w:t>
      </w:r>
    </w:p>
    <w:p>
      <w:pPr>
        <w:pStyle w:val="ListParagraph"/>
        <w:numPr>
          <w:ilvl w:val="0"/>
          <w:numId w:val="2"/>
        </w:numPr>
        <w:spacing w:after="40" w:before="40"/>
      </w:pPr>
      <w:r>
        <w:rPr>
          <w:rFonts w:ascii="Arial" w:cs="Arial" w:eastAsia="Arial" w:hAnsi="Arial"/>
          <w:color w:val="333333"/>
          <w:sz w:val="20"/>
          <w:szCs w:val="20"/>
        </w:rPr>
        <w:t xml:space="preserve">Endpoint: /v2/search with q='{city} (strike OR flood OR shutdown OR disruption)', lang=en, from date = now - 48 hours.</w:t>
      </w:r>
    </w:p>
    <w:p>
      <w:pPr>
        <w:pStyle w:val="ListParagraph"/>
        <w:numPr>
          <w:ilvl w:val="0"/>
          <w:numId w:val="2"/>
        </w:numPr>
        <w:spacing w:after="40" w:before="40"/>
      </w:pPr>
      <w:r>
        <w:rPr>
          <w:rFonts w:ascii="Arial" w:cs="Arial" w:eastAsia="Arial" w:hAnsi="Arial"/>
          <w:color w:val="333333"/>
          <w:sz w:val="20"/>
          <w:szCs w:val="20"/>
        </w:rPr>
        <w:t xml:space="preserve">Authentication: API key via env var NEWSCATCHER_API_KEY.</w:t>
      </w:r>
    </w:p>
    <w:p>
      <w:pPr>
        <w:pStyle w:val="ListParagraph"/>
        <w:numPr>
          <w:ilvl w:val="0"/>
          <w:numId w:val="2"/>
        </w:numPr>
        <w:spacing w:after="40" w:before="40"/>
      </w:pPr>
      <w:r>
        <w:rPr>
          <w:rFonts w:ascii="Arial" w:cs="Arial" w:eastAsia="Arial" w:hAnsi="Arial"/>
          <w:color w:val="333333"/>
          <w:sz w:val="20"/>
          <w:szCs w:val="20"/>
        </w:rPr>
        <w:t xml:space="preserve">Free tier limits: 10,000 calls/month. 15 vendors x 1 call = 15 calls per scan — within limits.</w:t>
      </w:r>
    </w:p>
    <w:p>
      <w:pPr>
        <w:pStyle w:val="ListParagraph"/>
        <w:numPr>
          <w:ilvl w:val="0"/>
          <w:numId w:val="2"/>
        </w:numPr>
        <w:spacing w:after="40" w:before="40"/>
      </w:pPr>
      <w:r>
        <w:rPr>
          <w:rFonts w:ascii="Arial" w:cs="Arial" w:eastAsia="Arial" w:hAnsi="Arial"/>
          <w:color w:val="333333"/>
          <w:sz w:val="20"/>
          <w:szCs w:val="20"/>
        </w:rPr>
        <w:t xml:space="preserve">Response fields used: articles[].title, articles[].url, articles[].published_date, articles[].score.</w:t>
      </w:r>
    </w:p>
    <w:p>
      <w:pPr>
        <w:pStyle w:val="ListParagraph"/>
        <w:numPr>
          <w:ilvl w:val="0"/>
          <w:numId w:val="2"/>
        </w:numPr>
        <w:spacing w:after="40" w:before="40"/>
      </w:pPr>
      <w:r>
        <w:rPr>
          <w:rFonts w:ascii="Arial" w:cs="Arial" w:eastAsia="Arial" w:hAnsi="Arial"/>
          <w:color w:val="333333"/>
          <w:sz w:val="20"/>
          <w:szCs w:val="20"/>
        </w:rPr>
        <w:t xml:space="preserve">Deduplication: Filter articles with relevance score &lt; 0.6. Cap at 3 articles per vendor.</w:t>
      </w:r>
    </w:p>
    <w:p>
      <w:pPr>
        <w:pStyle w:val="ListParagraph"/>
        <w:numPr>
          <w:ilvl w:val="0"/>
          <w:numId w:val="2"/>
        </w:numPr>
        <w:spacing w:after="40" w:before="40"/>
      </w:pPr>
      <w:r>
        <w:rPr>
          <w:rFonts w:ascii="Arial" w:cs="Arial" w:eastAsia="Arial" w:hAnsi="Arial"/>
          <w:color w:val="333333"/>
          <w:sz w:val="20"/>
          <w:szCs w:val="20"/>
        </w:rPr>
        <w:t xml:space="preserve">Fallback: ADK built-in web search with same query if API returns empty or errors.</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5.4 pytrends (Google Trends)</w:t>
      </w:r>
    </w:p>
    <w:p>
      <w:pPr>
        <w:pStyle w:val="ListParagraph"/>
        <w:numPr>
          <w:ilvl w:val="0"/>
          <w:numId w:val="2"/>
        </w:numPr>
        <w:spacing w:after="40" w:before="40"/>
      </w:pPr>
      <w:r>
        <w:rPr>
          <w:rFonts w:ascii="Arial" w:cs="Arial" w:eastAsia="Arial" w:hAnsi="Arial"/>
          <w:color w:val="333333"/>
          <w:sz w:val="20"/>
          <w:szCs w:val="20"/>
        </w:rPr>
        <w:t xml:space="preserve">Library: pytrends 4.9+, installed via pip.</w:t>
      </w:r>
    </w:p>
    <w:p>
      <w:pPr>
        <w:pStyle w:val="ListParagraph"/>
        <w:numPr>
          <w:ilvl w:val="0"/>
          <w:numId w:val="2"/>
        </w:numPr>
        <w:spacing w:after="40" w:before="40"/>
      </w:pPr>
      <w:r>
        <w:rPr>
          <w:rFonts w:ascii="Arial" w:cs="Arial" w:eastAsia="Arial" w:hAnsi="Arial"/>
          <w:color w:val="333333"/>
          <w:sz w:val="20"/>
          <w:szCs w:val="20"/>
        </w:rPr>
        <w:t xml:space="preserve">Query: TrendReq().build_payload(['{commodity} price India'], timeframe='now 7-d').</w:t>
      </w:r>
    </w:p>
    <w:p>
      <w:pPr>
        <w:pStyle w:val="ListParagraph"/>
        <w:numPr>
          <w:ilvl w:val="0"/>
          <w:numId w:val="2"/>
        </w:numPr>
        <w:spacing w:after="40" w:before="40"/>
      </w:pPr>
      <w:r>
        <w:rPr>
          <w:rFonts w:ascii="Arial" w:cs="Arial" w:eastAsia="Arial" w:hAnsi="Arial"/>
          <w:color w:val="333333"/>
          <w:sz w:val="20"/>
          <w:szCs w:val="20"/>
        </w:rPr>
        <w:t xml:space="preserve">No API key required. Rate limiting is implicit — add 1-second sleep between requests.</w:t>
      </w:r>
    </w:p>
    <w:p>
      <w:pPr>
        <w:pStyle w:val="ListParagraph"/>
        <w:numPr>
          <w:ilvl w:val="0"/>
          <w:numId w:val="2"/>
        </w:numPr>
        <w:spacing w:after="40" w:before="40"/>
      </w:pPr>
      <w:r>
        <w:rPr>
          <w:rFonts w:ascii="Arial" w:cs="Arial" w:eastAsia="Arial" w:hAnsi="Arial"/>
          <w:color w:val="333333"/>
          <w:sz w:val="20"/>
          <w:szCs w:val="20"/>
        </w:rPr>
        <w:t xml:space="preserve">Interpretation: Extract interest_over_time() values; compute 7-day percentage change. Flag if delta &gt; 5%.</w:t>
      </w:r>
    </w:p>
    <w:p>
      <w:pPr>
        <w:pStyle w:val="ListParagraph"/>
        <w:numPr>
          <w:ilvl w:val="0"/>
          <w:numId w:val="2"/>
        </w:numPr>
        <w:spacing w:after="40" w:before="40"/>
      </w:pPr>
      <w:r>
        <w:rPr>
          <w:rFonts w:ascii="Arial" w:cs="Arial" w:eastAsia="Arial" w:hAnsi="Arial"/>
          <w:color w:val="333333"/>
          <w:sz w:val="20"/>
          <w:szCs w:val="20"/>
        </w:rPr>
        <w:t xml:space="preserve">Fallback: Skip commodity score (set to 0); log warning. Do not fail scan.</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5.5 PPAC India Fuel Price Scraper</w:t>
      </w:r>
    </w:p>
    <w:p>
      <w:pPr>
        <w:pStyle w:val="ListParagraph"/>
        <w:numPr>
          <w:ilvl w:val="0"/>
          <w:numId w:val="2"/>
        </w:numPr>
        <w:spacing w:after="40" w:before="40"/>
      </w:pPr>
      <w:r>
        <w:rPr>
          <w:rFonts w:ascii="Arial" w:cs="Arial" w:eastAsia="Arial" w:hAnsi="Arial"/>
          <w:color w:val="333333"/>
          <w:sz w:val="20"/>
          <w:szCs w:val="20"/>
        </w:rPr>
        <w:t xml:space="preserve">Target: https://ppac.gov.in — dynamic retail selling prices table for diesel.</w:t>
      </w:r>
    </w:p>
    <w:p>
      <w:pPr>
        <w:pStyle w:val="ListParagraph"/>
        <w:numPr>
          <w:ilvl w:val="0"/>
          <w:numId w:val="2"/>
        </w:numPr>
        <w:spacing w:after="40" w:before="40"/>
      </w:pPr>
      <w:r>
        <w:rPr>
          <w:rFonts w:ascii="Arial" w:cs="Arial" w:eastAsia="Arial" w:hAnsi="Arial"/>
          <w:color w:val="333333"/>
          <w:sz w:val="20"/>
          <w:szCs w:val="20"/>
        </w:rPr>
        <w:t xml:space="preserve">Method: requests + BeautifulSoup4. Extract Maharashtra diesel price per litre.</w:t>
      </w:r>
    </w:p>
    <w:p>
      <w:pPr>
        <w:pStyle w:val="ListParagraph"/>
        <w:numPr>
          <w:ilvl w:val="0"/>
          <w:numId w:val="2"/>
        </w:numPr>
        <w:spacing w:after="40" w:before="40"/>
      </w:pPr>
      <w:r>
        <w:rPr>
          <w:rFonts w:ascii="Arial" w:cs="Arial" w:eastAsia="Arial" w:hAnsi="Arial"/>
          <w:color w:val="333333"/>
          <w:sz w:val="20"/>
          <w:szCs w:val="20"/>
        </w:rPr>
        <w:t xml:space="preserve">Caching: Cache result in memory for the duration of a scan. If scrape fails, use last cached value. If no cache, set logistics_risk_score = 0.</w:t>
      </w:r>
    </w:p>
    <w:p>
      <w:pPr>
        <w:pStyle w:val="ListParagraph"/>
        <w:numPr>
          <w:ilvl w:val="0"/>
          <w:numId w:val="2"/>
        </w:numPr>
        <w:spacing w:after="40" w:before="40"/>
      </w:pPr>
      <w:r>
        <w:rPr>
          <w:rFonts w:ascii="Arial" w:cs="Arial" w:eastAsia="Arial" w:hAnsi="Arial"/>
          <w:color w:val="333333"/>
          <w:sz w:val="20"/>
          <w:szCs w:val="20"/>
        </w:rPr>
        <w:t xml:space="preserve">Frequency: One scrape per scan, not per vendor.</w:t>
      </w:r>
    </w:p>
    <w:p>
      <w:pPr>
        <w:pStyle w:val="ListParagraph"/>
        <w:numPr>
          <w:ilvl w:val="0"/>
          <w:numId w:val="2"/>
        </w:numPr>
        <w:spacing w:after="40" w:before="40"/>
      </w:pPr>
      <w:r>
        <w:rPr>
          <w:rFonts w:ascii="Arial" w:cs="Arial" w:eastAsia="Arial" w:hAnsi="Arial"/>
          <w:color w:val="333333"/>
          <w:sz w:val="20"/>
          <w:szCs w:val="20"/>
        </w:rPr>
        <w:t xml:space="preserve">Scoring: Compare against 30-day rolling average stored in local JSON file. If current price &gt; average by 5%, add 5 points; if &gt; 10%, add 10 points.</w:t>
      </w:r>
    </w:p>
    <w:p>
      <w:r>
        <w:br w:type="page"/>
      </w:r>
    </w:p>
    <w:p>
      <w:pPr>
        <w:pStyle w:val="Heading1"/>
        <w:spacing w:after="120" w:before="320"/>
      </w:pPr>
      <w:r>
        <w:rPr>
          <w:rFonts w:ascii="Arial" w:cs="Arial" w:eastAsia="Arial" w:hAnsi="Arial"/>
          <w:b/>
          <w:bCs/>
          <w:color w:val="0F3460"/>
          <w:sz w:val="30"/>
          <w:szCs w:val="30"/>
        </w:rPr>
        <w:t xml:space="preserve">6. Backend API Specification (FastAPI)</w:t>
      </w:r>
    </w:p>
    <w:p>
      <w:pPr>
        <w:spacing w:after="80" w:before="60"/>
      </w:pPr>
      <w:r>
        <w:rPr>
          <w:rFonts w:ascii="Arial" w:cs="Arial" w:eastAsia="Arial" w:hAnsi="Arial"/>
          <w:color w:val="333333"/>
          <w:sz w:val="20"/>
          <w:szCs w:val="20"/>
        </w:rPr>
        <w:t xml:space="preserve">The FastAPI layer exposes a REST interface consumed by the React frontend. All endpoints return JSON.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760"/>
      </w:tblGrid>
      <w:tr>
        <w:trPr>
          <w:tblHeader/>
        </w:trPr>
        <w:tc>
          <w:tcPr>
            <w:tcW w:type="dxa" w:w="14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24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8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c>
          <w:tcPr>
            <w:tcW w:type="dxa" w:w="37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POST</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/api/scan</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 (MVP)</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Trigger a full scan pipeline. Body: { sheet_url: str }. Returns scan_id.</w:t>
            </w:r>
          </w:p>
        </w:tc>
      </w:tr>
      <w:tr>
        <w:tc>
          <w:tcPr>
            <w:tcW w:type="dxa" w:w="1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GET</w:t>
            </w:r>
          </w:p>
        </w:tc>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/api/scan/{scan_id}</w:t>
            </w:r>
          </w:p>
        </w:tc>
        <w:tc>
          <w:tcPr>
            <w:tcW w:type="dxa" w:w="1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 (MVP)</w:t>
            </w:r>
          </w:p>
        </w:tc>
        <w:tc>
          <w:tcPr>
            <w:tcW w:type="dxa" w:w="37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Poll scan status and retrieve results when complete.</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GET</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/api/vendors</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 (MVP)</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Return latest RiskAssessment list for all vendors.</w:t>
            </w:r>
          </w:p>
        </w:tc>
      </w:tr>
      <w:tr>
        <w:tc>
          <w:tcPr>
            <w:tcW w:type="dxa" w:w="1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GET</w:t>
            </w:r>
          </w:p>
        </w:tc>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/api/vendors/{id}</w:t>
            </w:r>
          </w:p>
        </w:tc>
        <w:tc>
          <w:tcPr>
            <w:tcW w:type="dxa" w:w="1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 (MVP)</w:t>
            </w:r>
          </w:p>
        </w:tc>
        <w:tc>
          <w:tcPr>
            <w:tcW w:type="dxa" w:w="37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Return full RiskAssessment + ProcurementDraft for one vendor.</w:t>
            </w:r>
          </w:p>
        </w:tc>
      </w:tr>
      <w:tr>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GET</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/api/alerts</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 (MVP)</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Return all HIGH-band vendors with their ProcurementDrafts.</w:t>
            </w:r>
          </w:p>
        </w:tc>
      </w:tr>
      <w:tr>
        <w:tc>
          <w:tcPr>
            <w:tcW w:type="dxa" w:w="1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GET</w:t>
            </w:r>
          </w:p>
        </w:tc>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/api/health</w:t>
            </w:r>
          </w:p>
        </w:tc>
        <w:tc>
          <w:tcPr>
            <w:tcW w:type="dxa" w:w="1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c>
          <w:tcPr>
            <w:tcW w:type="dxa" w:w="37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Health check. Returns { status: 'ok', version: '1.0' }.</w:t>
            </w:r>
          </w:p>
        </w:tc>
      </w:tr>
    </w:tbl>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6.1 Scan Lifecycle</w:t>
      </w:r>
    </w:p>
    <w:p>
      <w:pPr>
        <w:spacing w:after="80" w:before="60"/>
      </w:pPr>
      <w:r>
        <w:rPr>
          <w:rFonts w:ascii="Arial" w:cs="Arial" w:eastAsia="Arial" w:hAnsi="Arial"/>
          <w:color w:val="333333"/>
          <w:sz w:val="20"/>
          <w:szCs w:val="20"/>
        </w:rPr>
        <w:t xml:space="preserve">POST /api/scan starts a background asyncio task and immediately returns a scan_id (UUID). The frontend polls GET /api/scan/{scan_id} every 3 seconds. The scan status field transitions through: QUEUED → INGESTING → MONITORING → PREDICTING → DRAFTING → COMPLETE (or FAILED with an error field).</w:t>
      </w:r>
    </w:p>
    <w:p>
      <w:r>
        <w:br w:type="page"/>
      </w:r>
    </w:p>
    <w:p>
      <w:pPr>
        <w:pStyle w:val="Heading1"/>
        <w:spacing w:after="120" w:before="320"/>
      </w:pPr>
      <w:r>
        <w:rPr>
          <w:rFonts w:ascii="Arial" w:cs="Arial" w:eastAsia="Arial" w:hAnsi="Arial"/>
          <w:b/>
          <w:bCs/>
          <w:color w:val="0F3460"/>
          <w:sz w:val="30"/>
          <w:szCs w:val="30"/>
        </w:rPr>
        <w:t xml:space="preserve">7. Frontend Design (React)</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7.1 Component Tree</w:t>
      </w:r>
    </w:p>
    <w:p>
      <w:pPr>
        <w:pStyle w:val="ListParagraph"/>
        <w:numPr>
          <w:ilvl w:val="0"/>
          <w:numId w:val="2"/>
        </w:numPr>
        <w:spacing w:after="40" w:before="40"/>
      </w:pPr>
      <w:r>
        <w:rPr>
          <w:rFonts w:ascii="Arial" w:cs="Arial" w:eastAsia="Arial" w:hAnsi="Arial"/>
          <w:color w:val="333333"/>
          <w:sz w:val="20"/>
          <w:szCs w:val="20"/>
        </w:rPr>
        <w:t xml:space="preserve">App — Root component, manages global scan state and polling.</w:t>
      </w:r>
    </w:p>
    <w:p>
      <w:pPr>
        <w:pStyle w:val="ListParagraph"/>
        <w:numPr>
          <w:ilvl w:val="0"/>
          <w:numId w:val="2"/>
        </w:numPr>
        <w:spacing w:after="40" w:before="40"/>
      </w:pPr>
      <w:r>
        <w:rPr>
          <w:rFonts w:ascii="Arial" w:cs="Arial" w:eastAsia="Arial" w:hAnsi="Arial"/>
          <w:color w:val="333333"/>
          <w:sz w:val="20"/>
          <w:szCs w:val="20"/>
        </w:rPr>
        <w:t xml:space="preserve">ScanTrigger — Input for Google Sheet URL and trigger button. Calls POST /api/scan.</w:t>
      </w:r>
    </w:p>
    <w:p>
      <w:pPr>
        <w:pStyle w:val="ListParagraph"/>
        <w:numPr>
          <w:ilvl w:val="1"/>
          <w:numId w:val="2"/>
        </w:numPr>
        <w:spacing w:after="40" w:before="40"/>
      </w:pPr>
      <w:r>
        <w:rPr>
          <w:rFonts w:ascii="Arial" w:cs="Arial" w:eastAsia="Arial" w:hAnsi="Arial"/>
          <w:color w:val="333333"/>
          <w:sz w:val="20"/>
          <w:szCs w:val="20"/>
        </w:rPr>
        <w:t xml:space="preserve">ScanStatusBar — Polls scan status; shows progress steps and spinner.</w:t>
      </w:r>
    </w:p>
    <w:p>
      <w:pPr>
        <w:pStyle w:val="ListParagraph"/>
        <w:numPr>
          <w:ilvl w:val="0"/>
          <w:numId w:val="2"/>
        </w:numPr>
        <w:spacing w:after="40" w:before="40"/>
      </w:pPr>
      <w:r>
        <w:rPr>
          <w:rFonts w:ascii="Arial" w:cs="Arial" w:eastAsia="Arial" w:hAnsi="Arial"/>
          <w:color w:val="333333"/>
          <w:sz w:val="20"/>
          <w:szCs w:val="20"/>
        </w:rPr>
        <w:t xml:space="preserve">VendorHeatMap — Grid of VendorCard components, colour-coded by risk_band.</w:t>
      </w:r>
    </w:p>
    <w:p>
      <w:pPr>
        <w:pStyle w:val="ListParagraph"/>
        <w:numPr>
          <w:ilvl w:val="1"/>
          <w:numId w:val="2"/>
        </w:numPr>
        <w:spacing w:after="40" w:before="40"/>
      </w:pPr>
      <w:r>
        <w:rPr>
          <w:rFonts w:ascii="Arial" w:cs="Arial" w:eastAsia="Arial" w:hAnsi="Arial"/>
          <w:color w:val="333333"/>
          <w:sz w:val="20"/>
          <w:szCs w:val="20"/>
        </w:rPr>
        <w:t xml:space="preserve">VendorCard — Compact card: vendor name, city, commodity, risk score badge.</w:t>
      </w:r>
    </w:p>
    <w:p>
      <w:pPr>
        <w:pStyle w:val="ListParagraph"/>
        <w:numPr>
          <w:ilvl w:val="1"/>
          <w:numId w:val="2"/>
        </w:numPr>
        <w:spacing w:after="40" w:before="40"/>
      </w:pPr>
      <w:r>
        <w:rPr>
          <w:rFonts w:ascii="Arial" w:cs="Arial" w:eastAsia="Arial" w:hAnsi="Arial"/>
          <w:color w:val="333333"/>
          <w:sz w:val="20"/>
          <w:szCs w:val="20"/>
        </w:rPr>
        <w:t xml:space="preserve">VendorCard (onClick) → VendorDetailModal</w:t>
      </w:r>
    </w:p>
    <w:p>
      <w:pPr>
        <w:pStyle w:val="ListParagraph"/>
        <w:numPr>
          <w:ilvl w:val="0"/>
          <w:numId w:val="2"/>
        </w:numPr>
        <w:spacing w:after="40" w:before="40"/>
      </w:pPr>
      <w:r>
        <w:rPr>
          <w:rFonts w:ascii="Arial" w:cs="Arial" w:eastAsia="Arial" w:hAnsi="Arial"/>
          <w:color w:val="333333"/>
          <w:sz w:val="20"/>
          <w:szCs w:val="20"/>
        </w:rPr>
        <w:t xml:space="preserve">VendorDetailModal — Full risk breakdown with component scores, evidence citations, ProcurementDraft.</w:t>
      </w:r>
    </w:p>
    <w:p>
      <w:pPr>
        <w:pStyle w:val="ListParagraph"/>
        <w:numPr>
          <w:ilvl w:val="0"/>
          <w:numId w:val="2"/>
        </w:numPr>
        <w:spacing w:after="40" w:before="40"/>
      </w:pPr>
      <w:r>
        <w:rPr>
          <w:rFonts w:ascii="Arial" w:cs="Arial" w:eastAsia="Arial" w:hAnsi="Arial"/>
          <w:color w:val="333333"/>
          <w:sz w:val="20"/>
          <w:szCs w:val="20"/>
        </w:rPr>
        <w:t xml:space="preserve">AlertsPanel — List of HIGH-band vendors only, with one-click WhatsApp message copy.</w:t>
      </w:r>
    </w:p>
    <w:p>
      <w:pPr>
        <w:pStyle w:val="ListParagraph"/>
        <w:numPr>
          <w:ilvl w:val="1"/>
          <w:numId w:val="2"/>
        </w:numPr>
        <w:spacing w:after="40" w:before="40"/>
      </w:pPr>
      <w:r>
        <w:rPr>
          <w:rFonts w:ascii="Arial" w:cs="Arial" w:eastAsia="Arial" w:hAnsi="Arial"/>
          <w:color w:val="333333"/>
          <w:sz w:val="20"/>
          <w:szCs w:val="20"/>
        </w:rPr>
        <w:t xml:space="preserve">AlertItem — Risk alert text + Draft PO text + Copy to Clipboard button.</w:t>
      </w:r>
    </w:p>
    <w:p>
      <w:pPr>
        <w:pStyle w:val="ListParagraph"/>
        <w:numPr>
          <w:ilvl w:val="0"/>
          <w:numId w:val="2"/>
        </w:numPr>
        <w:spacing w:after="40" w:before="40"/>
      </w:pPr>
      <w:r>
        <w:rPr>
          <w:rFonts w:ascii="Arial" w:cs="Arial" w:eastAsia="Arial" w:hAnsi="Arial"/>
          <w:color w:val="333333"/>
          <w:sz w:val="20"/>
          <w:szCs w:val="20"/>
        </w:rPr>
        <w:t xml:space="preserve">LastRunBadge — Timestamp of last completed scan and next scheduled run.</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7.2 State Management</w:t>
      </w:r>
    </w:p>
    <w:p>
      <w:pPr>
        <w:spacing w:after="80" w:before="60"/>
      </w:pPr>
      <w:r>
        <w:rPr>
          <w:rFonts w:ascii="Arial" w:cs="Arial" w:eastAsia="Arial" w:hAnsi="Arial"/>
          <w:color w:val="333333"/>
          <w:sz w:val="20"/>
          <w:szCs w:val="20"/>
        </w:rPr>
        <w:t xml:space="preserve">React useState and useEffect hooks (no external state library required for MVP). Key state variables: scanId (string|null), scanStatus (string), vendors (List[RiskAssessment]), alerts (List[ProcurementDraft]).</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7.3 Polling Strategy</w:t>
      </w:r>
    </w:p>
    <w:p>
      <w:pPr>
        <w:spacing w:after="80" w:before="60"/>
      </w:pPr>
      <w:r>
        <w:rPr>
          <w:rFonts w:ascii="Arial" w:cs="Arial" w:eastAsia="Arial" w:hAnsi="Arial"/>
          <w:color w:val="333333"/>
          <w:sz w:val="20"/>
          <w:szCs w:val="20"/>
        </w:rPr>
        <w:t xml:space="preserve">On receiving a scan_id, start a setInterval polling GET /api/scan/{scan_id} every 3 seconds. Clear interval on COMPLETE or FAILED status. Render intermediate progress status in ScanStatusBar. On COMPLETE, fetch /api/vendors and /api/alerts to refresh dashboard.</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7.4 Risk Colour Coding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rPr>
          <w:tblHeader/>
        </w:trPr>
        <w:tc>
          <w:tcPr>
            <w:tcW w:type="dxa" w:w="15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Band</w:t>
            </w:r>
          </w:p>
        </w:tc>
        <w:tc>
          <w:tcPr>
            <w:tcW w:type="dxa" w:w="15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Card Border</w:t>
            </w:r>
          </w:p>
        </w:tc>
        <w:tc>
          <w:tcPr>
            <w:tcW w:type="dxa" w:w="15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Badge Background</w:t>
            </w:r>
          </w:p>
        </w:tc>
        <w:tc>
          <w:tcPr>
            <w:tcW w:type="dxa" w:w="15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Badge Text</w:t>
            </w:r>
          </w:p>
        </w:tc>
      </w:tr>
      <w:tr>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#16A34A (green)</w:t>
            </w:r>
          </w:p>
        </w:tc>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#DCFCE7</w:t>
            </w:r>
          </w:p>
        </w:tc>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#15803D</w:t>
            </w:r>
          </w:p>
        </w:tc>
      </w:tr>
      <w:tr>
        <w:tc>
          <w:tcPr>
            <w:tcW w:type="dxa" w:w="15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15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#D97706 (amber)</w:t>
            </w:r>
          </w:p>
        </w:tc>
        <w:tc>
          <w:tcPr>
            <w:tcW w:type="dxa" w:w="15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#FEF3C7</w:t>
            </w:r>
          </w:p>
        </w:tc>
        <w:tc>
          <w:tcPr>
            <w:tcW w:type="dxa" w:w="15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#92400E</w:t>
            </w:r>
          </w:p>
        </w:tc>
      </w:tr>
      <w:tr>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#DC2626 (red)</w:t>
            </w:r>
          </w:p>
        </w:tc>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#FEE2E2</w:t>
            </w:r>
          </w:p>
        </w:tc>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#991B1B</w:t>
            </w:r>
          </w:p>
        </w:tc>
      </w:tr>
    </w:tbl>
    <w:p>
      <w:r>
        <w:br w:type="page"/>
      </w:r>
    </w:p>
    <w:p>
      <w:pPr>
        <w:pStyle w:val="Heading1"/>
        <w:spacing w:after="120" w:before="320"/>
      </w:pPr>
      <w:r>
        <w:rPr>
          <w:rFonts w:ascii="Arial" w:cs="Arial" w:eastAsia="Arial" w:hAnsi="Arial"/>
          <w:b/>
          <w:bCs/>
          <w:color w:val="0F3460"/>
          <w:sz w:val="30"/>
          <w:szCs w:val="30"/>
        </w:rPr>
        <w:t xml:space="preserve">8. Deployment Architecture</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8.1 Container Structure</w:t>
      </w:r>
    </w:p>
    <w:p>
      <w:pPr>
        <w:spacing w:after="80" w:before="60"/>
      </w:pPr>
      <w:r>
        <w:rPr>
          <w:rFonts w:ascii="Arial" w:cs="Arial" w:eastAsia="Arial" w:hAnsi="Arial"/>
          <w:color w:val="333333"/>
          <w:sz w:val="20"/>
          <w:szCs w:val="20"/>
        </w:rPr>
        <w:t xml:space="preserve">A single Docker container hosts both the FastAPI backend and the compiled React frontend (served as static files via FastAPI's StaticFiles mount). This simplifies Cloud Run deployment to a single service.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69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 image</w:t>
            </w:r>
          </w:p>
        </w:tc>
        <w:tc>
          <w:tcPr>
            <w:tcW w:type="dxa" w:w="6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python:3.11-slim + Node 20 (multi-stage build)</w:t>
            </w:r>
          </w:p>
        </w:tc>
      </w:tr>
      <w:tr>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stage 1</w:t>
            </w:r>
          </w:p>
        </w:tc>
        <w:tc>
          <w:tcPr>
            <w:tcW w:type="dxa" w:w="69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npm ci &amp;&amp; npm run build → /app/frontend/dist</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stage 2</w:t>
            </w:r>
          </w:p>
        </w:tc>
        <w:tc>
          <w:tcPr>
            <w:tcW w:type="dxa" w:w="6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pip install -r requirements.txt; copy /app/frontend/dist to /app/static</w:t>
            </w:r>
          </w:p>
        </w:tc>
      </w:tr>
      <w:tr>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Entrypoint</w:t>
            </w:r>
          </w:p>
        </w:tc>
        <w:tc>
          <w:tcPr>
            <w:tcW w:type="dxa" w:w="69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uvicorn main:app --host 0.0.0.0 --port 8080</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Cloud Run region</w:t>
            </w:r>
          </w:p>
        </w:tc>
        <w:tc>
          <w:tcPr>
            <w:tcW w:type="dxa" w:w="6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asia-south1 (Mumbai) — lowest latency for India</w:t>
            </w:r>
          </w:p>
        </w:tc>
      </w:tr>
      <w:tr>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Min instances</w:t>
            </w:r>
          </w:p>
        </w:tc>
        <w:tc>
          <w:tcPr>
            <w:tcW w:type="dxa" w:w="69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1 (keep warm for demo)</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Max instances</w:t>
            </w:r>
          </w:p>
        </w:tc>
        <w:tc>
          <w:tcPr>
            <w:tcW w:type="dxa" w:w="6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r>
      <w:tr>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Memory</w:t>
            </w:r>
          </w:p>
        </w:tc>
        <w:tc>
          <w:tcPr>
            <w:tcW w:type="dxa" w:w="69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1 GiB (sufficient for ADK + Gemini calls)</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CPU</w:t>
            </w:r>
          </w:p>
        </w:tc>
        <w:tc>
          <w:tcPr>
            <w:tcW w:type="dxa" w:w="6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 vCPU</w:t>
            </w:r>
          </w:p>
        </w:tc>
      </w:tr>
      <w:tr>
        <w:tc>
          <w:tcPr>
            <w:tcW w:type="dxa" w:w="2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Secrets</w:t>
            </w:r>
          </w:p>
        </w:tc>
        <w:tc>
          <w:tcPr>
            <w:tcW w:type="dxa" w:w="69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API keys injected as Cloud Run Secret environment variables</w:t>
            </w:r>
          </w:p>
        </w:tc>
      </w:tr>
    </w:tbl>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8.2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21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0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GOOGLE_SERVICE_ACCOUNT_JSON</w:t>
            </w:r>
          </w:p>
        </w:tc>
        <w:tc>
          <w:tcPr>
            <w:tcW w:type="dxa" w:w="2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W w:type="dxa" w:w="4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Cloud Run Secret Manager</w:t>
            </w:r>
          </w:p>
        </w:tc>
      </w:tr>
      <w:tr>
        <w:tc>
          <w:tcPr>
            <w:tcW w:type="dxa" w:w="3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OPENWEATHERMAP_API_KEY</w:t>
            </w:r>
          </w:p>
        </w:tc>
        <w:tc>
          <w:tcPr>
            <w:tcW w:type="dxa" w:w="2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W w:type="dxa" w:w="40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Cloud Run Secret Manager</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NEWSCATCHER_API_KEY</w:t>
            </w:r>
          </w:p>
        </w:tc>
        <w:tc>
          <w:tcPr>
            <w:tcW w:type="dxa" w:w="2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W w:type="dxa" w:w="4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Cloud Run Secret Manager</w:t>
            </w:r>
          </w:p>
        </w:tc>
      </w:tr>
      <w:tr>
        <w:tc>
          <w:tcPr>
            <w:tcW w:type="dxa" w:w="3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GEMINI_API_KEY</w:t>
            </w:r>
          </w:p>
        </w:tc>
        <w:tc>
          <w:tcPr>
            <w:tcW w:type="dxa" w:w="2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W w:type="dxa" w:w="40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Cloud Run Secret Manager</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RISK_THRESHOLD</w:t>
            </w:r>
          </w:p>
        </w:tc>
        <w:tc>
          <w:tcPr>
            <w:tcW w:type="dxa" w:w="2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4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Default: 65</w:t>
            </w:r>
          </w:p>
        </w:tc>
      </w:tr>
      <w:tr>
        <w:tc>
          <w:tcPr>
            <w:tcW w:type="dxa" w:w="3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SCAN_TIMEOUT_SECONDS</w:t>
            </w:r>
          </w:p>
        </w:tc>
        <w:tc>
          <w:tcPr>
            <w:tcW w:type="dxa" w:w="21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40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Default: 120</w:t>
            </w:r>
          </w:p>
        </w:tc>
      </w:tr>
    </w:tbl>
    <w:p>
      <w:r>
        <w:br w:type="page"/>
      </w:r>
    </w:p>
    <w:p>
      <w:pPr>
        <w:pStyle w:val="Heading1"/>
        <w:spacing w:after="120" w:before="320"/>
      </w:pPr>
      <w:r>
        <w:rPr>
          <w:rFonts w:ascii="Arial" w:cs="Arial" w:eastAsia="Arial" w:hAnsi="Arial"/>
          <w:b/>
          <w:bCs/>
          <w:color w:val="0F3460"/>
          <w:sz w:val="30"/>
          <w:szCs w:val="30"/>
        </w:rPr>
        <w:t xml:space="preserve">9. Security Design</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9.1 Data Privacy</w:t>
      </w:r>
    </w:p>
    <w:p>
      <w:pPr>
        <w:pStyle w:val="ListParagraph"/>
        <w:numPr>
          <w:ilvl w:val="0"/>
          <w:numId w:val="2"/>
        </w:numPr>
        <w:spacing w:after="40" w:before="40"/>
      </w:pPr>
      <w:r>
        <w:rPr>
          <w:rFonts w:ascii="Arial" w:cs="Arial" w:eastAsia="Arial" w:hAnsi="Arial"/>
          <w:color w:val="333333"/>
          <w:sz w:val="20"/>
          <w:szCs w:val="20"/>
        </w:rPr>
        <w:t xml:space="preserve">Vendor data is never persisted on any VendorGuard server. The Ingest Agent reads it from the user's own Google Drive at scan time and holds it in memory only for the duration of the pipeline.</w:t>
      </w:r>
    </w:p>
    <w:p>
      <w:pPr>
        <w:pStyle w:val="ListParagraph"/>
        <w:numPr>
          <w:ilvl w:val="0"/>
          <w:numId w:val="2"/>
        </w:numPr>
        <w:spacing w:after="40" w:before="40"/>
      </w:pPr>
      <w:r>
        <w:rPr>
          <w:rFonts w:ascii="Arial" w:cs="Arial" w:eastAsia="Arial" w:hAnsi="Arial"/>
          <w:color w:val="333333"/>
          <w:sz w:val="20"/>
          <w:szCs w:val="20"/>
        </w:rPr>
        <w:t xml:space="preserve">Scan results (risk scores, drafts) are held in an in-memory Python dict keyed by scan_id. They are cleared on container restart (Cloud Run instance recycle).</w:t>
      </w:r>
    </w:p>
    <w:p>
      <w:pPr>
        <w:pStyle w:val="ListParagraph"/>
        <w:numPr>
          <w:ilvl w:val="0"/>
          <w:numId w:val="2"/>
        </w:numPr>
        <w:spacing w:after="40" w:before="40"/>
      </w:pPr>
      <w:r>
        <w:rPr>
          <w:rFonts w:ascii="Arial" w:cs="Arial" w:eastAsia="Arial" w:hAnsi="Arial"/>
          <w:color w:val="333333"/>
          <w:sz w:val="20"/>
          <w:szCs w:val="20"/>
        </w:rPr>
        <w:t xml:space="preserve">No database is used in the MVP — all state is ephemeral.</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9.2 API Key Security</w:t>
      </w:r>
    </w:p>
    <w:p>
      <w:pPr>
        <w:pStyle w:val="ListParagraph"/>
        <w:numPr>
          <w:ilvl w:val="0"/>
          <w:numId w:val="2"/>
        </w:numPr>
        <w:spacing w:after="40" w:before="40"/>
      </w:pPr>
      <w:r>
        <w:rPr>
          <w:rFonts w:ascii="Arial" w:cs="Arial" w:eastAsia="Arial" w:hAnsi="Arial"/>
          <w:color w:val="333333"/>
          <w:sz w:val="20"/>
          <w:szCs w:val="20"/>
        </w:rPr>
        <w:t xml:space="preserve">All API keys are stored as Google Cloud Secret Manager secrets and mounted as environment variables at Cloud Run runtime.</w:t>
      </w:r>
    </w:p>
    <w:p>
      <w:pPr>
        <w:pStyle w:val="ListParagraph"/>
        <w:numPr>
          <w:ilvl w:val="0"/>
          <w:numId w:val="2"/>
        </w:numPr>
        <w:spacing w:after="40" w:before="40"/>
      </w:pPr>
      <w:r>
        <w:rPr>
          <w:rFonts w:ascii="Arial" w:cs="Arial" w:eastAsia="Arial" w:hAnsi="Arial"/>
          <w:color w:val="333333"/>
          <w:sz w:val="20"/>
          <w:szCs w:val="20"/>
        </w:rPr>
        <w:t xml:space="preserve">Keys are never hard-coded in source files, never logged, and never included in Docker image layers.</w:t>
      </w:r>
    </w:p>
    <w:p>
      <w:pPr>
        <w:pStyle w:val="ListParagraph"/>
        <w:numPr>
          <w:ilvl w:val="0"/>
          <w:numId w:val="2"/>
        </w:numPr>
        <w:spacing w:after="40" w:before="40"/>
      </w:pPr>
      <w:r>
        <w:rPr>
          <w:rFonts w:ascii="Arial" w:cs="Arial" w:eastAsia="Arial" w:hAnsi="Arial"/>
          <w:color w:val="333333"/>
          <w:sz w:val="20"/>
          <w:szCs w:val="20"/>
        </w:rPr>
        <w:t xml:space="preserve">The .dockerignore file excludes .env files and any local key files.</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9.3 External API Call Safety</w:t>
      </w:r>
    </w:p>
    <w:p>
      <w:pPr>
        <w:pStyle w:val="ListParagraph"/>
        <w:numPr>
          <w:ilvl w:val="0"/>
          <w:numId w:val="2"/>
        </w:numPr>
        <w:spacing w:after="40" w:before="40"/>
      </w:pPr>
      <w:r>
        <w:rPr>
          <w:rFonts w:ascii="Arial" w:cs="Arial" w:eastAsia="Arial" w:hAnsi="Arial"/>
          <w:color w:val="333333"/>
          <w:sz w:val="20"/>
          <w:szCs w:val="20"/>
        </w:rPr>
        <w:t xml:space="preserve">All external API calls are read-only. VendorGuard never writes to, posts on behalf of, or modifies any external system.</w:t>
      </w:r>
    </w:p>
    <w:p>
      <w:pPr>
        <w:pStyle w:val="ListParagraph"/>
        <w:numPr>
          <w:ilvl w:val="0"/>
          <w:numId w:val="2"/>
        </w:numPr>
        <w:spacing w:after="40" w:before="40"/>
      </w:pPr>
      <w:r>
        <w:rPr>
          <w:rFonts w:ascii="Arial" w:cs="Arial" w:eastAsia="Arial" w:hAnsi="Arial"/>
          <w:color w:val="333333"/>
          <w:sz w:val="20"/>
          <w:szCs w:val="20"/>
        </w:rPr>
        <w:t xml:space="preserve">PPAC scraper uses a polite User-Agent header and rate-limits to one request per scan.</w:t>
      </w:r>
    </w:p>
    <w:p>
      <w:pPr>
        <w:pStyle w:val="ListParagraph"/>
        <w:numPr>
          <w:ilvl w:val="0"/>
          <w:numId w:val="2"/>
        </w:numPr>
        <w:spacing w:after="40" w:before="40"/>
      </w:pPr>
      <w:r>
        <w:rPr>
          <w:rFonts w:ascii="Arial" w:cs="Arial" w:eastAsia="Arial" w:hAnsi="Arial"/>
          <w:color w:val="333333"/>
          <w:sz w:val="20"/>
          <w:szCs w:val="20"/>
        </w:rPr>
        <w:t xml:space="preserve">pytrends requests include a 1-second sleep between calls to avoid triggering Google's rate limiter.</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9.4 Authentication (MVP vs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MVP</w:t>
            </w:r>
          </w:p>
        </w:tc>
        <w:tc>
          <w:tcPr>
            <w:tcW w:type="dxa" w:w="756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8"/>
                <w:szCs w:val="18"/>
              </w:rPr>
              <w:t xml:space="preserve">No authentication. Demo URL is publicly accessible for hackathon judges. Google Drive pre-authorised with service account.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3E8" w:sz="1"/>
              <w:left w:val="single" w:color="C5D3E8" w:sz="1"/>
              <w:bottom w:val="single" w:color="C5D3E8" w:sz="1"/>
              <w:right w:val="single" w:color="C5D3E8" w:sz="1"/>
            </w:tcBorders>
            <w:shd w:fill="D6E4F7" w:val="clear"/>
            <w:tcMar>
              <w:top w:type="dxa" w:w="80"/>
              <w:left w:type="dxa" w:w="120"/>
              <w:bottom w:type="dxa" w:w="80"/>
              <w:right w:type="dxa" w:w="120"/>
            </w:tcMar>
          </w:tcPr>
          <w:p>
            <w:r>
              <w:rPr>
                <w:rFonts w:ascii="Arial" w:cs="Arial" w:eastAsia="Arial" w:hAnsi="Arial"/>
                <w:b/>
                <w:bCs/>
                <w:color w:val="1A56A0"/>
                <w:sz w:val="18"/>
                <w:szCs w:val="18"/>
              </w:rPr>
              <w:t xml:space="preserve">v1.0</w:t>
            </w:r>
          </w:p>
        </w:tc>
        <w:tc>
          <w:tcPr>
            <w:tcW w:type="dxa" w:w="756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8"/>
                <w:szCs w:val="18"/>
              </w:rPr>
              <w:t xml:space="preserve">Google OAuth 2.0 for user login. Each user's Drive access scoped to their own account. Per-user scan history stored in Cloud Firestore.</w:t>
            </w:r>
          </w:p>
        </w:tc>
      </w:tr>
    </w:tbl>
    <w:p>
      <w:r>
        <w:br w:type="page"/>
      </w:r>
    </w:p>
    <w:p>
      <w:pPr>
        <w:pStyle w:val="Heading1"/>
        <w:spacing w:after="120" w:before="320"/>
      </w:pPr>
      <w:r>
        <w:rPr>
          <w:rFonts w:ascii="Arial" w:cs="Arial" w:eastAsia="Arial" w:hAnsi="Arial"/>
          <w:b/>
          <w:bCs/>
          <w:color w:val="0F3460"/>
          <w:sz w:val="30"/>
          <w:szCs w:val="30"/>
        </w:rPr>
        <w:t xml:space="preserve">10. CLI Mode</w:t>
      </w:r>
    </w:p>
    <w:p>
      <w:pPr>
        <w:spacing w:after="80" w:before="60"/>
      </w:pPr>
      <w:r>
        <w:rPr>
          <w:rFonts w:ascii="Arial" w:cs="Arial" w:eastAsia="Arial" w:hAnsi="Arial"/>
          <w:color w:val="333333"/>
          <w:sz w:val="20"/>
          <w:szCs w:val="20"/>
        </w:rPr>
        <w:t xml:space="preserve">VendorGuard exposes a command-line interface for batch use and CI/CD integration. This satisfies the Kaggle hackathon's Agent CLI requirement.</w:t>
      </w:r>
    </w:p>
    <w:p>
      <w:pPr>
        <w:spacing w:after="0" w:before="60"/>
      </w:pPr>
      <w:r>
        <w:t xml:space="preserve"/>
      </w:r>
    </w:p>
    <w:p>
      <w:pPr>
        <w:shd w:fill="1E1E2E" w:val="clear"/>
        <w:spacing w:after="80" w:before="80"/>
      </w:pPr>
      <w:r>
        <w:rPr>
          <w:rFonts w:ascii="Courier New" w:cs="Courier New" w:eastAsia="Courier New" w:hAnsi="Courier New"/>
          <w:color w:val="6E9EFF"/>
          <w:sz w:val="18"/>
          <w:szCs w:val="18"/>
        </w:rPr>
        <w:t xml:space="preserve"># Trigger a scan and export report</w:t>
      </w:r>
    </w:p>
    <w:p>
      <w:pPr>
        <w:shd w:fill="1E1E2E" w:val="clear"/>
        <w:spacing w:after="80" w:before="0"/>
      </w:pPr>
      <w:r>
        <w:rPr>
          <w:rFonts w:ascii="Courier New" w:cs="Courier New" w:eastAsia="Courier New" w:hAnsi="Courier New"/>
          <w:color w:val="FFFFFF"/>
          <w:sz w:val="18"/>
          <w:szCs w:val="18"/>
        </w:rPr>
        <w:t xml:space="preserve">vendorguard scan --vendor-sheet &lt;SHEET_URL&gt; --output report.pdf</w:t>
      </w:r>
    </w:p>
    <w:p>
      <w:pPr>
        <w:spacing w:after="0" w:before="60"/>
      </w:pPr>
      <w:r>
        <w:t xml:space="preserve"/>
      </w:r>
    </w:p>
    <w:p>
      <w:pPr>
        <w:pStyle w:val="Heading2"/>
        <w:pBdr>
          <w:bottom w:val="single" w:color="1A56A0" w:sz="4" w:space="2"/>
        </w:pBdr>
        <w:spacing w:after="80" w:before="240"/>
      </w:pPr>
      <w:r>
        <w:rPr>
          <w:rFonts w:ascii="Arial" w:cs="Arial" w:eastAsia="Arial" w:hAnsi="Arial"/>
          <w:b/>
          <w:bCs/>
          <w:color w:val="1A56A0"/>
          <w:sz w:val="24"/>
          <w:szCs w:val="24"/>
        </w:rPr>
        <w:t xml:space="preserve">10.1 CLI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Argument</w:t>
            </w:r>
          </w:p>
        </w:tc>
        <w:tc>
          <w:tcPr>
            <w:tcW w:type="dxa" w:w="16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9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--vendor-sheet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Yes</w:t>
            </w:r>
          </w:p>
        </w:tc>
        <w:tc>
          <w:tcPr>
            <w:tcW w:type="dxa" w:w="4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 Sheet URL or local CSV file path</w:t>
            </w:r>
          </w:p>
        </w:tc>
      </w:tr>
      <w:tr>
        <w:tc>
          <w:tcPr>
            <w:tcW w:type="dxa" w:w="2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--output</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49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Output file path (.pdf or .json). Default: stdout JSON</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--threshold</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4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score threshold (default: 65)</w:t>
            </w:r>
          </w:p>
        </w:tc>
      </w:tr>
      <w:tr>
        <w:tc>
          <w:tcPr>
            <w:tcW w:type="dxa" w:w="2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--verbose</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49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Print per-vendor agent reasoning to stdout</w:t>
            </w:r>
          </w:p>
        </w:tc>
      </w:tr>
    </w:tbl>
    <w:p>
      <w:r>
        <w:br w:type="page"/>
      </w:r>
    </w:p>
    <w:p>
      <w:pPr>
        <w:pStyle w:val="Heading1"/>
        <w:spacing w:after="120" w:before="320"/>
      </w:pPr>
      <w:r>
        <w:rPr>
          <w:rFonts w:ascii="Arial" w:cs="Arial" w:eastAsia="Arial" w:hAnsi="Arial"/>
          <w:b/>
          <w:bCs/>
          <w:color w:val="0F3460"/>
          <w:sz w:val="30"/>
          <w:szCs w:val="30"/>
        </w:rPr>
        <w:t xml:space="preserve">11. Technical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14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Likelihood</w:t>
            </w:r>
          </w:p>
        </w:tc>
        <w:tc>
          <w:tcPr>
            <w:tcW w:type="dxa" w:w="16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35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Newscatcher free tier rate-limited mid-demo</w:t>
            </w:r>
          </w:p>
        </w:tc>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Cache responses locally; ADK web search as fallback</w:t>
            </w:r>
          </w:p>
        </w:tc>
      </w:tr>
      <w:tr>
        <w:tc>
          <w:tcPr>
            <w:tcW w:type="dxa" w:w="2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Cloud Run cold start exceeds demo SLA</w:t>
            </w:r>
          </w:p>
        </w:tc>
        <w:tc>
          <w:tcPr>
            <w:tcW w:type="dxa" w:w="1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35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Set min-instances=1; ping endpoint before recording demo</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pytrends blocked by Google anti-scrape</w:t>
            </w:r>
          </w:p>
        </w:tc>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Commodity score defaults to 0; scan continues without it</w:t>
            </w:r>
          </w:p>
        </w:tc>
      </w:tr>
      <w:tr>
        <w:tc>
          <w:tcPr>
            <w:tcW w:type="dxa" w:w="2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ADK breaking API change during build week</w:t>
            </w:r>
          </w:p>
        </w:tc>
        <w:tc>
          <w:tcPr>
            <w:tcW w:type="dxa" w:w="1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35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Pin exact ADK version in requirements.txt on Day 1</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PPAC website structure changes (scrape breaks)</w:t>
            </w:r>
          </w:p>
        </w:tc>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Hardcode last-known diesel price as fallback constant</w:t>
            </w:r>
          </w:p>
        </w:tc>
      </w:tr>
      <w:tr>
        <w:tc>
          <w:tcPr>
            <w:tcW w:type="dxa" w:w="2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Gemini latency too high for 90-second SLA</w:t>
            </w:r>
          </w:p>
        </w:tc>
        <w:tc>
          <w:tcPr>
            <w:tcW w:type="dxa" w:w="1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1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35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Limit procurement drafts to 3 high-risk vendors; draft in parallel</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Synthetic data unconvincing to judges</w:t>
            </w:r>
          </w:p>
        </w:tc>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Use real Pune/Maharashtra place names and realistic commodities (CRCA steel, Al ingot)</w:t>
            </w:r>
          </w:p>
        </w:tc>
      </w:tr>
    </w:tbl>
    <w:p>
      <w:r>
        <w:br w:type="page"/>
      </w:r>
    </w:p>
    <w:p>
      <w:pPr>
        <w:pStyle w:val="Heading1"/>
        <w:spacing w:after="120" w:before="320"/>
      </w:pPr>
      <w:r>
        <w:rPr>
          <w:rFonts w:ascii="Arial" w:cs="Arial" w:eastAsia="Arial" w:hAnsi="Arial"/>
          <w:b/>
          <w:bCs/>
          <w:color w:val="0F3460"/>
          <w:sz w:val="30"/>
          <w:szCs w:val="30"/>
        </w:rPr>
        <w:t xml:space="preserve">12. One-Week Engineering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Day</w:t>
            </w:r>
          </w:p>
        </w:tc>
        <w:tc>
          <w:tcPr>
            <w:tcW w:type="dxa" w:w="22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Focus</w:t>
            </w:r>
          </w:p>
        </w:tc>
        <w:tc>
          <w:tcPr>
            <w:tcW w:type="dxa" w:w="63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Engineering Deliverable</w:t>
            </w:r>
          </w:p>
        </w:tc>
      </w:tr>
      <w:tr>
        <w:tc>
          <w:tcPr>
            <w:tcW w:type="dxa" w:w="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Foundation</w:t>
            </w:r>
          </w:p>
        </w:tc>
        <w:tc>
          <w:tcPr>
            <w:tcW w:type="dxa" w:w="6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ADK project scaffold, Coordinator skeleton, Ingest Agent + Drive MCP connected, synthetic CSV with 15 vendors created, requirements.txt pinned, Dockerfile written</w:t>
            </w:r>
          </w:p>
        </w:tc>
      </w:tr>
      <w:tr>
        <w:tc>
          <w:tcPr>
            <w:tcW w:type="dxa" w:w="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2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Signals</w:t>
            </w:r>
          </w:p>
        </w:tc>
        <w:tc>
          <w:tcPr>
            <w:tcW w:type="dxa" w:w="63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Monitor Agent complete — all 4 data sources returning data, RiskSignal schema finalised, parallel fan-out working locally</w:t>
            </w:r>
          </w:p>
        </w:tc>
      </w:tr>
      <w:tr>
        <w:tc>
          <w:tcPr>
            <w:tcW w:type="dxa" w:w="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Prediction</w:t>
            </w:r>
          </w:p>
        </w:tc>
        <w:tc>
          <w:tcPr>
            <w:tcW w:type="dxa" w:w="6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Prediction Agent with composite scoring, risk band assignment, full pipeline runs end-to-end producing RiskAssessment list</w:t>
            </w:r>
          </w:p>
        </w:tc>
      </w:tr>
      <w:tr>
        <w:tc>
          <w:tcPr>
            <w:tcW w:type="dxa" w:w="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2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Action Output</w:t>
            </w:r>
          </w:p>
        </w:tc>
        <w:tc>
          <w:tcPr>
            <w:tcW w:type="dxa" w:w="63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Procurement Agent with Gemini prompting, ProcurementDraft output, FastAPI endpoints /api/scan and /api/vendors functional</w:t>
            </w:r>
          </w:p>
        </w:tc>
      </w:tr>
      <w:tr>
        <w:tc>
          <w:tcPr>
            <w:tcW w:type="dxa" w:w="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Dashboard</w:t>
            </w:r>
          </w:p>
        </w:tc>
        <w:tc>
          <w:tcPr>
            <w:tcW w:type="dxa" w:w="6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React frontend: VendorHeatMap, AlertsPanel, ScanTrigger, polling, deployed to Cloud Run with public URL</w:t>
            </w:r>
          </w:p>
        </w:tc>
      </w:tr>
      <w:tr>
        <w:tc>
          <w:tcPr>
            <w:tcW w:type="dxa" w:w="8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22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Polish + Video</w:t>
            </w:r>
          </w:p>
        </w:tc>
        <w:tc>
          <w:tcPr>
            <w:tcW w:type="dxa" w:w="63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End-to-end demo recording following script in PRD Section 10, Kaggle writeup drafted, README updated</w:t>
            </w:r>
          </w:p>
        </w:tc>
      </w:tr>
      <w:tr>
        <w:tc>
          <w:tcPr>
            <w:tcW w:type="dxa" w:w="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Buffer</w:t>
            </w:r>
          </w:p>
        </w:tc>
        <w:tc>
          <w:tcPr>
            <w:tcW w:type="dxa" w:w="6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Fix breakages, finalise Kaggle submission writeup, submit by deadline</w:t>
            </w:r>
          </w:p>
        </w:tc>
      </w:tr>
    </w:tbl>
    <w:p>
      <w:pPr>
        <w:spacing w:after="0" w:before="60"/>
      </w:pPr>
      <w:r>
        <w:t xml:space="preserve"/>
      </w:r>
    </w:p>
    <w:p>
      <w:pPr>
        <w:pStyle w:val="Heading1"/>
        <w:spacing w:after="120" w:before="320"/>
      </w:pPr>
      <w:r>
        <w:rPr>
          <w:rFonts w:ascii="Arial" w:cs="Arial" w:eastAsia="Arial" w:hAnsi="Arial"/>
          <w:b/>
          <w:bCs/>
          <w:color w:val="0F3460"/>
          <w:sz w:val="30"/>
          <w:szCs w:val="30"/>
        </w:rPr>
        <w:t xml:space="preserve">13. Technical Acceptance Criteria</w:t>
      </w:r>
    </w:p>
    <w:p>
      <w:pPr>
        <w:spacing w:after="80" w:before="60"/>
      </w:pPr>
      <w:r>
        <w:rPr>
          <w:rFonts w:ascii="Arial" w:cs="Arial" w:eastAsia="Arial" w:hAnsi="Arial"/>
          <w:color w:val="333333"/>
          <w:sz w:val="20"/>
          <w:szCs w:val="20"/>
        </w:rPr>
        <w:t xml:space="preserve">The MVP is considered complete when all of the following pass: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400"/>
        <w:gridCol w:w="3600"/>
      </w:tblGrid>
      <w:tr>
        <w:trPr>
          <w:tblHeader/>
        </w:trPr>
        <w:tc>
          <w:tcPr>
            <w:tcW w:type="dxa" w:w="436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Criterion</w:t>
            </w:r>
          </w:p>
        </w:tc>
        <w:tc>
          <w:tcPr>
            <w:tcW w:type="dxa" w:w="14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3600"/>
            <w:tcBorders>
              <w:top w:val="single" w:color="C5D3E8" w:sz="1"/>
              <w:left w:val="single" w:color="C5D3E8" w:sz="1"/>
              <w:bottom w:val="single" w:color="C5D3E8" w:sz="1"/>
              <w:right w:val="single" w:color="C5D3E8"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Verification</w:t>
            </w:r>
          </w:p>
        </w:tc>
      </w:tr>
      <w:tr>
        <w:tc>
          <w:tcPr>
            <w:tcW w:type="dxa" w:w="4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pipeline completes for 15 vendors without error</w:t>
            </w:r>
          </w:p>
        </w:tc>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w:t>
            </w:r>
          </w:p>
        </w:tc>
        <w:tc>
          <w:tcPr>
            <w:tcW w:type="dxa" w:w="3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Run vendorguard scan with synthetic CSV; check exit code 0</w:t>
            </w:r>
          </w:p>
        </w:tc>
      </w:tr>
      <w:tr>
        <w:tc>
          <w:tcPr>
            <w:tcW w:type="dxa" w:w="43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 from scan trigger to results displayed</w:t>
            </w:r>
          </w:p>
        </w:tc>
        <w:tc>
          <w:tcPr>
            <w:tcW w:type="dxa" w:w="1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&lt; 90 sec</w:t>
            </w:r>
          </w:p>
        </w:tc>
        <w:tc>
          <w:tcPr>
            <w:tcW w:type="dxa" w:w="3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Measure in demo recording</w:t>
            </w:r>
          </w:p>
        </w:tc>
      </w:tr>
      <w:tr>
        <w:tc>
          <w:tcPr>
            <w:tcW w:type="dxa" w:w="4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seeded test risk scenarios detected</w:t>
            </w:r>
          </w:p>
        </w:tc>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w:t>
            </w:r>
          </w:p>
        </w:tc>
        <w:tc>
          <w:tcPr>
            <w:tcW w:type="dxa" w:w="3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Pre-seeded CSV with known-risk vendors; assert HIGH band</w:t>
            </w:r>
          </w:p>
        </w:tc>
      </w:tr>
      <w:tr>
        <w:tc>
          <w:tcPr>
            <w:tcW w:type="dxa" w:w="43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Procurement draft generated per HIGH vendor</w:t>
            </w:r>
          </w:p>
        </w:tc>
        <w:tc>
          <w:tcPr>
            <w:tcW w:type="dxa" w:w="1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1 per vendor</w:t>
            </w:r>
          </w:p>
        </w:tc>
        <w:tc>
          <w:tcPr>
            <w:tcW w:type="dxa" w:w="3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Assert ProcurementDraft in /api/alerts response</w:t>
            </w:r>
          </w:p>
        </w:tc>
      </w:tr>
      <w:tr>
        <w:tc>
          <w:tcPr>
            <w:tcW w:type="dxa" w:w="43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Cloud Run URL publicly accessible</w:t>
            </w:r>
          </w:p>
        </w:tc>
        <w:tc>
          <w:tcPr>
            <w:tcW w:type="dxa" w:w="1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Live</w:t>
            </w:r>
          </w:p>
        </w:tc>
        <w:tc>
          <w:tcPr>
            <w:tcW w:type="dxa" w:w="3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HTTP GET /api/health returns 200 from public URL</w:t>
            </w:r>
          </w:p>
        </w:tc>
      </w:tr>
      <w:tr>
        <w:tc>
          <w:tcPr>
            <w:tcW w:type="dxa" w:w="436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API keys present in git history</w:t>
            </w:r>
          </w:p>
        </w:tc>
        <w:tc>
          <w:tcPr>
            <w:tcW w:type="dxa" w:w="14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Zero</w:t>
            </w:r>
          </w:p>
        </w:tc>
        <w:tc>
          <w:tcPr>
            <w:tcW w:type="dxa" w:w="3600"/>
            <w:tcBorders>
              <w:top w:val="single" w:color="C5D3E8" w:sz="1"/>
              <w:left w:val="single" w:color="C5D3E8" w:sz="1"/>
              <w:bottom w:val="single" w:color="C5D3E8" w:sz="1"/>
              <w:right w:val="single" w:color="C5D3E8"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git log --all grep for key strings; CI secret scan</w:t>
            </w:r>
          </w:p>
        </w:tc>
      </w:tr>
    </w:tbl>
    <w:p>
      <w:pPr>
        <w:spacing w:after="0" w:before="120"/>
      </w:pPr>
      <w:r>
        <w:t xml:space="preserve"/>
      </w:r>
    </w:p>
    <w:p>
      <w:pPr>
        <w:pBdr>
          <w:top w:val="single" w:color="1A56A0" w:sz="6" w:space="4"/>
        </w:pBdr>
        <w:spacing w:after="0" w:before="200"/>
      </w:pPr>
      <w:r>
        <w:rPr>
          <w:rFonts w:ascii="Arial" w:cs="Arial" w:eastAsia="Arial" w:hAnsi="Arial"/>
          <w:i/>
          <w:iCs/>
          <w:color w:val="888888"/>
          <w:sz w:val="16"/>
          <w:szCs w:val="16"/>
        </w:rPr>
        <w:t xml:space="preserve">VendorGuard Technical Design Document  |  v1.0  |  June 2026  |  Kaggle AI Agents Capstone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2"/>
      </w:pBdr>
      <w:spacing w:before="8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2"/>
      </w:pBdr>
      <w:spacing w:after="100"/>
    </w:pPr>
    <w:r>
      <w:rPr>
        <w:rFonts w:ascii="Arial" w:cs="Arial" w:eastAsia="Arial" w:hAnsi="Arial"/>
        <w:b/>
        <w:bCs/>
        <w:color w:val="1A56A0"/>
        <w:sz w:val="18"/>
        <w:szCs w:val="18"/>
      </w:rPr>
      <w:t xml:space="preserve">VendorGuard — Technical Design Document</w:t>
    </w:r>
    <w:r>
      <w:rPr>
        <w:rFonts w:ascii="Arial" w:cs="Arial" w:eastAsia="Arial" w:hAnsi="Arial"/>
        <w:color w:val="888888"/>
        <w:sz w:val="16"/>
        <w:szCs w:val="16"/>
      </w:rPr>
      <w:t xml:space="preserve">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F3460"/>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56A0"/>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2026-06-20T05:53:03.281Z</dcterms:created>
  <dcterms:modified xsi:type="dcterms:W3CDTF">2026-06-20T05:53:03.282Z</dcterms:modified>
</cp:coreProperties>
</file>

<file path=docProps/custom.xml><?xml version="1.0" encoding="utf-8"?>
<Properties xmlns="http://schemas.openxmlformats.org/officeDocument/2006/custom-properties" xmlns:vt="http://schemas.openxmlformats.org/officeDocument/2006/docPropsVTypes"/>
</file>