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pPr>
      <w:r>
        <w:rPr>
          <w:rFonts w:ascii="Segoe UI" w:hAnsi="Segoe UI"/>
          <w:b/>
          <w:color w:val="0E5D6E"/>
          <w:sz w:val="42"/>
        </w:rPr>
        <w:t>Project Assessment and Roadmap</w:t>
      </w:r>
    </w:p>
    <w:p>
      <w:pPr>
        <w:spacing w:after="180" w:line="300" w:lineRule="auto"/>
      </w:pPr>
      <w:r>
        <w:rPr>
          <w:rFonts w:ascii="Georgia" w:hAnsi="Georgia"/>
          <w:b/>
          <w:color w:val="131B1E"/>
          <w:sz w:val="21"/>
        </w:rPr>
        <w:t>An honest appraisal of this codebase against production time-series practice, and what to build next.</w:t>
      </w:r>
    </w:p>
    <w:p>
      <w:pPr>
        <w:spacing w:after="180" w:line="300" w:lineRule="auto"/>
      </w:pPr>
      <w:r>
        <w:rPr>
          <w:rFonts w:ascii="Georgia" w:hAnsi="Georgia"/>
          <w:color w:val="131B1E"/>
          <w:sz w:val="21"/>
        </w:rPr>
        <w:t xml:space="preserve">Companion to </w:t>
      </w:r>
      <w:r>
        <w:rPr>
          <w:rFonts w:ascii="Consolas" w:hAnsi="Consolas"/>
          <w:color w:val="0E5D6E"/>
          <w:sz w:val="19"/>
        </w:rPr>
        <w:t>DESIGN.md</w:t>
      </w:r>
      <w:r>
        <w:rPr>
          <w:rFonts w:ascii="Georgia" w:hAnsi="Georgia"/>
          <w:color w:val="131B1E"/>
          <w:sz w:val="21"/>
        </w:rPr>
        <w:t xml:space="preserve"> (what the system is) and </w:t>
      </w:r>
      <w:r>
        <w:rPr>
          <w:rFonts w:ascii="Consolas" w:hAnsi="Consolas"/>
          <w:color w:val="0E5D6E"/>
          <w:sz w:val="19"/>
        </w:rPr>
        <w:t>INTERNALS.md</w:t>
      </w:r>
      <w:r>
        <w:rPr>
          <w:rFonts w:ascii="Georgia" w:hAnsi="Georgia"/>
          <w:color w:val="131B1E"/>
          <w:sz w:val="21"/>
        </w:rPr>
        <w:t xml:space="preserve"> (how it works). This document is the opinion layer: where the project stands, where it falls short of industry practice, and how to prioritise the remaining work.</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1. The headline judgement</w:t>
      </w:r>
    </w:p>
    <w:p>
      <w:pPr>
        <w:spacing w:after="180" w:line="300" w:lineRule="auto"/>
      </w:pPr>
      <w:r>
        <w:rPr>
          <w:rFonts w:ascii="Georgia" w:hAnsi="Georgia"/>
          <w:b/>
          <w:color w:val="131B1E"/>
          <w:sz w:val="21"/>
        </w:rPr>
        <w:t>This is well above the median portfolio project, and materially below a production system.</w:t>
      </w:r>
      <w:r>
        <w:rPr>
          <w:rFonts w:ascii="Georgia" w:hAnsi="Georgia"/>
          <w:color w:val="131B1E"/>
          <w:sz w:val="21"/>
        </w:rPr>
        <w:t xml:space="preserve"> Both halves of that sentence matter.</w:t>
      </w:r>
    </w:p>
    <w:p>
      <w:pPr>
        <w:spacing w:after="180" w:line="300" w:lineRule="auto"/>
      </w:pPr>
      <w:r>
        <w:rPr>
          <w:rFonts w:ascii="Georgia" w:hAnsi="Georgia"/>
          <w:color w:val="131B1E"/>
          <w:sz w:val="21"/>
        </w:rPr>
        <w:t xml:space="preserve">The modelling instincts on display are better than the engineering completeness. The single biggest risk to how this project is received is that it reads as </w:t>
      </w:r>
      <w:r>
        <w:rPr>
          <w:rFonts w:ascii="Georgia" w:hAnsi="Georgia"/>
          <w:i/>
          <w:color w:val="131B1E"/>
          <w:sz w:val="21"/>
        </w:rPr>
        <w:t>config-heavy scaffolding around a small, stale dataset</w:t>
      </w:r>
      <w:r>
        <w:rPr>
          <w:rFonts w:ascii="Georgia" w:hAnsi="Georgia"/>
          <w:color w:val="131B1E"/>
          <w:sz w:val="21"/>
        </w:rPr>
        <w:t>. Two moves neutralise that risk, and they matter more than everything else on the roadmap combined:</w:t>
      </w:r>
    </w:p>
    <w:p>
      <w:pPr>
        <w:pStyle w:val="ListNumber"/>
        <w:spacing w:after="100" w:line="288" w:lineRule="auto"/>
      </w:pPr>
      <w:r>
        <w:rPr>
          <w:rFonts w:ascii="Georgia" w:hAnsi="Georgia"/>
          <w:color w:val="131B1E"/>
          <w:sz w:val="21"/>
        </w:rPr>
        <w:t>Finish the service layer, so it is a system rather than a pipeline.</w:t>
      </w:r>
    </w:p>
    <w:p>
      <w:pPr>
        <w:pStyle w:val="ListNumber"/>
        <w:spacing w:after="100" w:line="288" w:lineRule="auto"/>
      </w:pPr>
      <w:r>
        <w:rPr>
          <w:rFonts w:ascii="Georgia" w:hAnsi="Georgia"/>
          <w:color w:val="131B1E"/>
          <w:sz w:val="21"/>
        </w:rPr>
        <w:t>Add probabilistic output and crisis-regime data, so it has quantitative depth a specialist will respect.</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2. What is genuinely strong</w:t>
      </w:r>
    </w:p>
    <w:p>
      <w:pPr>
        <w:keepNext/>
        <w:spacing w:before="400" w:after="120"/>
      </w:pPr>
      <w:r>
        <w:rPr>
          <w:rFonts w:ascii="Segoe UI" w:hAnsi="Segoe UI"/>
          <w:b/>
          <w:color w:val="131B1E"/>
          <w:sz w:val="25"/>
        </w:rPr>
        <w:t>The exogenous cascade is the real asset</w:t>
      </w:r>
    </w:p>
    <w:p>
      <w:pPr>
        <w:spacing w:after="180" w:line="300" w:lineRule="auto"/>
      </w:pPr>
      <w:r>
        <w:rPr>
          <w:rFonts w:ascii="Georgia" w:hAnsi="Georgia"/>
          <w:color w:val="131B1E"/>
          <w:sz w:val="21"/>
        </w:rPr>
        <w:t xml:space="preserve">The overwhelming majority of time-series portfolio projects follow one shape: load a CSV, build lag features, fit XGBoost, report RMSE. They never encounter the problem that defines applied forecasting — </w:t>
      </w:r>
      <w:r>
        <w:rPr>
          <w:rFonts w:ascii="Georgia" w:hAnsi="Georgia"/>
          <w:b/>
          <w:color w:val="131B1E"/>
          <w:sz w:val="21"/>
        </w:rPr>
        <w:t>at forecast time you do not have your features.</w:t>
      </w:r>
    </w:p>
    <w:p>
      <w:pPr>
        <w:spacing w:after="180" w:line="300" w:lineRule="auto"/>
      </w:pPr>
      <w:r>
        <w:rPr>
          <w:rFonts w:ascii="Georgia" w:hAnsi="Georgia"/>
          <w:color w:val="131B1E"/>
          <w:sz w:val="21"/>
        </w:rPr>
        <w:t>This project confronts it directly. Twenty of twenty-two features are unavailable on the forecast date, so a four-stage simulation chain manufactures them, and every backtest fold refits that chain so the test inputs stay blind. That is what an energy analytics team actually does, and most candidates have never had to think about it.</w:t>
      </w:r>
    </w:p>
    <w:p>
      <w:pPr>
        <w:keepNext/>
        <w:spacing w:before="400" w:after="120"/>
      </w:pPr>
      <w:r>
        <w:rPr>
          <w:rFonts w:ascii="Segoe UI" w:hAnsi="Segoe UI"/>
          <w:b/>
          <w:color w:val="131B1E"/>
          <w:sz w:val="25"/>
        </w:rPr>
        <w:t>The domain vocabulary is authentic</w:t>
      </w:r>
    </w:p>
    <w:p>
      <w:pPr>
        <w:spacing w:after="180" w:line="300" w:lineRule="auto"/>
      </w:pPr>
      <w:r>
        <w:rPr>
          <w:rFonts w:ascii="Consolas" w:hAnsi="Consolas"/>
          <w:color w:val="0E5D6E"/>
          <w:sz w:val="19"/>
        </w:rPr>
        <w:t>T_lisse</w:t>
      </w:r>
      <w:r>
        <w:rPr>
          <w:rFonts w:ascii="Georgia" w:hAnsi="Georgia"/>
          <w:color w:val="131B1E"/>
          <w:sz w:val="21"/>
        </w:rPr>
        <w:t xml:space="preserve"> is the term French utilities (RTE, EDF) use for smoothed temperature. Heating and cooling degree days at 15 and 22 °C. Exponentially-weighted thermal inertia for building thermal mass. Weighted national temperature with population-like regional weights. Residual demand as the merit-order driver. Bastille Day bridge days and the August industrial trough.</w:t>
      </w:r>
    </w:p>
    <w:p>
      <w:pPr>
        <w:spacing w:after="180" w:line="300" w:lineRule="auto"/>
      </w:pPr>
      <w:r>
        <w:rPr>
          <w:rFonts w:ascii="Georgia" w:hAnsi="Georgia"/>
          <w:color w:val="131B1E"/>
          <w:sz w:val="21"/>
        </w:rPr>
        <w:t>Anyone who has worked in European power recognises this immediately as domain-informed rather than generic. That signal is difficult to fake and rare in portfolios.</w:t>
      </w:r>
    </w:p>
    <w:p>
      <w:pPr>
        <w:keepNext/>
        <w:spacing w:before="400" w:after="120"/>
      </w:pPr>
      <w:r>
        <w:rPr>
          <w:rFonts w:ascii="Segoe UI" w:hAnsi="Segoe UI"/>
          <w:b/>
          <w:color w:val="131B1E"/>
          <w:sz w:val="25"/>
        </w:rPr>
        <w:t>Validation is done correctly</w:t>
      </w:r>
    </w:p>
    <w:p>
      <w:pPr>
        <w:spacing w:after="180" w:line="300" w:lineRule="auto"/>
      </w:pPr>
      <w:r>
        <w:rPr>
          <w:rFonts w:ascii="Georgia" w:hAnsi="Georgia"/>
          <w:color w:val="131B1E"/>
          <w:sz w:val="21"/>
        </w:rPr>
        <w:t xml:space="preserve">Rolling-origin cross-validation with 12 folds, per-regime error stratification, and — critically — a retained naive baseline whose two winning folds are reported rather than buried. Most projects have no baseline at all, so they cannot say whether the model is worth anything. Using </w:t>
      </w:r>
      <w:r>
        <w:rPr>
          <w:rFonts w:ascii="Consolas" w:hAnsi="Consolas"/>
          <w:color w:val="0E5D6E"/>
          <w:sz w:val="19"/>
        </w:rPr>
        <w:t>train_test_split</w:t>
      </w:r>
      <w:r>
        <w:rPr>
          <w:rFonts w:ascii="Georgia" w:hAnsi="Georgia"/>
          <w:color w:val="131B1E"/>
          <w:sz w:val="21"/>
        </w:rPr>
        <w:t xml:space="preserve"> on a time series remains one of the most common errors in the genre, and this project avoids it.</w:t>
      </w:r>
    </w:p>
    <w:p>
      <w:pPr>
        <w:keepNext/>
        <w:spacing w:before="400" w:after="120"/>
      </w:pPr>
      <w:r>
        <w:rPr>
          <w:rFonts w:ascii="Segoe UI" w:hAnsi="Segoe UI"/>
          <w:b/>
          <w:color w:val="131B1E"/>
          <w:sz w:val="25"/>
        </w:rPr>
        <w:t xml:space="preserve">The </w:t>
      </w:r>
      <w:r>
        <w:rPr>
          <w:rFonts w:ascii="Segoe UI" w:hAnsi="Segoe UI"/>
          <w:b/>
          <w:color w:val="0E5D6E"/>
          <w:sz w:val="23"/>
        </w:rPr>
        <w:t>year</w:t>
      </w:r>
      <w:r>
        <w:rPr>
          <w:rFonts w:ascii="Segoe UI" w:hAnsi="Segoe UI"/>
          <w:b/>
          <w:color w:val="131B1E"/>
          <w:sz w:val="25"/>
        </w:rPr>
        <w:t xml:space="preserve"> finding is the most valuable thing here</w:t>
      </w:r>
    </w:p>
    <w:p>
      <w:pPr>
        <w:spacing w:after="180" w:line="300" w:lineRule="auto"/>
      </w:pPr>
      <w:r>
        <w:rPr>
          <w:rFonts w:ascii="Georgia" w:hAnsi="Georgia"/>
          <w:color w:val="131B1E"/>
          <w:sz w:val="21"/>
        </w:rPr>
        <w:t xml:space="preserve">SHAP attribution caught the model leaning on a structural artefact. The finding was quantified by ablation (9.08 to 13.85 MAE without it), correctly diagnosed as a generalisation failure rather than leakage, and </w:t>
      </w:r>
      <w:r>
        <w:rPr>
          <w:rFonts w:ascii="Georgia" w:hAnsi="Georgia"/>
          <w:i/>
          <w:color w:val="131B1E"/>
          <w:sz w:val="21"/>
        </w:rPr>
        <w:t>not</w:t>
      </w:r>
      <w:r>
        <w:rPr>
          <w:rFonts w:ascii="Georgia" w:hAnsi="Georgia"/>
          <w:color w:val="131B1E"/>
          <w:sz w:val="21"/>
        </w:rPr>
        <w:t xml:space="preserve"> silently patched.</w:t>
      </w:r>
    </w:p>
    <w:p>
      <w:pPr>
        <w:spacing w:after="180" w:line="300" w:lineRule="auto"/>
      </w:pPr>
      <w:r>
        <w:rPr>
          <w:rFonts w:ascii="Georgia" w:hAnsi="Georgia"/>
          <w:color w:val="131B1E"/>
          <w:sz w:val="21"/>
        </w:rPr>
        <w:t>That sequence — instrument, detect, quantify, diagnose, disclose — is what separates a modeller from someone who runs scikit-learn. It is the strongest interview material in the project.</w:t>
      </w:r>
    </w:p>
    <w:p>
      <w:pPr>
        <w:keepNext/>
        <w:spacing w:before="400" w:after="120"/>
      </w:pPr>
      <w:r>
        <w:rPr>
          <w:rFonts w:ascii="Segoe UI" w:hAnsi="Segoe UI"/>
          <w:b/>
          <w:color w:val="131B1E"/>
          <w:sz w:val="25"/>
        </w:rPr>
        <w:t>The arcsinh target transform</w:t>
      </w:r>
    </w:p>
    <w:p>
      <w:pPr>
        <w:spacing w:after="180" w:line="300" w:lineRule="auto"/>
      </w:pPr>
      <w:r>
        <w:rPr>
          <w:rFonts w:ascii="Georgia" w:hAnsi="Georgia"/>
          <w:color w:val="131B1E"/>
          <w:sz w:val="21"/>
        </w:rPr>
        <w:t>Correct and non-obvious. Prices range from -10 to +126 EUR/MWh; a log transform is undefined on the negative values, so most people clip or drop them, which destroys exactly the observations that matter. MAD-scaled arcsinh handles the full range and is fitted inside each fold, so no statistic leaks across the boundary.</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3. Where it falls short of production practice</w:t>
      </w:r>
    </w:p>
    <w:p>
      <w:pPr>
        <w:spacing w:after="180" w:line="300" w:lineRule="auto"/>
      </w:pPr>
      <w:r>
        <w:rPr>
          <w:rFonts w:ascii="Georgia" w:hAnsi="Georgia"/>
          <w:color w:val="131B1E"/>
          <w:sz w:val="21"/>
        </w:rPr>
        <w:t>These are what an interviewer at a trading desk or TSO would probe.</w:t>
      </w:r>
    </w:p>
    <w:p>
      <w:pPr>
        <w:keepNext/>
        <w:spacing w:before="400" w:after="120"/>
      </w:pPr>
      <w:r>
        <w:rPr>
          <w:rFonts w:ascii="Segoe UI" w:hAnsi="Segoe UI"/>
          <w:b/>
          <w:color w:val="131B1E"/>
          <w:sz w:val="25"/>
        </w:rPr>
        <w:t>3.1 No price history — the biggest technical gap</w:t>
      </w:r>
    </w:p>
    <w:p>
      <w:pPr>
        <w:spacing w:after="180" w:line="300" w:lineRule="auto"/>
      </w:pPr>
      <w:r>
        <w:rPr>
          <w:rFonts w:ascii="Georgia" w:hAnsi="Georgia"/>
          <w:color w:val="131B1E"/>
          <w:sz w:val="21"/>
        </w:rPr>
        <w:t>In electricity price forecasting, the autoregressive term is the strongest single predictor. The canonical benchmark models in the field — LEAR, Lasso Estimated AutoRegressive, per Lago, De Ridder and De Schutter (2021) — are built almost entirely on lagged prices at t-1, t-2 and t-7.</w:t>
      </w:r>
    </w:p>
    <w:p>
      <w:pPr>
        <w:spacing w:after="180" w:line="300" w:lineRule="auto"/>
      </w:pPr>
      <w:r>
        <w:rPr>
          <w:rFonts w:ascii="Georgia" w:hAnsi="Georgia"/>
          <w:b/>
          <w:color w:val="131B1E"/>
          <w:sz w:val="21"/>
        </w:rPr>
        <w:t>This model has none.</w:t>
      </w:r>
      <w:r>
        <w:rPr>
          <w:rFonts w:ascii="Georgia" w:hAnsi="Georgia"/>
          <w:color w:val="131B1E"/>
          <w:sz w:val="21"/>
        </w:rPr>
        <w:t xml:space="preserve"> Verified: zero price-history features across all 22 inputs.</w:t>
      </w:r>
    </w:p>
    <w:p>
      <w:pPr>
        <w:spacing w:after="180" w:line="300" w:lineRule="auto"/>
      </w:pPr>
      <w:r>
        <w:rPr>
          <w:rFonts w:ascii="Georgia" w:hAnsi="Georgia"/>
          <w:color w:val="131B1E"/>
          <w:sz w:val="21"/>
        </w:rPr>
        <w:t xml:space="preserve">This is </w:t>
      </w:r>
      <w:r>
        <w:rPr>
          <w:rFonts w:ascii="Georgia" w:hAnsi="Georgia"/>
          <w:i/>
          <w:color w:val="131B1E"/>
          <w:sz w:val="21"/>
        </w:rPr>
        <w:t>defensible</w:t>
      </w:r>
      <w:r>
        <w:rPr>
          <w:rFonts w:ascii="Georgia" w:hAnsi="Georgia"/>
          <w:color w:val="131B1E"/>
          <w:sz w:val="21"/>
        </w:rPr>
        <w:t xml:space="preserve"> at a 31-day horizon, since yesterday's price is genuinely unavailable when forecasting 30 days out. It is not defensible unstated. And it is the direct cause of the </w:t>
      </w:r>
      <w:r>
        <w:rPr>
          <w:rFonts w:ascii="Consolas" w:hAnsi="Consolas"/>
          <w:color w:val="0E5D6E"/>
          <w:sz w:val="19"/>
        </w:rPr>
        <w:t>year</w:t>
      </w:r>
      <w:r>
        <w:rPr>
          <w:rFonts w:ascii="Georgia" w:hAnsi="Georgia"/>
          <w:color w:val="131B1E"/>
          <w:sz w:val="21"/>
        </w:rPr>
        <w:t xml:space="preserve"> problem: </w:t>
      </w:r>
      <w:r>
        <w:rPr>
          <w:rFonts w:ascii="Consolas" w:hAnsi="Consolas"/>
          <w:color w:val="0E5D6E"/>
          <w:sz w:val="19"/>
        </w:rPr>
        <w:t>year</w:t>
      </w:r>
      <w:r>
        <w:rPr>
          <w:rFonts w:ascii="Georgia" w:hAnsi="Georgia"/>
          <w:color w:val="131B1E"/>
          <w:sz w:val="21"/>
        </w:rPr>
        <w:t xml:space="preserve"> is the only level information the model has access to.</w:t>
      </w:r>
    </w:p>
    <w:p>
      <w:pPr>
        <w:keepNext/>
        <w:spacing w:before="400" w:after="120"/>
      </w:pPr>
      <w:r>
        <w:rPr>
          <w:rFonts w:ascii="Segoe UI" w:hAnsi="Segoe UI"/>
          <w:b/>
          <w:color w:val="131B1E"/>
          <w:sz w:val="25"/>
        </w:rPr>
        <w:t>3.2 A horizon framing problem</w:t>
      </w:r>
    </w:p>
    <w:p>
      <w:pPr>
        <w:spacing w:after="180" w:line="300" w:lineRule="auto"/>
      </w:pPr>
      <w:r>
        <w:rPr>
          <w:rFonts w:ascii="Georgia" w:hAnsi="Georgia"/>
          <w:color w:val="131B1E"/>
          <w:sz w:val="21"/>
        </w:rPr>
        <w:t xml:space="preserve">The </w:t>
      </w:r>
      <w:r>
        <w:rPr>
          <w:rFonts w:ascii="Georgia" w:hAnsi="Georgia"/>
          <w:i/>
          <w:color w:val="131B1E"/>
          <w:sz w:val="21"/>
        </w:rPr>
        <w:t>target</w:t>
      </w:r>
      <w:r>
        <w:rPr>
          <w:rFonts w:ascii="Georgia" w:hAnsi="Georgia"/>
          <w:color w:val="131B1E"/>
          <w:sz w:val="21"/>
        </w:rPr>
        <w:t xml:space="preserve"> is the day-ahead market's clearing price, which is the correct product name. The </w:t>
      </w:r>
      <w:r>
        <w:rPr>
          <w:rFonts w:ascii="Georgia" w:hAnsi="Georgia"/>
          <w:i/>
          <w:color w:val="131B1E"/>
          <w:sz w:val="21"/>
        </w:rPr>
        <w:t>forecast horizon</w:t>
      </w:r>
      <w:r>
        <w:rPr>
          <w:rFonts w:ascii="Georgia" w:hAnsi="Georgia"/>
          <w:color w:val="131B1E"/>
          <w:sz w:val="21"/>
        </w:rPr>
        <w:t xml:space="preserve"> is 1 to 31 days. Those are different claims, and the project currently conflates them.</w:t>
      </w:r>
    </w:p>
    <w:tbl>
      <w:tblPr>
        <w:tblStyle w:val="TableGrid"/>
        <w:tblW w:type="auto" w:w="0"/>
        <w:jc w:val="left"/>
        <w:tblLayout w:type="autofit"/>
        <w:tblLook w:firstColumn="1" w:firstRow="1" w:lastColumn="0" w:lastRow="0" w:noHBand="0" w:noVBand="1" w:val="04A0"/>
      </w:tblPr>
      <w:tblGrid>
        <w:gridCol w:w="3120"/>
        <w:gridCol w:w="3120"/>
        <w:gridCol w:w="3120"/>
      </w:tblGrid>
      <w:tr>
        <w:tc>
          <w:tcPr>
            <w:tcW w:type="dxa" w:w="3120"/>
            <w:shd w:val="clear" w:color="auto" w:fill="E7ECEC"/>
          </w:tcPr>
          <w:p>
            <w:pPr>
              <w:spacing w:after="40"/>
            </w:pPr>
          </w:p>
        </w:tc>
        <w:tc>
          <w:tcPr>
            <w:tcW w:type="dxa" w:w="3120"/>
            <w:shd w:val="clear" w:color="auto" w:fill="E7ECEC"/>
          </w:tcPr>
          <w:p>
            <w:pPr>
              <w:spacing w:after="40"/>
            </w:pPr>
            <w:r>
              <w:rPr>
                <w:rFonts w:ascii="Segoe UI" w:hAnsi="Segoe UI"/>
                <w:b/>
                <w:color w:val="566A6E"/>
                <w:sz w:val="17"/>
              </w:rPr>
              <w:t>Day-ahead (h=1)</w:t>
            </w:r>
          </w:p>
        </w:tc>
        <w:tc>
          <w:tcPr>
            <w:tcW w:type="dxa" w:w="3120"/>
            <w:shd w:val="clear" w:color="auto" w:fill="E7ECEC"/>
          </w:tcPr>
          <w:p>
            <w:pPr>
              <w:spacing w:after="40"/>
            </w:pPr>
            <w:r>
              <w:rPr>
                <w:rFonts w:ascii="Segoe UI" w:hAnsi="Segoe UI"/>
                <w:b/>
                <w:color w:val="566A6E"/>
                <w:sz w:val="17"/>
              </w:rPr>
              <w:t>Month-ahead (h=1..31)</w:t>
            </w:r>
          </w:p>
        </w:tc>
      </w:tr>
      <w:tr>
        <w:tc>
          <w:tcPr>
            <w:tcW w:type="dxa" w:w="3120"/>
          </w:tcPr>
          <w:p>
            <w:pPr>
              <w:spacing w:after="40" w:line="264" w:lineRule="auto"/>
            </w:pPr>
            <w:r>
              <w:rPr>
                <w:rFonts w:ascii="Georgia" w:hAnsi="Georgia"/>
                <w:color w:val="131B1E"/>
                <w:sz w:val="18"/>
              </w:rPr>
              <w:t>Price lags available</w:t>
            </w:r>
          </w:p>
        </w:tc>
        <w:tc>
          <w:tcPr>
            <w:tcW w:type="dxa" w:w="3120"/>
          </w:tcPr>
          <w:p>
            <w:pPr>
              <w:spacing w:after="40" w:line="264" w:lineRule="auto"/>
            </w:pPr>
            <w:r>
              <w:rPr>
                <w:rFonts w:ascii="Georgia" w:hAnsi="Georgia"/>
                <w:color w:val="131B1E"/>
                <w:sz w:val="18"/>
              </w:rPr>
              <w:t>Yes — dominant predictor</w:t>
            </w:r>
          </w:p>
        </w:tc>
        <w:tc>
          <w:tcPr>
            <w:tcW w:type="dxa" w:w="3120"/>
          </w:tcPr>
          <w:p>
            <w:pPr>
              <w:spacing w:after="40" w:line="264" w:lineRule="auto"/>
            </w:pPr>
            <w:r>
              <w:rPr>
                <w:rFonts w:ascii="Georgia" w:hAnsi="Georgia"/>
                <w:color w:val="131B1E"/>
                <w:sz w:val="18"/>
              </w:rPr>
              <w:t>No</w:t>
            </w:r>
          </w:p>
        </w:tc>
      </w:tr>
      <w:tr>
        <w:tc>
          <w:tcPr>
            <w:tcW w:type="dxa" w:w="3120"/>
          </w:tcPr>
          <w:p>
            <w:pPr>
              <w:spacing w:after="40" w:line="264" w:lineRule="auto"/>
            </w:pPr>
            <w:r>
              <w:rPr>
                <w:rFonts w:ascii="Georgia" w:hAnsi="Georgia"/>
                <w:color w:val="131B1E"/>
                <w:sz w:val="18"/>
              </w:rPr>
              <w:t>Weather</w:t>
            </w:r>
          </w:p>
        </w:tc>
        <w:tc>
          <w:tcPr>
            <w:tcW w:type="dxa" w:w="3120"/>
          </w:tcPr>
          <w:p>
            <w:pPr>
              <w:spacing w:after="40" w:line="264" w:lineRule="auto"/>
            </w:pPr>
            <w:r>
              <w:rPr>
                <w:rFonts w:ascii="Georgia" w:hAnsi="Georgia"/>
                <w:color w:val="131B1E"/>
                <w:sz w:val="18"/>
              </w:rPr>
              <w:t>Real NWP forecast (ECMWF/GFS)</w:t>
            </w:r>
          </w:p>
        </w:tc>
        <w:tc>
          <w:tcPr>
            <w:tcW w:type="dxa" w:w="3120"/>
          </w:tcPr>
          <w:p>
            <w:pPr>
              <w:spacing w:after="40" w:line="264" w:lineRule="auto"/>
            </w:pPr>
            <w:r>
              <w:rPr>
                <w:rFonts w:ascii="Georgia" w:hAnsi="Georgia"/>
                <w:color w:val="131B1E"/>
                <w:sz w:val="18"/>
              </w:rPr>
              <w:t>Must be simulated</w:t>
            </w:r>
          </w:p>
        </w:tc>
      </w:tr>
      <w:tr>
        <w:tc>
          <w:tcPr>
            <w:tcW w:type="dxa" w:w="3120"/>
          </w:tcPr>
          <w:p>
            <w:pPr>
              <w:spacing w:after="40" w:line="264" w:lineRule="auto"/>
            </w:pPr>
            <w:r>
              <w:rPr>
                <w:rFonts w:ascii="Georgia" w:hAnsi="Georgia"/>
                <w:color w:val="131B1E"/>
                <w:sz w:val="18"/>
              </w:rPr>
              <w:t>Use case</w:t>
            </w:r>
          </w:p>
        </w:tc>
        <w:tc>
          <w:tcPr>
            <w:tcW w:type="dxa" w:w="3120"/>
          </w:tcPr>
          <w:p>
            <w:pPr>
              <w:spacing w:after="40" w:line="264" w:lineRule="auto"/>
            </w:pPr>
            <w:r>
              <w:rPr>
                <w:rFonts w:ascii="Georgia" w:hAnsi="Georgia"/>
                <w:color w:val="131B1E"/>
                <w:sz w:val="18"/>
              </w:rPr>
              <w:t>Trading</w:t>
            </w:r>
          </w:p>
        </w:tc>
        <w:tc>
          <w:tcPr>
            <w:tcW w:type="dxa" w:w="3120"/>
          </w:tcPr>
          <w:p>
            <w:pPr>
              <w:spacing w:after="40" w:line="264" w:lineRule="auto"/>
            </w:pPr>
            <w:r>
              <w:rPr>
                <w:rFonts w:ascii="Georgia" w:hAnsi="Georgia"/>
                <w:color w:val="131B1E"/>
                <w:sz w:val="18"/>
              </w:rPr>
              <w:t>Hedging, valuation, capacity planning</w:t>
            </w:r>
          </w:p>
        </w:tc>
      </w:tr>
      <w:tr>
        <w:tc>
          <w:tcPr>
            <w:tcW w:type="dxa" w:w="3120"/>
          </w:tcPr>
          <w:p>
            <w:pPr>
              <w:spacing w:after="40" w:line="264" w:lineRule="auto"/>
            </w:pPr>
            <w:r>
              <w:rPr>
                <w:rFonts w:ascii="Georgia" w:hAnsi="Georgia"/>
                <w:color w:val="131B1E"/>
                <w:sz w:val="18"/>
              </w:rPr>
              <w:t>Expected MAE</w:t>
            </w:r>
          </w:p>
        </w:tc>
        <w:tc>
          <w:tcPr>
            <w:tcW w:type="dxa" w:w="3120"/>
          </w:tcPr>
          <w:p>
            <w:pPr>
              <w:spacing w:after="40" w:line="264" w:lineRule="auto"/>
            </w:pPr>
            <w:r>
              <w:rPr>
                <w:rFonts w:ascii="Georgia" w:hAnsi="Georgia"/>
                <w:color w:val="131B1E"/>
                <w:sz w:val="18"/>
              </w:rPr>
              <w:t>Much lower</w:t>
            </w:r>
          </w:p>
        </w:tc>
        <w:tc>
          <w:tcPr>
            <w:tcW w:type="dxa" w:w="3120"/>
          </w:tcPr>
          <w:p>
            <w:pPr>
              <w:spacing w:after="40" w:line="264" w:lineRule="auto"/>
            </w:pPr>
            <w:r>
              <w:rPr>
                <w:rFonts w:ascii="Georgia" w:hAnsi="Georgia"/>
                <w:color w:val="131B1E"/>
                <w:sz w:val="18"/>
              </w:rPr>
              <w:t>What this project measures</w:t>
            </w:r>
          </w:p>
        </w:tc>
      </w:tr>
    </w:tbl>
    <w:p>
      <w:pPr>
        <w:spacing w:after="120"/>
      </w:pPr>
    </w:p>
    <w:p>
      <w:pPr>
        <w:spacing w:after="180" w:line="300" w:lineRule="auto"/>
      </w:pPr>
      <w:r>
        <w:rPr>
          <w:rFonts w:ascii="Georgia" w:hAnsi="Georgia"/>
          <w:color w:val="131B1E"/>
          <w:sz w:val="21"/>
        </w:rPr>
        <w:t>What is built is the right-hand column: a fundamental/structural forecast. An interviewer will ask which one it is, and the answer needs to be immediate.</w:t>
      </w:r>
    </w:p>
    <w:p>
      <w:pPr>
        <w:keepNext/>
        <w:spacing w:before="400" w:after="120"/>
      </w:pPr>
      <w:r>
        <w:rPr>
          <w:rFonts w:ascii="Segoe UI" w:hAnsi="Segoe UI"/>
          <w:b/>
          <w:color w:val="131B1E"/>
          <w:sz w:val="25"/>
        </w:rPr>
        <w:t>3.3 No probabilistic output</w:t>
      </w:r>
    </w:p>
    <w:p>
      <w:pPr>
        <w:spacing w:after="180" w:line="300" w:lineRule="auto"/>
      </w:pPr>
      <w:r>
        <w:rPr>
          <w:rFonts w:ascii="Georgia" w:hAnsi="Georgia"/>
          <w:color w:val="131B1E"/>
          <w:sz w:val="21"/>
        </w:rPr>
        <w:t>Nobody trades on a point forecast. Production energy forecasting emits quantiles or full predictive densities; the Global Energy Forecasting Competition has been probabilistic since 2014, and pinball loss and CRPS are the standard metrics.</w:t>
      </w:r>
    </w:p>
    <w:p>
      <w:pPr>
        <w:spacing w:after="180" w:line="300" w:lineRule="auto"/>
      </w:pPr>
      <w:r>
        <w:rPr>
          <w:rFonts w:ascii="Georgia" w:hAnsi="Georgia"/>
          <w:color w:val="131B1E"/>
          <w:sz w:val="21"/>
        </w:rPr>
        <w:t>"What is the probability of a spike above 100 EUR/MWh" matters more to a trader than the conditional mean. This is the largest single gap between this project and the field.</w:t>
      </w:r>
    </w:p>
    <w:p>
      <w:pPr>
        <w:keepNext/>
        <w:spacing w:before="400" w:after="120"/>
      </w:pPr>
      <w:r>
        <w:rPr>
          <w:rFonts w:ascii="Segoe UI" w:hAnsi="Segoe UI"/>
          <w:b/>
          <w:color w:val="131B1E"/>
          <w:sz w:val="25"/>
        </w:rPr>
        <w:t>3.4 Missing the drivers that set the price level</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CEC"/>
          </w:tcPr>
          <w:p>
            <w:pPr>
              <w:spacing w:after="40"/>
            </w:pPr>
            <w:r>
              <w:rPr>
                <w:rFonts w:ascii="Segoe UI" w:hAnsi="Segoe UI"/>
                <w:b/>
                <w:color w:val="566A6E"/>
                <w:sz w:val="17"/>
              </w:rPr>
              <w:t>Missing driver</w:t>
            </w:r>
          </w:p>
        </w:tc>
        <w:tc>
          <w:tcPr>
            <w:tcW w:type="dxa" w:w="4680"/>
            <w:shd w:val="clear" w:color="auto" w:fill="E7ECEC"/>
          </w:tcPr>
          <w:p>
            <w:pPr>
              <w:spacing w:after="40"/>
            </w:pPr>
            <w:r>
              <w:rPr>
                <w:rFonts w:ascii="Segoe UI" w:hAnsi="Segoe UI"/>
                <w:b/>
                <w:color w:val="566A6E"/>
                <w:sz w:val="17"/>
              </w:rPr>
              <w:t>Why it matters</w:t>
            </w:r>
          </w:p>
        </w:tc>
      </w:tr>
      <w:tr>
        <w:tc>
          <w:tcPr>
            <w:tcW w:type="dxa" w:w="4680"/>
          </w:tcPr>
          <w:p>
            <w:pPr>
              <w:spacing w:after="40" w:line="264" w:lineRule="auto"/>
            </w:pPr>
            <w:r>
              <w:rPr>
                <w:rFonts w:ascii="Georgia" w:hAnsi="Georgia"/>
                <w:color w:val="131B1E"/>
                <w:sz w:val="18"/>
              </w:rPr>
              <w:t>Gas (TTF), coal (API2), carbon (EUA)</w:t>
            </w:r>
          </w:p>
        </w:tc>
        <w:tc>
          <w:tcPr>
            <w:tcW w:type="dxa" w:w="4680"/>
          </w:tcPr>
          <w:p>
            <w:pPr>
              <w:spacing w:after="40" w:line="264" w:lineRule="auto"/>
            </w:pPr>
            <w:r>
              <w:rPr>
                <w:rFonts w:ascii="Georgia" w:hAnsi="Georgia"/>
                <w:color w:val="131B1E"/>
                <w:sz w:val="18"/>
              </w:rPr>
              <w:t xml:space="preserve">Set the marginal cost of the price-setting plant, and therefore the price </w:t>
            </w:r>
            <w:r>
              <w:rPr>
                <w:rFonts w:ascii="Georgia" w:hAnsi="Georgia"/>
                <w:i/>
                <w:color w:val="131B1E"/>
                <w:sz w:val="18"/>
              </w:rPr>
              <w:t>level</w:t>
            </w:r>
            <w:r>
              <w:rPr>
                <w:rFonts w:ascii="Georgia" w:hAnsi="Georgia"/>
                <w:color w:val="131B1E"/>
                <w:sz w:val="18"/>
              </w:rPr>
              <w:t xml:space="preserve"> between years</w:t>
            </w:r>
          </w:p>
        </w:tc>
      </w:tr>
      <w:tr>
        <w:tc>
          <w:tcPr>
            <w:tcW w:type="dxa" w:w="4680"/>
          </w:tcPr>
          <w:p>
            <w:pPr>
              <w:spacing w:after="40" w:line="264" w:lineRule="auto"/>
            </w:pPr>
            <w:r>
              <w:rPr>
                <w:rFonts w:ascii="Georgia" w:hAnsi="Georgia"/>
                <w:color w:val="131B1E"/>
                <w:sz w:val="18"/>
              </w:rPr>
              <w:t>Wind and solar generation / forecast</w:t>
            </w:r>
          </w:p>
        </w:tc>
        <w:tc>
          <w:tcPr>
            <w:tcW w:type="dxa" w:w="4680"/>
          </w:tcPr>
          <w:p>
            <w:pPr>
              <w:spacing w:after="40" w:line="264" w:lineRule="auto"/>
            </w:pPr>
            <w:r>
              <w:rPr>
                <w:rFonts w:ascii="Georgia" w:hAnsi="Georgia"/>
                <w:color w:val="131B1E"/>
                <w:sz w:val="18"/>
              </w:rPr>
              <w:t>The largest short-run drivers of residual demand in modern European markets</w:t>
            </w:r>
          </w:p>
        </w:tc>
      </w:tr>
      <w:tr>
        <w:tc>
          <w:tcPr>
            <w:tcW w:type="dxa" w:w="4680"/>
          </w:tcPr>
          <w:p>
            <w:pPr>
              <w:spacing w:after="40" w:line="264" w:lineRule="auto"/>
            </w:pPr>
            <w:r>
              <w:rPr>
                <w:rFonts w:ascii="Georgia" w:hAnsi="Georgia"/>
                <w:color w:val="131B1E"/>
                <w:sz w:val="18"/>
              </w:rPr>
              <w:t>Cross-border prices and interconnector capacity</w:t>
            </w:r>
          </w:p>
        </w:tc>
        <w:tc>
          <w:tcPr>
            <w:tcW w:type="dxa" w:w="4680"/>
          </w:tcPr>
          <w:p>
            <w:pPr>
              <w:spacing w:after="40" w:line="264" w:lineRule="auto"/>
            </w:pPr>
            <w:r>
              <w:rPr>
                <w:rFonts w:ascii="Georgia" w:hAnsi="Georgia"/>
                <w:color w:val="131B1E"/>
                <w:sz w:val="18"/>
              </w:rPr>
              <w:t>France is tightly coupled to DE, BE, ES, IT, CH and UK through market coupling</w:t>
            </w:r>
          </w:p>
        </w:tc>
      </w:tr>
      <w:tr>
        <w:tc>
          <w:tcPr>
            <w:tcW w:type="dxa" w:w="4680"/>
          </w:tcPr>
          <w:p>
            <w:pPr>
              <w:spacing w:after="40" w:line="264" w:lineRule="auto"/>
            </w:pPr>
            <w:r>
              <w:rPr>
                <w:rFonts w:ascii="Georgia" w:hAnsi="Georgia"/>
                <w:color w:val="131B1E"/>
                <w:sz w:val="18"/>
              </w:rPr>
              <w:t>Hydro reservoir levels</w:t>
            </w:r>
          </w:p>
        </w:tc>
        <w:tc>
          <w:tcPr>
            <w:tcW w:type="dxa" w:w="4680"/>
          </w:tcPr>
          <w:p>
            <w:pPr>
              <w:spacing w:after="40" w:line="264" w:lineRule="auto"/>
            </w:pPr>
            <w:r>
              <w:rPr>
                <w:rFonts w:ascii="Georgia" w:hAnsi="Georgia"/>
                <w:color w:val="131B1E"/>
                <w:sz w:val="18"/>
              </w:rPr>
              <w:t>Significant in the French and Alpine merit order</w:t>
            </w:r>
          </w:p>
        </w:tc>
      </w:tr>
    </w:tbl>
    <w:p>
      <w:pPr>
        <w:spacing w:after="120"/>
      </w:pPr>
    </w:p>
    <w:p>
      <w:pPr>
        <w:spacing w:after="180" w:line="300" w:lineRule="auto"/>
      </w:pPr>
      <w:r>
        <w:rPr>
          <w:rFonts w:ascii="Georgia" w:hAnsi="Georgia"/>
          <w:color w:val="131B1E"/>
          <w:sz w:val="21"/>
        </w:rPr>
        <w:t xml:space="preserve">Residual demand here is </w:t>
      </w:r>
      <w:r>
        <w:rPr>
          <w:rFonts w:ascii="Consolas" w:hAnsi="Consolas"/>
          <w:color w:val="0E5D6E"/>
          <w:sz w:val="19"/>
        </w:rPr>
        <w:t>load - nuclear</w:t>
      </w:r>
      <w:r>
        <w:rPr>
          <w:rFonts w:ascii="Georgia" w:hAnsi="Georgia"/>
          <w:color w:val="131B1E"/>
          <w:sz w:val="21"/>
        </w:rPr>
        <w:t xml:space="preserve"> only. The physically correct definition is </w:t>
      </w:r>
      <w:r>
        <w:rPr>
          <w:rFonts w:ascii="Consolas" w:hAnsi="Consolas"/>
          <w:color w:val="0E5D6E"/>
          <w:sz w:val="19"/>
        </w:rPr>
        <w:t>load - wind - solar - nuclear - must-run hydro</w:t>
      </w:r>
      <w:r>
        <w:rPr>
          <w:rFonts w:ascii="Georgia" w:hAnsi="Georgia"/>
          <w:color w:val="131B1E"/>
          <w:sz w:val="21"/>
        </w:rPr>
        <w:t>.</w:t>
      </w:r>
    </w:p>
    <w:p>
      <w:pPr>
        <w:spacing w:after="180" w:line="300" w:lineRule="auto"/>
      </w:pPr>
      <w:r>
        <w:rPr>
          <w:rFonts w:ascii="Georgia" w:hAnsi="Georgia"/>
          <w:b/>
          <w:color w:val="131B1E"/>
          <w:sz w:val="21"/>
        </w:rPr>
        <w:t>Crucially: `year` is proxying for the fuel and carbon complex.</w:t>
      </w:r>
      <w:r>
        <w:rPr>
          <w:rFonts w:ascii="Georgia" w:hAnsi="Georgia"/>
          <w:color w:val="131B1E"/>
          <w:sz w:val="21"/>
        </w:rPr>
        <w:t xml:space="preserve"> That reframing is the key to fixing it properly rather than merely deleting it.</w:t>
      </w:r>
    </w:p>
    <w:p>
      <w:pPr>
        <w:keepNext/>
        <w:spacing w:before="400" w:after="120"/>
      </w:pPr>
      <w:r>
        <w:rPr>
          <w:rFonts w:ascii="Segoe UI" w:hAnsi="Segoe UI"/>
          <w:b/>
          <w:color w:val="131B1E"/>
          <w:sz w:val="25"/>
        </w:rPr>
        <w:t>3.5 Resolution and scale</w:t>
      </w:r>
    </w:p>
    <w:p>
      <w:pPr>
        <w:spacing w:after="180" w:line="300" w:lineRule="auto"/>
      </w:pPr>
      <w:r>
        <w:rPr>
          <w:rFonts w:ascii="Georgia" w:hAnsi="Georgia"/>
          <w:color w:val="131B1E"/>
          <w:sz w:val="21"/>
        </w:rPr>
        <w:t>Daily average price is a research simplification. Real day-ahead markets clear 24 hourly products simultaneously, and the EU is moving to 15-minute settlement. The intraday shape — morning ramp, evening peak, solar duck curve — is where most of the interesting structure lives, and averaging it away discards it.</w:t>
      </w:r>
    </w:p>
    <w:p>
      <w:pPr>
        <w:spacing w:after="180" w:line="300" w:lineRule="auto"/>
      </w:pPr>
      <w:r>
        <w:rPr>
          <w:rFonts w:ascii="Georgia" w:hAnsi="Georgia"/>
          <w:color w:val="131B1E"/>
          <w:sz w:val="21"/>
        </w:rPr>
        <w:t>2,007 daily rows is tiny. Hourly multi-year data for a single market is 50,000+ rows.</w:t>
      </w:r>
    </w:p>
    <w:p>
      <w:pPr>
        <w:keepNext/>
        <w:spacing w:before="400" w:after="120"/>
      </w:pPr>
      <w:r>
        <w:rPr>
          <w:rFonts w:ascii="Segoe UI" w:hAnsi="Segoe UI"/>
          <w:b/>
          <w:color w:val="131B1E"/>
          <w:sz w:val="25"/>
        </w:rPr>
        <w:t>3.6 The data ends in June 2020</w:t>
      </w:r>
    </w:p>
    <w:p>
      <w:pPr>
        <w:spacing w:after="180" w:line="300" w:lineRule="auto"/>
      </w:pPr>
      <w:r>
        <w:rPr>
          <w:rFonts w:ascii="Georgia" w:hAnsi="Georgia"/>
          <w:color w:val="131B1E"/>
          <w:sz w:val="21"/>
        </w:rPr>
        <w:t>The model has never seen the 2021-23 European energy crisis or the 2022 French nuclear availability collapse, when prices exceeded 500 EUR/MWh. That period is the single best available regime stress test for exactly this market, and its absence means robustness is untested where it counts.</w:t>
      </w:r>
    </w:p>
    <w:p>
      <w:pPr>
        <w:keepNext/>
        <w:spacing w:before="400" w:after="120"/>
      </w:pPr>
      <w:r>
        <w:rPr>
          <w:rFonts w:ascii="Segoe UI" w:hAnsi="Segoe UI"/>
          <w:b/>
          <w:color w:val="131B1E"/>
          <w:sz w:val="25"/>
        </w:rPr>
        <w:t>3.7 Engineering gaps</w:t>
      </w:r>
    </w:p>
    <w:p>
      <w:pPr>
        <w:spacing w:after="180" w:line="300" w:lineRule="auto"/>
      </w:pPr>
      <w:r>
        <w:rPr>
          <w:rFonts w:ascii="Georgia" w:hAnsi="Georgia"/>
          <w:color w:val="131B1E"/>
          <w:sz w:val="21"/>
        </w:rPr>
        <w:t>No automated tests. No CI/CD. No orchestration beyond a cron trigger. No drift monitoring or retraining triggers. No data or feature versioning. A single model rather than an ensemble, when forecast averaging is one of the most reliably beneficial techniques in the electricity-price-forecasting literature.</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4. Roadmap, ranked by signal per unit effort</w:t>
      </w:r>
    </w:p>
    <w:p>
      <w:pPr>
        <w:keepNext/>
        <w:spacing w:before="400" w:after="120"/>
      </w:pPr>
      <w:r>
        <w:rPr>
          <w:rFonts w:ascii="Segoe UI" w:hAnsi="Segoe UI"/>
          <w:b/>
          <w:color w:val="131B1E"/>
          <w:sz w:val="25"/>
        </w:rPr>
        <w:t>Tier 1 — do these, in this order</w:t>
      </w:r>
    </w:p>
    <w:p>
      <w:pPr>
        <w:spacing w:after="180" w:line="300" w:lineRule="auto"/>
      </w:pPr>
      <w:r>
        <w:rPr>
          <w:rFonts w:ascii="Georgia" w:hAnsi="Georgia"/>
          <w:b/>
          <w:color w:val="131B1E"/>
          <w:sz w:val="21"/>
        </w:rPr>
        <w:t>1. Finish the service layer.</w:t>
      </w:r>
      <w:r>
        <w:rPr>
          <w:rFonts w:ascii="Georgia" w:hAnsi="Georgia"/>
          <w:color w:val="131B1E"/>
          <w:sz w:val="21"/>
        </w:rPr>
        <w:t xml:space="preserve"> FastAPI, Streamlit, Docker Compose.</w:t>
      </w:r>
    </w:p>
    <w:p>
      <w:pPr>
        <w:spacing w:after="180" w:line="300" w:lineRule="auto"/>
      </w:pPr>
      <w:r>
        <w:rPr>
          <w:rFonts w:ascii="Georgia" w:hAnsi="Georgia"/>
          <w:color w:val="131B1E"/>
          <w:sz w:val="21"/>
        </w:rPr>
        <w:t>An unfinished system is worth far less than a finished smaller one. This is already unblocked: the MLflow artifact loads in a fresh process and predicts. It is the difference between "notebook with good hygiene" and "system". Highest priority, lowest risk, no research uncertainty.</w:t>
      </w:r>
    </w:p>
    <w:p>
      <w:pPr>
        <w:spacing w:after="180" w:line="300" w:lineRule="auto"/>
      </w:pPr>
      <w:r>
        <w:rPr>
          <w:rFonts w:ascii="Georgia" w:hAnsi="Georgia"/>
          <w:b/>
          <w:color w:val="131B1E"/>
          <w:sz w:val="21"/>
        </w:rPr>
        <w:t>2. Kill `year` by replacing what it proxies.</w:t>
      </w:r>
    </w:p>
    <w:p>
      <w:pPr>
        <w:spacing w:after="180" w:line="300" w:lineRule="auto"/>
      </w:pPr>
      <w:r>
        <w:rPr>
          <w:rFonts w:ascii="Georgia" w:hAnsi="Georgia"/>
          <w:color w:val="131B1E"/>
          <w:sz w:val="21"/>
        </w:rPr>
        <w:t>Add a trailing 30-day median price, plus TTF gas and EUA carbon if the data can be sourced. This converts the project's best finding from "here is a flaw I found" into "here is a flaw I found, diagnosed, and fixed — with before and after numbers". A complete story arc, and the most impressive single item available.</w:t>
      </w:r>
    </w:p>
    <w:p>
      <w:pPr>
        <w:spacing w:after="180" w:line="300" w:lineRule="auto"/>
      </w:pPr>
      <w:r>
        <w:rPr>
          <w:rFonts w:ascii="Georgia" w:hAnsi="Georgia"/>
          <w:b/>
          <w:color w:val="131B1E"/>
          <w:sz w:val="21"/>
        </w:rPr>
        <w:t>3. Add quantile forecasts.</w:t>
      </w:r>
    </w:p>
    <w:p>
      <w:pPr>
        <w:spacing w:after="180" w:line="300" w:lineRule="auto"/>
      </w:pPr>
      <w:r>
        <w:rPr>
          <w:rFonts w:ascii="Georgia" w:hAnsi="Georgia"/>
          <w:color w:val="131B1E"/>
          <w:sz w:val="21"/>
        </w:rPr>
        <w:t>Either LightGBM/XGBoost quantile objectives at P10/P50/P90, or conformal prediction layered on the existing model. Conformal is cheaper and the walk-forward folds already provide the calibration set. Report pinball loss and empirical coverage. Highest differentiation per hour spent, and immediately legible to anyone in energy.</w:t>
      </w:r>
    </w:p>
    <w:p>
      <w:pPr>
        <w:spacing w:after="180" w:line="300" w:lineRule="auto"/>
      </w:pPr>
      <w:r>
        <w:rPr>
          <w:rFonts w:ascii="Georgia" w:hAnsi="Georgia"/>
          <w:b/>
          <w:color w:val="131B1E"/>
          <w:sz w:val="21"/>
        </w:rPr>
        <w:t>4. Tests and CI.</w:t>
      </w:r>
    </w:p>
    <w:p>
      <w:pPr>
        <w:spacing w:after="180" w:line="300" w:lineRule="auto"/>
      </w:pPr>
      <w:r>
        <w:rPr>
          <w:rFonts w:ascii="Georgia" w:hAnsi="Georgia"/>
          <w:color w:val="131B1E"/>
          <w:sz w:val="21"/>
        </w:rPr>
        <w:t>Roughly four hours of work, and its absence is the most common resume-project tell. Three tests earn their keep immediately:</w:t>
      </w:r>
    </w:p>
    <w:p>
      <w:pPr>
        <w:pStyle w:val="ListBullet"/>
        <w:spacing w:after="100" w:line="288" w:lineRule="auto"/>
      </w:pPr>
      <w:r>
        <w:rPr>
          <w:rFonts w:ascii="Georgia" w:hAnsi="Georgia"/>
          <w:color w:val="131B1E"/>
          <w:sz w:val="21"/>
        </w:rPr>
        <w:t>The cascade's stage ordering — that degree days cannot be built before national temperature.</w:t>
      </w:r>
    </w:p>
    <w:p>
      <w:pPr>
        <w:pStyle w:val="ListBullet"/>
        <w:spacing w:after="100" w:line="288" w:lineRule="auto"/>
      </w:pPr>
      <w:r>
        <w:rPr>
          <w:rFonts w:ascii="Georgia" w:hAnsi="Georgia"/>
          <w:color w:val="131B1E"/>
          <w:sz w:val="21"/>
        </w:rPr>
        <w:t xml:space="preserve">The horizon guards — that a request before </w:t>
      </w:r>
      <w:r>
        <w:rPr>
          <w:rFonts w:ascii="Consolas" w:hAnsi="Consolas"/>
          <w:color w:val="0E5D6E"/>
          <w:sz w:val="19"/>
        </w:rPr>
        <w:t>train_end + 1</w:t>
      </w:r>
      <w:r>
        <w:rPr>
          <w:rFonts w:ascii="Georgia" w:hAnsi="Georgia"/>
          <w:color w:val="131B1E"/>
          <w:sz w:val="21"/>
        </w:rPr>
        <w:t xml:space="preserve"> or beyond </w:t>
      </w:r>
      <w:r>
        <w:rPr>
          <w:rFonts w:ascii="Consolas" w:hAnsi="Consolas"/>
          <w:color w:val="0E5D6E"/>
          <w:sz w:val="19"/>
        </w:rPr>
        <w:t>max_horizon_days</w:t>
      </w:r>
      <w:r>
        <w:rPr>
          <w:rFonts w:ascii="Georgia" w:hAnsi="Georgia"/>
          <w:color w:val="131B1E"/>
          <w:sz w:val="21"/>
        </w:rPr>
        <w:t xml:space="preserve"> raises.</w:t>
      </w:r>
    </w:p>
    <w:p>
      <w:pPr>
        <w:pStyle w:val="ListBullet"/>
        <w:spacing w:after="100" w:line="288" w:lineRule="auto"/>
      </w:pPr>
      <w:r>
        <w:rPr>
          <w:rFonts w:ascii="Georgia" w:hAnsi="Georgia"/>
          <w:b/>
          <w:color w:val="131B1E"/>
          <w:sz w:val="21"/>
        </w:rPr>
        <w:t>A leakage assertion</w:t>
      </w:r>
      <w:r>
        <w:rPr>
          <w:rFonts w:ascii="Georgia" w:hAnsi="Georgia"/>
          <w:color w:val="131B1E"/>
          <w:sz w:val="21"/>
        </w:rPr>
        <w:t xml:space="preserve"> — that fold </w:t>
      </w:r>
      <w:r>
        <w:rPr>
          <w:rFonts w:ascii="Georgia" w:hAnsi="Georgia"/>
          <w:i/>
          <w:color w:val="131B1E"/>
          <w:sz w:val="21"/>
        </w:rPr>
        <w:t>k</w:t>
      </w:r>
      <w:r>
        <w:rPr>
          <w:rFonts w:ascii="Georgia" w:hAnsi="Georgia"/>
          <w:color w:val="131B1E"/>
          <w:sz w:val="21"/>
        </w:rPr>
        <w:t xml:space="preserve">'s features never touch data after its </w:t>
      </w:r>
      <w:r>
        <w:rPr>
          <w:rFonts w:ascii="Consolas" w:hAnsi="Consolas"/>
          <w:color w:val="0E5D6E"/>
          <w:sz w:val="19"/>
        </w:rPr>
        <w:t>train_end</w:t>
      </w:r>
      <w:r>
        <w:rPr>
          <w:rFonts w:ascii="Georgia" w:hAnsi="Georgia"/>
          <w:color w:val="131B1E"/>
          <w:sz w:val="21"/>
        </w:rPr>
        <w:t>. This test is itself interview material.</w:t>
      </w:r>
    </w:p>
    <w:p>
      <w:pPr>
        <w:keepNext/>
        <w:spacing w:before="400" w:after="120"/>
      </w:pPr>
      <w:r>
        <w:rPr>
          <w:rFonts w:ascii="Segoe UI" w:hAnsi="Segoe UI"/>
          <w:b/>
          <w:color w:val="131B1E"/>
          <w:sz w:val="25"/>
        </w:rPr>
        <w:t>Tier 2 — genuine quantitative depth</w:t>
      </w:r>
    </w:p>
    <w:p>
      <w:pPr>
        <w:spacing w:after="180" w:line="300" w:lineRule="auto"/>
      </w:pPr>
      <w:r>
        <w:rPr>
          <w:rFonts w:ascii="Georgia" w:hAnsi="Georgia"/>
          <w:b/>
          <w:color w:val="131B1E"/>
          <w:sz w:val="21"/>
        </w:rPr>
        <w:t>5. Extend the data to the present and re-run the backtest.</w:t>
      </w:r>
    </w:p>
    <w:p>
      <w:pPr>
        <w:spacing w:after="180" w:line="300" w:lineRule="auto"/>
      </w:pPr>
      <w:r>
        <w:rPr>
          <w:rFonts w:ascii="Georgia" w:hAnsi="Georgia"/>
          <w:color w:val="131B1E"/>
          <w:sz w:val="21"/>
        </w:rPr>
        <w:t>Sources: ENTSO-E Transparency Platform (free API — load, generation by type, prices, cross-border flows), RTE éCO2mix, Open Power System Data.</w:t>
      </w:r>
    </w:p>
    <w:p>
      <w:pPr>
        <w:spacing w:after="180" w:line="300" w:lineRule="auto"/>
      </w:pPr>
      <w:r>
        <w:rPr>
          <w:rFonts w:ascii="Georgia" w:hAnsi="Georgia"/>
          <w:color w:val="131B1E"/>
          <w:sz w:val="21"/>
        </w:rPr>
        <w:t xml:space="preserve">The narrative this unlocks — </w:t>
      </w:r>
      <w:r>
        <w:rPr>
          <w:rFonts w:ascii="Georgia" w:hAnsi="Georgia"/>
          <w:i/>
          <w:color w:val="131B1E"/>
          <w:sz w:val="21"/>
        </w:rPr>
        <w:t>"MAE went from 8.7 to X through the 2022 crisis; here is what broke and here is what I changed"</w:t>
      </w:r>
      <w:r>
        <w:rPr>
          <w:rFonts w:ascii="Georgia" w:hAnsi="Georgia"/>
          <w:color w:val="131B1E"/>
          <w:sz w:val="21"/>
        </w:rPr>
        <w:t xml:space="preserve"> — is the most senior-sounding story available from this codebase.</w:t>
      </w:r>
    </w:p>
    <w:p>
      <w:pPr>
        <w:spacing w:after="180" w:line="300" w:lineRule="auto"/>
      </w:pPr>
      <w:r>
        <w:rPr>
          <w:rFonts w:ascii="Georgia" w:hAnsi="Georgia"/>
          <w:b/>
          <w:color w:val="131B1E"/>
          <w:sz w:val="21"/>
        </w:rPr>
        <w:t>6. Build both horizons and compare.</w:t>
      </w:r>
    </w:p>
    <w:p>
      <w:pPr>
        <w:spacing w:after="180" w:line="300" w:lineRule="auto"/>
      </w:pPr>
      <w:r>
        <w:rPr>
          <w:rFonts w:ascii="Georgia" w:hAnsi="Georgia"/>
          <w:color w:val="131B1E"/>
          <w:sz w:val="21"/>
        </w:rPr>
        <w:t xml:space="preserve">h=1 with price lags and real weather forecasts, against h=1..31 with the cascade. Cheap to implement, and it demonstrates that </w:t>
      </w:r>
      <w:r>
        <w:rPr>
          <w:rFonts w:ascii="Georgia" w:hAnsi="Georgia"/>
          <w:i/>
          <w:color w:val="131B1E"/>
          <w:sz w:val="21"/>
        </w:rPr>
        <w:t>horizon determines feature availability</w:t>
      </w:r>
      <w:r>
        <w:rPr>
          <w:rFonts w:ascii="Georgia" w:hAnsi="Georgia"/>
          <w:color w:val="131B1E"/>
          <w:sz w:val="21"/>
        </w:rPr>
        <w:t xml:space="preserve"> — a genuinely senior insight most candidates lack.</w:t>
      </w:r>
    </w:p>
    <w:p>
      <w:pPr>
        <w:spacing w:after="180" w:line="300" w:lineRule="auto"/>
      </w:pPr>
      <w:r>
        <w:rPr>
          <w:rFonts w:ascii="Georgia" w:hAnsi="Georgia"/>
          <w:b/>
          <w:color w:val="131B1E"/>
          <w:sz w:val="21"/>
        </w:rPr>
        <w:t>7. Add renewables and interconnector features</w:t>
      </w:r>
      <w:r>
        <w:rPr>
          <w:rFonts w:ascii="Georgia" w:hAnsi="Georgia"/>
          <w:color w:val="131B1E"/>
          <w:sz w:val="21"/>
        </w:rPr>
        <w:t xml:space="preserve">, and correct residual demand to </w:t>
      </w:r>
      <w:r>
        <w:rPr>
          <w:rFonts w:ascii="Consolas" w:hAnsi="Consolas"/>
          <w:color w:val="0E5D6E"/>
          <w:sz w:val="19"/>
        </w:rPr>
        <w:t>load - wind - solar - nuclear</w:t>
      </w:r>
      <w:r>
        <w:rPr>
          <w:rFonts w:ascii="Georgia" w:hAnsi="Georgia"/>
          <w:color w:val="131B1E"/>
          <w:sz w:val="21"/>
        </w:rPr>
        <w:t>.</w:t>
      </w:r>
    </w:p>
    <w:p>
      <w:pPr>
        <w:spacing w:after="180" w:line="300" w:lineRule="auto"/>
      </w:pPr>
      <w:r>
        <w:rPr>
          <w:rFonts w:ascii="Georgia" w:hAnsi="Georgia"/>
          <w:b/>
          <w:color w:val="131B1E"/>
          <w:sz w:val="21"/>
        </w:rPr>
        <w:t>8. Move to hourly resolution.</w:t>
      </w:r>
      <w:r>
        <w:rPr>
          <w:rFonts w:ascii="Georgia" w:hAnsi="Georgia"/>
          <w:color w:val="131B1E"/>
          <w:sz w:val="21"/>
        </w:rPr>
        <w:t xml:space="preserve"> A larger lift, but it transforms realism.</w:t>
      </w:r>
    </w:p>
    <w:p>
      <w:pPr>
        <w:keepNext/>
        <w:spacing w:before="400" w:after="120"/>
      </w:pPr>
      <w:r>
        <w:rPr>
          <w:rFonts w:ascii="Segoe UI" w:hAnsi="Segoe UI"/>
          <w:b/>
          <w:color w:val="131B1E"/>
          <w:sz w:val="25"/>
        </w:rPr>
        <w:t>Tier 3 — polish, and one trap</w:t>
      </w:r>
    </w:p>
    <w:p>
      <w:pPr>
        <w:spacing w:after="180" w:line="300" w:lineRule="auto"/>
      </w:pPr>
      <w:r>
        <w:rPr>
          <w:rFonts w:ascii="Georgia" w:hAnsi="Georgia"/>
          <w:b/>
          <w:color w:val="131B1E"/>
          <w:sz w:val="21"/>
        </w:rPr>
        <w:t>9. A neural baseline</w:t>
      </w:r>
      <w:r>
        <w:rPr>
          <w:rFonts w:ascii="Georgia" w:hAnsi="Georgia"/>
          <w:color w:val="131B1E"/>
          <w:sz w:val="21"/>
        </w:rPr>
        <w:t xml:space="preserve"> — N-BEATS, NHITS or TFT via </w:t>
      </w:r>
      <w:r>
        <w:rPr>
          <w:rFonts w:ascii="Consolas" w:hAnsi="Consolas"/>
          <w:color w:val="0E5D6E"/>
          <w:sz w:val="19"/>
        </w:rPr>
        <w:t>neuralforecast</w:t>
      </w:r>
      <w:r>
        <w:rPr>
          <w:rFonts w:ascii="Georgia" w:hAnsi="Georgia"/>
          <w:color w:val="131B1E"/>
          <w:sz w:val="21"/>
        </w:rPr>
        <w:t>. The original brief anticipated this.</w:t>
      </w:r>
    </w:p>
    <w:p>
      <w:pPr>
        <w:spacing w:after="180" w:line="300" w:lineRule="auto"/>
      </w:pPr>
      <w:r>
        <w:rPr>
          <w:rFonts w:ascii="Georgia" w:hAnsi="Georgia"/>
          <w:color w:val="131B1E"/>
          <w:sz w:val="21"/>
        </w:rPr>
        <w:t xml:space="preserve">Frame it honestly. </w:t>
      </w:r>
      <w:r>
        <w:rPr>
          <w:rFonts w:ascii="Georgia" w:hAnsi="Georgia"/>
          <w:i/>
          <w:color w:val="131B1E"/>
          <w:sz w:val="21"/>
        </w:rPr>
        <w:t>"I tried it, it lost to tuned XGBoost on 2,000 rows, and here is why"</w:t>
      </w:r>
      <w:r>
        <w:rPr>
          <w:rFonts w:ascii="Georgia" w:hAnsi="Georgia"/>
          <w:color w:val="131B1E"/>
          <w:sz w:val="21"/>
        </w:rPr>
        <w:t xml:space="preserve"> is </w:t>
      </w:r>
      <w:r>
        <w:rPr>
          <w:rFonts w:ascii="Georgia" w:hAnsi="Georgia"/>
          <w:b/>
          <w:color w:val="131B1E"/>
          <w:sz w:val="21"/>
        </w:rPr>
        <w:t>more</w:t>
      </w:r>
      <w:r>
        <w:rPr>
          <w:rFonts w:ascii="Georgia" w:hAnsi="Georgia"/>
          <w:color w:val="131B1E"/>
          <w:sz w:val="21"/>
        </w:rPr>
        <w:t xml:space="preserve"> impressive than deploying deep learning uncritically. Gradient boosting beating deep learning on tabular, small-N problems is the expected result; knowing that is the signal.</w:t>
      </w:r>
    </w:p>
    <w:p>
      <w:pPr>
        <w:spacing w:after="180" w:line="300" w:lineRule="auto"/>
      </w:pPr>
      <w:r>
        <w:rPr>
          <w:rFonts w:ascii="Georgia" w:hAnsi="Georgia"/>
          <w:b/>
          <w:color w:val="131B1E"/>
          <w:sz w:val="21"/>
        </w:rPr>
        <w:t>10. Orchestration</w:t>
      </w:r>
      <w:r>
        <w:rPr>
          <w:rFonts w:ascii="Georgia" w:hAnsi="Georgia"/>
          <w:color w:val="131B1E"/>
          <w:sz w:val="21"/>
        </w:rPr>
        <w:t xml:space="preserve"> — Dagster or Airflow. Real, but frequently over-claimed on resumes. Do it last.</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5. How to position this</w:t>
      </w:r>
    </w:p>
    <w:p>
      <w:pPr>
        <w:spacing w:after="180" w:line="300" w:lineRule="auto"/>
      </w:pPr>
      <w:r>
        <w:rPr>
          <w:rFonts w:ascii="Georgia" w:hAnsi="Georgia"/>
          <w:color w:val="131B1E"/>
          <w:sz w:val="21"/>
        </w:rPr>
        <w:t xml:space="preserve">Avoid </w:t>
      </w:r>
      <w:r>
        <w:rPr>
          <w:rFonts w:ascii="Georgia" w:hAnsi="Georgia"/>
          <w:i/>
          <w:color w:val="131B1E"/>
          <w:sz w:val="21"/>
        </w:rPr>
        <w:t>"built an ML model to forecast electricity prices"</w:t>
      </w:r>
      <w:r>
        <w:rPr>
          <w:rFonts w:ascii="Georgia" w:hAnsi="Georgia"/>
          <w:color w:val="131B1E"/>
          <w:sz w:val="21"/>
        </w:rPr>
        <w:t>. Every candidate writes that. Write bullets that each carry a number and a judgement:</w:t>
      </w:r>
    </w:p>
    <w:p>
      <w:pPr>
        <w:spacing w:before="160" w:after="200" w:line="288" w:lineRule="auto"/>
        <w:ind w:left="173"/>
        <w:shd w:val="clear" w:color="auto" w:fill="DCEAED"/>
        <w:pBdr>
          <w:left w:val="single" w:sz="18" w:space="8" w:color="0E5D6E"/>
        </w:pBdr>
      </w:pPr>
      <w:r>
        <w:rPr>
          <w:rFonts w:ascii="Georgia" w:hAnsi="Georgia"/>
          <w:b/>
          <w:color w:val="131B1E"/>
          <w:sz w:val="20"/>
        </w:rPr>
        <w:t xml:space="preserve">- Built a French day-ahead power price forecaster in which </w:t>
      </w:r>
      <w:r>
        <w:rPr>
          <w:rFonts w:ascii="Georgia" w:hAnsi="Georgia"/>
          <w:b/>
          <w:color w:val="131B1E"/>
          <w:sz w:val="20"/>
        </w:rPr>
        <w:t>20 of 22 features are unavailable at prediction time</w:t>
      </w:r>
      <w:r>
        <w:rPr>
          <w:rFonts w:ascii="Georgia" w:hAnsi="Georgia"/>
          <w:b/>
          <w:color w:val="131B1E"/>
          <w:sz w:val="20"/>
        </w:rPr>
        <w:t xml:space="preserve">; designed a four-stage exogenous simulation cascade (Fourier+AR(2) weather → thermal inertia → Ridge load → residual demand) to manufacture them, validated blind across 12 rolling-origin folds. - Tuned XGBoost to </w:t>
      </w:r>
      <w:r>
        <w:rPr>
          <w:rFonts w:ascii="Georgia" w:hAnsi="Georgia"/>
          <w:b/>
          <w:color w:val="131B1E"/>
          <w:sz w:val="20"/>
        </w:rPr>
        <w:t>8.68 EUR/MWh MAE, 49% below a seasonal-naive baseline</w:t>
      </w:r>
      <w:r>
        <w:rPr>
          <w:rFonts w:ascii="Georgia" w:hAnsi="Georgia"/>
          <w:b/>
          <w:color w:val="131B1E"/>
          <w:sz w:val="20"/>
        </w:rPr>
        <w:t xml:space="preserve">; independently reproduced a prior ElasticNet result to within 0.04 MAE, confirming the migration preserved model behaviour. - Used SHAP to find that </w:t>
      </w:r>
      <w:r>
        <w:rPr>
          <w:rFonts w:ascii="Consolas" w:hAnsi="Consolas"/>
          <w:b/>
          <w:color w:val="0E5D6E"/>
          <w:sz w:val="18"/>
        </w:rPr>
        <w:t>year</w:t>
      </w:r>
      <w:r>
        <w:rPr>
          <w:rFonts w:ascii="Georgia" w:hAnsi="Georgia"/>
          <w:b/>
          <w:color w:val="131B1E"/>
          <w:sz w:val="20"/>
        </w:rPr>
        <w:t xml:space="preserve"> carried more attribution than all physical fundamentals combined; diagnosed it as a structural level-proxy that fails across year boundaries and replaced it with a trailing price-level feature. - Packaged the full cascade as a versioned MLflow </w:t>
      </w:r>
      <w:r>
        <w:rPr>
          <w:rFonts w:ascii="Consolas" w:hAnsi="Consolas"/>
          <w:b/>
          <w:color w:val="0E5D6E"/>
          <w:sz w:val="18"/>
        </w:rPr>
        <w:t>pyfunc</w:t>
      </w:r>
      <w:r>
        <w:rPr>
          <w:rFonts w:ascii="Georgia" w:hAnsi="Georgia"/>
          <w:b/>
          <w:color w:val="131B1E"/>
          <w:sz w:val="20"/>
        </w:rPr>
        <w:t xml:space="preserve"> artifact, moving model fitting out of the request path; served through decoupled FastAPI/Streamlit containers.</w:t>
      </w:r>
    </w:p>
    <w:p>
      <w:pPr>
        <w:spacing w:after="180" w:line="300" w:lineRule="auto"/>
      </w:pPr>
      <w:r>
        <w:rPr>
          <w:rFonts w:ascii="Georgia" w:hAnsi="Georgia"/>
          <w:color w:val="131B1E"/>
          <w:sz w:val="21"/>
        </w:rPr>
        <w:t xml:space="preserve">The second and third bullets are what earn the interview. The third especially — it says </w:t>
      </w:r>
      <w:r>
        <w:rPr>
          <w:rFonts w:ascii="Georgia" w:hAnsi="Georgia"/>
          <w:i/>
          <w:color w:val="131B1E"/>
          <w:sz w:val="21"/>
        </w:rPr>
        <w:t>I audit my own work.</w:t>
      </w:r>
    </w:p>
    <w:p>
      <w:pPr>
        <w:keepNext/>
        <w:spacing w:before="400" w:after="120"/>
      </w:pPr>
      <w:r>
        <w:rPr>
          <w:rFonts w:ascii="Segoe UI" w:hAnsi="Segoe UI"/>
          <w:b/>
          <w:color w:val="131B1E"/>
          <w:sz w:val="25"/>
        </w:rPr>
        <w:t>On skill claims</w:t>
      </w:r>
    </w:p>
    <w:p>
      <w:pPr>
        <w:spacing w:after="180" w:line="300" w:lineRule="auto"/>
      </w:pPr>
      <w:r>
        <w:rPr>
          <w:rFonts w:ascii="Georgia" w:hAnsi="Georgia"/>
          <w:color w:val="131B1E"/>
          <w:sz w:val="21"/>
        </w:rPr>
        <w:t>Be careful not to claim MLOps breadth the repository does not support.</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shd w:val="clear" w:color="auto" w:fill="E7ECEC"/>
          </w:tcPr>
          <w:p>
            <w:pPr>
              <w:spacing w:after="40"/>
            </w:pPr>
            <w:r>
              <w:rPr>
                <w:rFonts w:ascii="Segoe UI" w:hAnsi="Segoe UI"/>
                <w:b/>
                <w:color w:val="566A6E"/>
                <w:sz w:val="17"/>
              </w:rPr>
              <w:t>Claimable now</w:t>
            </w:r>
          </w:p>
        </w:tc>
        <w:tc>
          <w:tcPr>
            <w:tcW w:type="dxa" w:w="4680"/>
            <w:shd w:val="clear" w:color="auto" w:fill="E7ECEC"/>
          </w:tcPr>
          <w:p>
            <w:pPr>
              <w:spacing w:after="40"/>
            </w:pPr>
            <w:r>
              <w:rPr>
                <w:rFonts w:ascii="Segoe UI" w:hAnsi="Segoe UI"/>
                <w:b/>
                <w:color w:val="566A6E"/>
                <w:sz w:val="17"/>
              </w:rPr>
              <w:t>Not yet claimable</w:t>
            </w:r>
          </w:p>
        </w:tc>
      </w:tr>
      <w:tr>
        <w:tc>
          <w:tcPr>
            <w:tcW w:type="dxa" w:w="4680"/>
          </w:tcPr>
          <w:p>
            <w:pPr>
              <w:spacing w:after="40" w:line="264" w:lineRule="auto"/>
            </w:pPr>
            <w:r>
              <w:rPr>
                <w:rFonts w:ascii="Georgia" w:hAnsi="Georgia"/>
                <w:color w:val="131B1E"/>
                <w:sz w:val="18"/>
              </w:rPr>
              <w:t>Experiment tracking (MLflow)</w:t>
            </w:r>
          </w:p>
        </w:tc>
        <w:tc>
          <w:tcPr>
            <w:tcW w:type="dxa" w:w="4680"/>
          </w:tcPr>
          <w:p>
            <w:pPr>
              <w:spacing w:after="40" w:line="264" w:lineRule="auto"/>
            </w:pPr>
            <w:r>
              <w:rPr>
                <w:rFonts w:ascii="Georgia" w:hAnsi="Georgia"/>
                <w:color w:val="131B1E"/>
                <w:sz w:val="18"/>
              </w:rPr>
              <w:t>CI/CD</w:t>
            </w:r>
          </w:p>
        </w:tc>
      </w:tr>
      <w:tr>
        <w:tc>
          <w:tcPr>
            <w:tcW w:type="dxa" w:w="4680"/>
          </w:tcPr>
          <w:p>
            <w:pPr>
              <w:spacing w:after="40" w:line="264" w:lineRule="auto"/>
            </w:pPr>
            <w:r>
              <w:rPr>
                <w:rFonts w:ascii="Georgia" w:hAnsi="Georgia"/>
                <w:color w:val="131B1E"/>
                <w:sz w:val="18"/>
              </w:rPr>
              <w:t>Model registry and versioning</w:t>
            </w:r>
          </w:p>
        </w:tc>
        <w:tc>
          <w:tcPr>
            <w:tcW w:type="dxa" w:w="4680"/>
          </w:tcPr>
          <w:p>
            <w:pPr>
              <w:spacing w:after="40" w:line="264" w:lineRule="auto"/>
            </w:pPr>
            <w:r>
              <w:rPr>
                <w:rFonts w:ascii="Georgia" w:hAnsi="Georgia"/>
                <w:color w:val="131B1E"/>
                <w:sz w:val="18"/>
              </w:rPr>
              <w:t>Orchestration (Airflow/Dagster)</w:t>
            </w:r>
          </w:p>
        </w:tc>
      </w:tr>
      <w:tr>
        <w:tc>
          <w:tcPr>
            <w:tcW w:type="dxa" w:w="4680"/>
          </w:tcPr>
          <w:p>
            <w:pPr>
              <w:spacing w:after="40" w:line="264" w:lineRule="auto"/>
            </w:pPr>
            <w:r>
              <w:rPr>
                <w:rFonts w:ascii="Georgia" w:hAnsi="Georgia"/>
                <w:color w:val="131B1E"/>
                <w:sz w:val="18"/>
              </w:rPr>
              <w:t>Artifact packaging (</w:t>
            </w:r>
            <w:r>
              <w:rPr>
                <w:rFonts w:ascii="Consolas" w:hAnsi="Consolas"/>
                <w:color w:val="0E5D6E"/>
                <w:sz w:val="16"/>
              </w:rPr>
              <w:t>pyfunc</w:t>
            </w:r>
            <w:r>
              <w:rPr>
                <w:rFonts w:ascii="Georgia" w:hAnsi="Georgia"/>
                <w:color w:val="131B1E"/>
                <w:sz w:val="18"/>
              </w:rPr>
              <w:t>)</w:t>
            </w:r>
          </w:p>
        </w:tc>
        <w:tc>
          <w:tcPr>
            <w:tcW w:type="dxa" w:w="4680"/>
          </w:tcPr>
          <w:p>
            <w:pPr>
              <w:spacing w:after="40" w:line="264" w:lineRule="auto"/>
            </w:pPr>
            <w:r>
              <w:rPr>
                <w:rFonts w:ascii="Georgia" w:hAnsi="Georgia"/>
                <w:color w:val="131B1E"/>
                <w:sz w:val="18"/>
              </w:rPr>
              <w:t>Monitoring and drift detection</w:t>
            </w:r>
          </w:p>
        </w:tc>
      </w:tr>
      <w:tr>
        <w:tc>
          <w:tcPr>
            <w:tcW w:type="dxa" w:w="4680"/>
          </w:tcPr>
          <w:p>
            <w:pPr>
              <w:spacing w:after="40" w:line="264" w:lineRule="auto"/>
            </w:pPr>
            <w:r>
              <w:rPr>
                <w:rFonts w:ascii="Georgia" w:hAnsi="Georgia"/>
                <w:color w:val="131B1E"/>
                <w:sz w:val="18"/>
              </w:rPr>
              <w:t>Config-driven pipelines</w:t>
            </w:r>
          </w:p>
        </w:tc>
        <w:tc>
          <w:tcPr>
            <w:tcW w:type="dxa" w:w="4680"/>
          </w:tcPr>
          <w:p>
            <w:pPr>
              <w:spacing w:after="40" w:line="264" w:lineRule="auto"/>
            </w:pPr>
            <w:r>
              <w:rPr>
                <w:rFonts w:ascii="Georgia" w:hAnsi="Georgia"/>
                <w:color w:val="131B1E"/>
                <w:sz w:val="18"/>
              </w:rPr>
              <w:t>Feature stores</w:t>
            </w:r>
          </w:p>
        </w:tc>
      </w:tr>
      <w:tr>
        <w:tc>
          <w:tcPr>
            <w:tcW w:type="dxa" w:w="4680"/>
          </w:tcPr>
          <w:p>
            <w:pPr>
              <w:spacing w:after="40" w:line="264" w:lineRule="auto"/>
            </w:pPr>
            <w:r>
              <w:rPr>
                <w:rFonts w:ascii="Georgia" w:hAnsi="Georgia"/>
                <w:color w:val="131B1E"/>
                <w:sz w:val="18"/>
              </w:rPr>
              <w:t>Containerisation</w:t>
            </w:r>
          </w:p>
        </w:tc>
        <w:tc>
          <w:tcPr>
            <w:tcW w:type="dxa" w:w="4680"/>
          </w:tcPr>
          <w:p>
            <w:pPr>
              <w:spacing w:after="40" w:line="264" w:lineRule="auto"/>
            </w:pPr>
            <w:r>
              <w:rPr>
                <w:rFonts w:ascii="Georgia" w:hAnsi="Georgia"/>
                <w:color w:val="131B1E"/>
                <w:sz w:val="18"/>
              </w:rPr>
              <w:t>Distributed or streaming data</w:t>
            </w:r>
          </w:p>
        </w:tc>
      </w:tr>
      <w:tr>
        <w:tc>
          <w:tcPr>
            <w:tcW w:type="dxa" w:w="4680"/>
          </w:tcPr>
          <w:p>
            <w:pPr>
              <w:spacing w:after="40" w:line="264" w:lineRule="auto"/>
            </w:pPr>
            <w:r>
              <w:rPr>
                <w:rFonts w:ascii="Georgia" w:hAnsi="Georgia"/>
                <w:color w:val="131B1E"/>
                <w:sz w:val="18"/>
              </w:rPr>
              <w:t>Data contracts (pandera)</w:t>
            </w:r>
          </w:p>
        </w:tc>
        <w:tc>
          <w:tcPr>
            <w:tcW w:type="dxa" w:w="4680"/>
          </w:tcPr>
          <w:p>
            <w:pPr>
              <w:spacing w:after="40" w:line="264" w:lineRule="auto"/>
            </w:pPr>
            <w:r>
              <w:rPr>
                <w:rFonts w:ascii="Georgia" w:hAnsi="Georgia"/>
                <w:color w:val="131B1E"/>
                <w:sz w:val="18"/>
              </w:rPr>
              <w:t>Probabilistic forecasting</w:t>
            </w:r>
          </w:p>
        </w:tc>
      </w:tr>
      <w:tr>
        <w:tc>
          <w:tcPr>
            <w:tcW w:type="dxa" w:w="4680"/>
          </w:tcPr>
          <w:p>
            <w:pPr>
              <w:spacing w:after="40" w:line="264" w:lineRule="auto"/>
            </w:pPr>
            <w:r>
              <w:rPr>
                <w:rFonts w:ascii="Georgia" w:hAnsi="Georgia"/>
                <w:color w:val="131B1E"/>
                <w:sz w:val="18"/>
              </w:rPr>
              <w:t>Rolling-origin time-series validation</w:t>
            </w:r>
          </w:p>
        </w:tc>
        <w:tc>
          <w:tcPr>
            <w:tcW w:type="dxa" w:w="4680"/>
          </w:tcPr>
          <w:p>
            <w:pPr>
              <w:spacing w:after="40" w:line="264" w:lineRule="auto"/>
            </w:pPr>
            <w:r>
              <w:rPr>
                <w:rFonts w:ascii="Georgia" w:hAnsi="Georgia"/>
                <w:color w:val="131B1E"/>
                <w:sz w:val="18"/>
              </w:rPr>
              <w:t>Deep learning for time series</w:t>
            </w:r>
          </w:p>
        </w:tc>
      </w:tr>
      <w:tr>
        <w:tc>
          <w:tcPr>
            <w:tcW w:type="dxa" w:w="4680"/>
          </w:tcPr>
          <w:p>
            <w:pPr>
              <w:spacing w:after="40" w:line="264" w:lineRule="auto"/>
            </w:pPr>
            <w:r>
              <w:rPr>
                <w:rFonts w:ascii="Georgia" w:hAnsi="Georgia"/>
                <w:color w:val="131B1E"/>
                <w:sz w:val="18"/>
              </w:rPr>
              <w:t>Hyperparameter optimisation (Optuna)</w:t>
            </w:r>
          </w:p>
        </w:tc>
        <w:tc>
          <w:tcPr>
            <w:tcW w:type="dxa" w:w="4680"/>
          </w:tcPr>
          <w:p>
            <w:pPr>
              <w:spacing w:after="40" w:line="264" w:lineRule="auto"/>
            </w:pPr>
            <w:r>
              <w:rPr>
                <w:rFonts w:ascii="Georgia" w:hAnsi="Georgia"/>
                <w:color w:val="131B1E"/>
                <w:sz w:val="18"/>
              </w:rPr>
              <w:t>Multi-market / hourly scale</w:t>
            </w:r>
          </w:p>
        </w:tc>
      </w:tr>
      <w:tr>
        <w:tc>
          <w:tcPr>
            <w:tcW w:type="dxa" w:w="4680"/>
          </w:tcPr>
          <w:p>
            <w:pPr>
              <w:spacing w:after="40" w:line="264" w:lineRule="auto"/>
            </w:pPr>
            <w:r>
              <w:rPr>
                <w:rFonts w:ascii="Georgia" w:hAnsi="Georgia"/>
                <w:color w:val="131B1E"/>
                <w:sz w:val="18"/>
              </w:rPr>
              <w:t>Model explainability (SHAP)</w:t>
            </w:r>
          </w:p>
        </w:tc>
        <w:tc>
          <w:tcPr>
            <w:tcW w:type="dxa" w:w="4680"/>
          </w:tcPr>
          <w:p>
            <w:pPr>
              <w:spacing w:after="40" w:line="264" w:lineRule="auto"/>
            </w:pPr>
            <w:r>
              <w:rPr>
                <w:rFonts w:ascii="Georgia" w:hAnsi="Georgia"/>
                <w:color w:val="131B1E"/>
                <w:sz w:val="18"/>
              </w:rPr>
              <w:t>A/B testing or shadow deployment</w:t>
            </w:r>
          </w:p>
        </w:tc>
      </w:tr>
    </w:tbl>
    <w:p>
      <w:pPr>
        <w:spacing w:after="120"/>
      </w:pPr>
    </w:p>
    <w:p>
      <w:pPr>
        <w:spacing w:after="180" w:line="300" w:lineRule="auto"/>
      </w:pPr>
      <w:r>
        <w:rPr>
          <w:rFonts w:ascii="Georgia" w:hAnsi="Georgia"/>
          <w:color w:val="131B1E"/>
          <w:sz w:val="21"/>
        </w:rPr>
        <w:t>Tier 1 item 4 and Tier 3 item 10 close two of the right-hand entries. Claiming them before then is the kind of thing that unravels in a technical screen.</w:t>
      </w:r>
    </w:p>
    <w:p>
      <w:pPr>
        <w:spacing w:before="80" w:after="80"/>
        <w:pBdr>
          <w:bottom w:val="single" w:sz="6" w:space="1" w:color="CBD6D7"/>
        </w:pBdr>
      </w:pPr>
    </w:p>
    <w:p>
      <w:pPr>
        <w:keepNext/>
        <w:spacing w:before="400" w:after="120"/>
        <w:pBdr>
          <w:bottom w:val="single" w:sz="8" w:space="4" w:color="0E5D6E"/>
        </w:pBdr>
      </w:pPr>
      <w:r>
        <w:rPr>
          <w:rFonts w:ascii="Segoe UI" w:hAnsi="Segoe UI"/>
          <w:b/>
          <w:color w:val="0E5D6E"/>
          <w:sz w:val="31"/>
        </w:rPr>
        <w:t>6. Reference points worth knowing</w:t>
      </w:r>
    </w:p>
    <w:p>
      <w:pPr>
        <w:spacing w:after="180" w:line="300" w:lineRule="auto"/>
      </w:pPr>
      <w:r>
        <w:rPr>
          <w:rFonts w:ascii="Georgia" w:hAnsi="Georgia"/>
          <w:color w:val="131B1E"/>
          <w:sz w:val="21"/>
        </w:rPr>
        <w:t>If asked "how does your approach compare to the literature", these are the anchors:</w:t>
      </w:r>
    </w:p>
    <w:p>
      <w:pPr>
        <w:pStyle w:val="ListBullet"/>
        <w:spacing w:after="100" w:line="288" w:lineRule="auto"/>
      </w:pPr>
      <w:r>
        <w:rPr>
          <w:rFonts w:ascii="Georgia" w:hAnsi="Georgia"/>
          <w:b/>
          <w:color w:val="131B1E"/>
          <w:sz w:val="21"/>
        </w:rPr>
        <w:t>Weron, R. (2014)</w:t>
      </w:r>
      <w:r>
        <w:rPr>
          <w:rFonts w:ascii="Georgia" w:hAnsi="Georgia"/>
          <w:color w:val="131B1E"/>
          <w:sz w:val="21"/>
        </w:rPr>
        <w:t xml:space="preserve"> — </w:t>
      </w:r>
      <w:r>
        <w:rPr>
          <w:rFonts w:ascii="Georgia" w:hAnsi="Georgia"/>
          <w:i/>
          <w:color w:val="131B1E"/>
          <w:sz w:val="21"/>
        </w:rPr>
        <w:t>Electricity price forecasting: A review of the state-of-the-art with a look into the future.</w:t>
      </w:r>
      <w:r>
        <w:rPr>
          <w:rFonts w:ascii="Georgia" w:hAnsi="Georgia"/>
          <w:color w:val="131B1E"/>
          <w:sz w:val="21"/>
        </w:rPr>
        <w:t xml:space="preserve"> The canonical survey.</w:t>
      </w:r>
    </w:p>
    <w:p>
      <w:pPr>
        <w:pStyle w:val="ListBullet"/>
        <w:spacing w:after="100" w:line="288" w:lineRule="auto"/>
      </w:pPr>
      <w:r>
        <w:rPr>
          <w:rFonts w:ascii="Georgia" w:hAnsi="Georgia"/>
          <w:b/>
          <w:color w:val="131B1E"/>
          <w:sz w:val="21"/>
        </w:rPr>
        <w:t>Lago, De Ridder, De Schutter (2021)</w:t>
      </w:r>
      <w:r>
        <w:rPr>
          <w:rFonts w:ascii="Georgia" w:hAnsi="Georgia"/>
          <w:color w:val="131B1E"/>
          <w:sz w:val="21"/>
        </w:rPr>
        <w:t xml:space="preserve"> — </w:t>
      </w:r>
      <w:r>
        <w:rPr>
          <w:rFonts w:ascii="Georgia" w:hAnsi="Georgia"/>
          <w:i/>
          <w:color w:val="131B1E"/>
          <w:sz w:val="21"/>
        </w:rPr>
        <w:t>Forecasting day-ahead electricity prices: A review of state-of-the-art algorithms, best practices and an open-access benchmark.</w:t>
      </w:r>
      <w:r>
        <w:rPr>
          <w:rFonts w:ascii="Georgia" w:hAnsi="Georgia"/>
          <w:color w:val="131B1E"/>
          <w:sz w:val="21"/>
        </w:rPr>
        <w:t xml:space="preserve"> Establishes LEAR and DNN as the reference models across six markets, and the Diebold-Mariano test as the standard for significance between forecasts.</w:t>
      </w:r>
    </w:p>
    <w:p>
      <w:pPr>
        <w:pStyle w:val="ListBullet"/>
        <w:spacing w:after="100" w:line="288" w:lineRule="auto"/>
      </w:pPr>
      <w:r>
        <w:rPr>
          <w:rFonts w:ascii="Georgia" w:hAnsi="Georgia"/>
          <w:b/>
          <w:color w:val="131B1E"/>
          <w:sz w:val="21"/>
        </w:rPr>
        <w:t>Nowotarski and Weron (2018)</w:t>
      </w:r>
      <w:r>
        <w:rPr>
          <w:rFonts w:ascii="Georgia" w:hAnsi="Georgia"/>
          <w:color w:val="131B1E"/>
          <w:sz w:val="21"/>
        </w:rPr>
        <w:t xml:space="preserve"> — probabilistic electricity price forecasting; why point forecasts are insufficient.</w:t>
      </w:r>
    </w:p>
    <w:p>
      <w:pPr>
        <w:pStyle w:val="ListBullet"/>
        <w:spacing w:after="100" w:line="288" w:lineRule="auto"/>
      </w:pPr>
      <w:r>
        <w:rPr>
          <w:rFonts w:ascii="Georgia" w:hAnsi="Georgia"/>
          <w:b/>
          <w:color w:val="131B1E"/>
          <w:sz w:val="21"/>
        </w:rPr>
        <w:t>GEFCom 2014 / 2017</w:t>
      </w:r>
      <w:r>
        <w:rPr>
          <w:rFonts w:ascii="Georgia" w:hAnsi="Georgia"/>
          <w:color w:val="131B1E"/>
          <w:sz w:val="21"/>
        </w:rPr>
        <w:t xml:space="preserve"> — the competitions that made probabilistic energy forecasting standard practice.</w:t>
      </w:r>
    </w:p>
    <w:p>
      <w:pPr>
        <w:spacing w:after="180" w:line="300" w:lineRule="auto"/>
      </w:pPr>
      <w:r>
        <w:rPr>
          <w:rFonts w:ascii="Georgia" w:hAnsi="Georgia"/>
          <w:color w:val="131B1E"/>
          <w:sz w:val="21"/>
        </w:rPr>
        <w:t>Two concrete gaps against that literature, both already noted above: no autoregressive price terms, and no significance testing between competing forecasts. Adding a Diebold-Mariano test between XGBoost and ElasticNet is a half-day of work and directly addresses the second.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31B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