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4A00"/>
          <w:sz w:val="18"/>
        </w:rPr>
        <w:t>TEMPLATE DRAFT — not legal advice. Please have qualified counsel review before signature.</w:t>
      </w:r>
    </w:p>
    <w:p>
      <w:pPr>
        <w:pStyle w:val="Title"/>
        <w:jc w:val="center"/>
      </w:pPr>
      <w:r>
        <w:rPr>
          <w:color w:val="174A8B"/>
        </w:rPr>
        <w:t>MUTUAL NON-DISCLOSURE AGREEMENT</w:t>
      </w:r>
    </w:p>
    <w:p>
      <w:pPr>
        <w:jc w:val="center"/>
      </w:pPr>
      <w:r>
        <w:rPr>
          <w:i/>
          <w:sz w:val="20"/>
        </w:rPr>
        <w:t>Beacon AI Labs Pvt. Ltd. ↔ Acme Corp  |  Governed by Republic of India</w:t>
      </w:r>
    </w:p>
    <w:p/>
    <w:p>
      <w:pPr>
        <w:pStyle w:val="Heading2"/>
      </w:pPr>
      <w:r>
        <w:rPr>
          <w:color w:val="174A8B"/>
        </w:rPr>
        <w:t>1. Parties &amp; Effective Date</w:t>
      </w:r>
    </w:p>
    <w:p>
      <w:r>
        <w:t>This Non-Disclosure Agreement (the "Agreement") is made effective on 19 April 2026 between Beacon AI Labs Pvt. Ltd. ("Disclosing Party") and Acme Corp ("Receiving Party"). Together, they are the "Parties". The confidentiality obligations set out below apply mutually.</w:t>
      </w:r>
    </w:p>
    <w:p>
      <w:pPr>
        <w:pStyle w:val="Heading2"/>
      </w:pPr>
      <w:r>
        <w:rPr>
          <w:color w:val="174A8B"/>
        </w:rPr>
        <w:t>2. Purpose</w:t>
      </w:r>
    </w:p>
    <w:p>
      <w:r>
        <w:t>The Parties intend to share Confidential Information solely for the purpose of evaluating a potential business relationship and associated commercial terms (the "Purpose") and for no other reason without prior written consent.</w:t>
      </w:r>
    </w:p>
    <w:p>
      <w:pPr>
        <w:pStyle w:val="Heading2"/>
      </w:pPr>
      <w:r>
        <w:rPr>
          <w:color w:val="174A8B"/>
        </w:rPr>
        <w:t>3. Confidential Information</w:t>
      </w:r>
    </w:p>
    <w:p>
      <w:r>
        <w:t>"Confidential Information" means all non-public information disclosed by one Party to the other, whether orally, in writing, or by observation, that is either marked as confidential or that a reasonable person would understand to be confidential. This includes, without limitation, product roadmaps, pricing, source code, customer lists, commercial terms, and know-how.</w:t>
      </w:r>
    </w:p>
    <w:p>
      <w:pPr>
        <w:pStyle w:val="Heading2"/>
      </w:pPr>
      <w:r>
        <w:rPr>
          <w:color w:val="174A8B"/>
        </w:rPr>
        <w:t>4. Obligations</w:t>
      </w:r>
    </w:p>
    <w:p>
      <w:r>
        <w:t>The Receiving Party shall (a) hold the Confidential Information in strict confidence, (b) use it only for the Purpose, (c) limit access to employees and advisors who have a genuine need to know and who are bound by confidentiality obligations no less protective than those herein, and (d) protect it using at least the same degree of care it uses for its own confidential information (and in no event less than a reasonable standard).</w:t>
      </w:r>
    </w:p>
    <w:p>
      <w:pPr>
        <w:pStyle w:val="Heading2"/>
      </w:pPr>
      <w:r>
        <w:rPr>
          <w:color w:val="174A8B"/>
        </w:rPr>
        <w:t>5. Exclusions</w:t>
      </w:r>
    </w:p>
    <w:p>
      <w:r>
        <w:t>The obligations in Clause 4 do not apply to information that (a) is or becomes publicly known through no fault of the Receiving Party, (b) was lawfully known to the Receiving Party before disclosure, (c) is independently developed without reference to the Confidential Information, or (d) is rightfully obtained from a third party without restriction.</w:t>
      </w:r>
    </w:p>
    <w:p>
      <w:pPr>
        <w:pStyle w:val="Heading2"/>
      </w:pPr>
      <w:r>
        <w:rPr>
          <w:color w:val="174A8B"/>
        </w:rPr>
        <w:t>6. Required Disclosure</w:t>
      </w:r>
    </w:p>
    <w:p>
      <w:r>
        <w:t>If the Receiving Party is compelled by law, regulation, or court order to disclose any Confidential Information, it shall (where legally permitted) give the Disclosing Party prompt prior notice so the Disclosing Party may seek a protective order or other appropriate remedy, and shall disclose only the minimum information required.</w:t>
      </w:r>
    </w:p>
    <w:p>
      <w:pPr>
        <w:pStyle w:val="Heading2"/>
      </w:pPr>
      <w:r>
        <w:rPr>
          <w:color w:val="174A8B"/>
        </w:rPr>
        <w:t>7. Term &amp; Return of Materials</w:t>
      </w:r>
    </w:p>
    <w:p>
      <w:r>
        <w:t>This Agreement remains in force for 2 years from the Effective Date. The confidentiality obligations survive expiry for a further three (3) years. On written request or upon termination, the Receiving Party shall promptly return or destroy all Confidential Information in its possession, subject to routine backup retention.</w:t>
      </w:r>
    </w:p>
    <w:p>
      <w:pPr>
        <w:pStyle w:val="Heading2"/>
      </w:pPr>
      <w:r>
        <w:rPr>
          <w:color w:val="174A8B"/>
        </w:rPr>
        <w:t>8. No Licence</w:t>
      </w:r>
    </w:p>
    <w:p>
      <w:r>
        <w:t>No licence or right (express or implied) is granted under any patent, copyright, trade mark, or other intellectual property right by this Agreement. All Confidential Information remains the property of the Disclosing Party.</w:t>
      </w:r>
    </w:p>
    <w:p>
      <w:pPr>
        <w:pStyle w:val="Heading2"/>
      </w:pPr>
      <w:r>
        <w:rPr>
          <w:color w:val="174A8B"/>
        </w:rPr>
        <w:t>9. Remedies</w:t>
      </w:r>
    </w:p>
    <w:p>
      <w:r>
        <w:t>The Parties acknowledge that money damages may be insufficient to remedy a breach and that the Disclosing Party is entitled to seek injunctive relief in addition to any other remedies available at law or in equity.</w:t>
      </w:r>
    </w:p>
    <w:p>
      <w:pPr>
        <w:pStyle w:val="Heading2"/>
      </w:pPr>
      <w:r>
        <w:rPr>
          <w:color w:val="174A8B"/>
        </w:rPr>
        <w:t>10. Data Protection</w:t>
      </w:r>
    </w:p>
    <w:p>
      <w:r>
        <w:t>Each party shall comply with the Digital Personal Data Protection Act, 2023 and any applicable rules in its processing of personal data exchanged under this Agreement.</w:t>
      </w:r>
    </w:p>
    <w:p>
      <w:pPr>
        <w:pStyle w:val="Heading2"/>
      </w:pPr>
      <w:r>
        <w:rPr>
          <w:color w:val="174A8B"/>
        </w:rPr>
        <w:t>11. Governing Law</w:t>
      </w:r>
    </w:p>
    <w:p>
      <w:r>
        <w:t>This Agreement is governed by and construed in accordance with the laws of the Republic of India, without regard to its conflict-of-laws principles.</w:t>
      </w:r>
    </w:p>
    <w:p>
      <w:pPr>
        <w:pStyle w:val="Heading2"/>
      </w:pPr>
      <w:r>
        <w:rPr>
          <w:color w:val="174A8B"/>
        </w:rPr>
        <w:t>12. Dispute Resolution</w:t>
      </w:r>
    </w:p>
    <w:p>
      <w:r>
        <w:t>Any dispute arising out of or in connection with this Agreement shall be referred to and finally resolved by arbitration under the Arbitration and Conciliation Act, 1996. The seat of arbitration shall be Mumbai, and the language shall be English. The courts at Mumbai shall have exclusive jurisdiction for any interim or ancillary relief.</w:t>
      </w:r>
    </w:p>
    <w:p>
      <w:pPr>
        <w:pStyle w:val="Heading2"/>
      </w:pPr>
      <w:r>
        <w:rPr>
          <w:color w:val="174A8B"/>
        </w:rPr>
        <w:t>13. General</w:t>
      </w:r>
    </w:p>
    <w:p>
      <w:r>
        <w:t>This Agreement contains the entire agreement between the Parties on its subject matter and supersedes all prior communications. No amendment is effective unless in writing and signed by both Parties. If any provision is held unenforceable, the remainder shall continue in full force. This Agreement may be executed in counterparts, including by electronic signature.</w:t>
      </w:r>
    </w:p>
    <w:p/>
    <w:tbl>
      <w:tblPr>
        <w:tblStyle w:val="LightGrid-Accent1"/>
        <w:tblW w:type="auto" w:w="0"/>
        <w:tblLook w:firstColumn="1" w:firstRow="1" w:lastColumn="0" w:lastRow="0" w:noHBand="0" w:noVBand="1" w:val="04A0"/>
      </w:tblPr>
      <w:tblGrid>
        <w:gridCol w:w="4320"/>
        <w:gridCol w:w="4320"/>
      </w:tblGrid>
      <w:tr>
        <w:tc>
          <w:tcPr>
            <w:tcW w:type="dxa" w:w="4320"/>
          </w:tcPr>
          <w:p>
            <w:r>
              <w:t>For and on behalf of</w:t>
              <w:br/>
              <w:t>Beacon AI Labs Pvt. Ltd.</w:t>
              <w:br/>
              <w:br/>
              <w:t>______________________</w:t>
              <w:br/>
              <w:t>Name:</w:t>
              <w:br/>
              <w:t>Title:</w:t>
              <w:br/>
              <w:t>Date:</w:t>
            </w:r>
          </w:p>
        </w:tc>
        <w:tc>
          <w:tcPr>
            <w:tcW w:type="dxa" w:w="4320"/>
          </w:tcPr>
          <w:p>
            <w:r>
              <w:t>For and on behalf of</w:t>
              <w:br/>
              <w:t>Acme Corp</w:t>
              <w:br/>
              <w:br/>
              <w:t>______________________</w:t>
              <w:br/>
              <w:t>Name:</w:t>
              <w:br/>
              <w:t>Title:</w:t>
              <w:br/>
              <w:t>Date:</w:t>
            </w:r>
          </w:p>
        </w:tc>
      </w:tr>
    </w:tbl>
    <w:p>
      <w:r>
        <w:rPr>
          <w:i/>
          <w:color w:val="8A8A8A"/>
          <w:sz w:val="18"/>
        </w:rPr>
        <w:br/>
        <w:t>Generated by Zippy on 19 Apr 2026 14:44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