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jc w:val="center"/>
      </w:pPr>
      <w:r>
        <w:rPr>
          <w:rFonts w:ascii="Times New Roman" w:cs="Times New Roman" w:eastAsia="Times New Roman" w:hAnsi="Times New Roman"/>
          <w:b/>
          <w:bCs/>
          <w:sz w:val="36"/>
          <w:szCs w:val="36"/>
        </w:rPr>
        <w:t xml:space="preserve">Operational Forecasting of Migrant Care Pipelines: A Hybrid Prophet and Gradient-Boosting Approach Applied to the HHS Unaccompanied Alien Children Program</w:t>
      </w:r>
    </w:p>
    <w:p>
      <w:pPr>
        <w:spacing w:after="120"/>
        <w:jc w:val="center"/>
      </w:pPr>
      <w:r>
        <w:rPr>
          <w:rFonts w:ascii="Times New Roman" w:cs="Times New Roman" w:eastAsia="Times New Roman" w:hAnsi="Times New Roman"/>
          <w:sz w:val="22"/>
          <w:szCs w:val="22"/>
        </w:rPr>
        <w:t xml:space="preserve">Nikhil [Last Name]</w:t>
      </w:r>
    </w:p>
    <w:p>
      <w:pPr>
        <w:spacing w:after="240"/>
        <w:jc w:val="center"/>
      </w:pPr>
      <w:r>
        <w:rPr>
          <w:rFonts w:ascii="Times New Roman" w:cs="Times New Roman" w:eastAsia="Times New Roman" w:hAnsi="Times New Roman"/>
          <w:i/>
          <w:iCs/>
          <w:sz w:val="20"/>
          <w:szCs w:val="20"/>
        </w:rPr>
        <w:t xml:space="preserve">Department of Computer Science and Engineering</w:t>
      </w:r>
    </w:p>
    <w:p>
      <w:pPr>
        <w:spacing w:after="240"/>
        <w:jc w:val="center"/>
      </w:pPr>
      <w:r>
        <w:rPr>
          <w:rFonts w:ascii="Times New Roman" w:cs="Times New Roman" w:eastAsia="Times New Roman" w:hAnsi="Times New Roman"/>
          <w:i/>
          <w:iCs/>
          <w:sz w:val="20"/>
          <w:szCs w:val="20"/>
        </w:rPr>
        <w:t xml:space="preserve">[Your University Name], [City], India</w:t>
      </w:r>
    </w:p>
    <w:p>
      <w:pPr>
        <w:spacing w:after="240"/>
        <w:jc w:val="center"/>
      </w:pPr>
      <w:r>
        <w:rPr>
          <w:rFonts w:ascii="Times New Roman" w:cs="Times New Roman" w:eastAsia="Times New Roman" w:hAnsi="Times New Roman"/>
          <w:i/>
          <w:iCs/>
          <w:sz w:val="20"/>
          <w:szCs w:val="20"/>
        </w:rPr>
        <w:t xml:space="preserve">Email: nikhil@example.com</w:t>
      </w:r>
    </w:p>
    <w:p>
      <w:pPr>
        <w:spacing w:after="120" w:line="2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 Government-administered humanitarian care pipelines are characterized by high operational stakes and limited published analytics. This paper presents an end-to-end forecasting and operational-health analytics framework for the United States Department of Health and Human Services (HHS) Unaccompanied Alien Children (UAC) Program. Using publicly released daily counts spanning the CBP intake → CBP custody → transfer → HHS care → discharge pipeline, we engineer a domain-specific feature set, derive operational key performance indicators (KPIs) including a composite pressure index and a stability score, and build two complementary forecasting models: (i) a Prophet additive-decomposition model that captures weekly and yearly seasonality, and (ii) a supervised regression model in which Random Forest and XGBoost are tuned via grid search with time-series cross-validation. The winning model is selected on a 90-day held-out test window using mean absolute error (MAE). The framework is deployed as an interactive Streamlit dashboard exposing historical KPIs, a 30-day forecast with confidence bands, model-validation diagnostics, and a downloadable insights report. The paper contributes (a) a reproducible operational-analytics pipeline for migrant-care logistics, (b) an interpretable pressure-index formulation that combines load, volatility, and discharge throughput, and (c) a comparative evaluation methodology suitable for short-horizon government operational forecasting.</w:t>
      </w:r>
    </w:p>
    <w:p>
      <w:pPr>
        <w:spacing w:after="240" w:line="2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 time-series forecasting, Prophet, Random Forest, XGBoost, operational analytics, unaccompanied minors, government data, Streamlit, GridSearchCV, TimeSeriesSplit</w:t>
      </w:r>
    </w:p>
    <w:p>
      <w:pPr>
        <w:pStyle w:val="Heading1"/>
        <w:spacing w:after="120" w:before="240"/>
      </w:pPr>
      <w:r>
        <w:rPr>
          <w:rFonts w:ascii="Times New Roman" w:cs="Times New Roman" w:eastAsia="Times New Roman" w:hAnsi="Times New Roman"/>
          <w:b/>
          <w:bCs/>
          <w:sz w:val="22"/>
          <w:szCs w:val="22"/>
        </w:rPr>
        <w:t xml:space="preserve">I. INTRODUCTION</w:t>
      </w:r>
    </w:p>
    <w:p>
      <w:pPr>
        <w:spacing w:after="120" w:line="280"/>
        <w:jc w:val="both"/>
      </w:pPr>
      <w:r>
        <w:rPr>
          <w:rFonts w:ascii="Times New Roman" w:cs="Times New Roman" w:eastAsia="Times New Roman" w:hAnsi="Times New Roman"/>
          <w:sz w:val="20"/>
          <w:szCs w:val="20"/>
        </w:rPr>
        <w:t xml:space="preserve">The United States Department of Health and Human Services (HHS), through its Office of Refugee Resettlement (ORR), is statutorily responsible for the care of unaccompanied alien children (UAC) referred by U.S. Customs and Border Protection (CBP). The operational pipeline—intake by CBP, transfer to HHS shelters, custodial care, and eventual discharge to vetted sponsors—is high-volume, politically salient, and capacity-constrained. Operational disruptions at any single stage propagate downstream and produce backlog, which is reflected in publicly released daily counts.</w:t>
      </w:r>
    </w:p>
    <w:p>
      <w:pPr>
        <w:spacing w:after="120" w:line="280"/>
        <w:jc w:val="both"/>
      </w:pPr>
      <w:r>
        <w:rPr>
          <w:rFonts w:ascii="Times New Roman" w:cs="Times New Roman" w:eastAsia="Times New Roman" w:hAnsi="Times New Roman"/>
          <w:sz w:val="20"/>
          <w:szCs w:val="20"/>
        </w:rPr>
        <w:t xml:space="preserve">Despite the availability of these counts as open government data, peer-reviewed forecasting work on this specific pipeline is limited. Most public discussion is descriptive and retrospective. This work addresses that gap by treating the pipeline as a multi-stage time series and applying modern forecasting techniques to produce short-horizon predictions and operational-health indicators.</w:t>
      </w:r>
    </w:p>
    <w:p>
      <w:pPr>
        <w:spacing w:after="120" w:line="280"/>
        <w:jc w:val="both"/>
      </w:pPr>
      <w:r>
        <w:rPr>
          <w:rFonts w:ascii="Times New Roman" w:cs="Times New Roman" w:eastAsia="Times New Roman" w:hAnsi="Times New Roman"/>
          <w:sz w:val="20"/>
          <w:szCs w:val="20"/>
        </w:rPr>
        <w:t xml:space="preserve">The contributions of this paper are threefold. First, we propose a domain-grounded feature engineering pipeline that converts raw daily counts into operationally interpretable KPIs—discharge ratio, cumulative backlog, pressure index, stability score, and bottleneck classification. Second, we compare two forecasting paradigms: an additive decomposition model (Prophet) and a supervised lag-based regression model with gradient-boosted and random-forest implementations, tuned with time-series-aware cross-validation. Third, we deliver a fully interactive Streamlit dashboard and an auto-generated insights report, making the framework reusable for operational stakeholders without ML expertise.</w:t>
      </w:r>
    </w:p>
    <w:p>
      <w:pPr>
        <w:pStyle w:val="Heading1"/>
        <w:spacing w:after="120" w:before="240"/>
      </w:pPr>
      <w:r>
        <w:rPr>
          <w:rFonts w:ascii="Times New Roman" w:cs="Times New Roman" w:eastAsia="Times New Roman" w:hAnsi="Times New Roman"/>
          <w:b/>
          <w:bCs/>
          <w:sz w:val="22"/>
          <w:szCs w:val="22"/>
        </w:rPr>
        <w:t xml:space="preserve">II. RELATED WORK</w:t>
      </w:r>
    </w:p>
    <w:p>
      <w:pPr>
        <w:spacing w:after="120" w:line="280"/>
        <w:jc w:val="both"/>
      </w:pPr>
      <w:r>
        <w:rPr>
          <w:rFonts w:ascii="Times New Roman" w:cs="Times New Roman" w:eastAsia="Times New Roman" w:hAnsi="Times New Roman"/>
          <w:sz w:val="20"/>
          <w:szCs w:val="20"/>
        </w:rPr>
        <w:t xml:space="preserve">Time-series forecasting in operational and policy settings has a long lineage. Classical ARIMA-family methods [1] remain widely used baselines, but suffer when seasonalities are multiple and overlapping. Prophet [2], introduced by Taylor and Letham at Facebook, addresses this by decomposing a series into trend, seasonality, and holiday components with weakly informative priors, and is well-suited to business and operational series with weekly and yearly cycles.</w:t>
      </w:r>
    </w:p>
    <w:p>
      <w:pPr>
        <w:spacing w:after="120" w:line="280"/>
        <w:jc w:val="both"/>
      </w:pPr>
      <w:r>
        <w:rPr>
          <w:rFonts w:ascii="Times New Roman" w:cs="Times New Roman" w:eastAsia="Times New Roman" w:hAnsi="Times New Roman"/>
          <w:sz w:val="20"/>
          <w:szCs w:val="20"/>
        </w:rPr>
        <w:t xml:space="preserve">Tree-based ensemble methods—Random Forest [3] and gradient-boosted trees, most notably XGBoost [4]—have repeatedly demonstrated state-of-the-art performance in tabular forecasting competitions when supplied with appropriate lag and rolling features. The M4 and M5 forecasting competitions [5] showed that hybrid and ensemble approaches frequently outperform single-paradigm models.</w:t>
      </w:r>
    </w:p>
    <w:p>
      <w:pPr>
        <w:spacing w:after="120" w:line="280"/>
        <w:jc w:val="both"/>
      </w:pPr>
      <w:r>
        <w:rPr>
          <w:rFonts w:ascii="Times New Roman" w:cs="Times New Roman" w:eastAsia="Times New Roman" w:hAnsi="Times New Roman"/>
          <w:sz w:val="20"/>
          <w:szCs w:val="20"/>
        </w:rPr>
        <w:t xml:space="preserve">In the public-administration domain, forecasting has been applied to emergency department admissions, shelter occupancy, and asylum-seeker flows [6], [7]. However, peer-reviewed analytics specific to the HHS UAC pipeline are scarce. This work extends the operational-forecasting literature to that domain and contributes interpretable composite indicators suitable for non-technical decision-makers.</w:t>
      </w:r>
    </w:p>
    <w:p>
      <w:pPr>
        <w:pStyle w:val="Heading1"/>
        <w:spacing w:after="120" w:before="240"/>
      </w:pPr>
      <w:r>
        <w:rPr>
          <w:rFonts w:ascii="Times New Roman" w:cs="Times New Roman" w:eastAsia="Times New Roman" w:hAnsi="Times New Roman"/>
          <w:b/>
          <w:bCs/>
          <w:sz w:val="22"/>
          <w:szCs w:val="22"/>
        </w:rPr>
        <w:t xml:space="preserve">III. DATASET</w:t>
      </w:r>
    </w:p>
    <w:p>
      <w:pPr>
        <w:spacing w:after="120" w:line="280"/>
        <w:jc w:val="both"/>
      </w:pPr>
      <w:r>
        <w:rPr>
          <w:rFonts w:ascii="Times New Roman" w:cs="Times New Roman" w:eastAsia="Times New Roman" w:hAnsi="Times New Roman"/>
          <w:sz w:val="20"/>
          <w:szCs w:val="20"/>
        </w:rPr>
        <w:t xml:space="preserve">The dataset is drawn from the publicly released HHS “Unaccompanied Alien Children Program” daily-counts file. Each record corresponds to one calendar day and contains the following measurements: children apprehended and placed in CBP custody (cbp_intake), children currently in CBP custody (cbp_custody), children transferred out of CBP custody to HHS (transfers), children in HHS care (hhs_care), and children discharged from HHS care (discharges).</w:t>
      </w:r>
    </w:p>
    <w:p>
      <w:pPr>
        <w:spacing w:after="120" w:line="280"/>
        <w:jc w:val="both"/>
      </w:pPr>
      <w:r>
        <w:rPr>
          <w:rFonts w:ascii="Times New Roman" w:cs="Times New Roman" w:eastAsia="Times New Roman" w:hAnsi="Times New Roman"/>
          <w:sz w:val="20"/>
          <w:szCs w:val="20"/>
        </w:rPr>
        <w:t xml:space="preserve">The data are reported as integer counts. The dataset spans multiple years, includes occasional reporting gaps, and exhibits both weekly and annual seasonal patterns. Specifically, weekly seasonality reflects administrative working-week effects in transfer and discharge throughput, while yearly seasonality reflects migration cycles.</w:t>
      </w:r>
    </w:p>
    <w:p>
      <w:pPr>
        <w:pStyle w:val="Heading1"/>
        <w:spacing w:after="120" w:before="240"/>
      </w:pPr>
      <w:r>
        <w:rPr>
          <w:rFonts w:ascii="Times New Roman" w:cs="Times New Roman" w:eastAsia="Times New Roman" w:hAnsi="Times New Roman"/>
          <w:b/>
          <w:bCs/>
          <w:sz w:val="22"/>
          <w:szCs w:val="22"/>
        </w:rPr>
        <w:t xml:space="preserve">IV. METHODOLOGY</w:t>
      </w:r>
    </w:p>
    <w:p>
      <w:pPr>
        <w:pStyle w:val="Heading2"/>
        <w:spacing w:after="100" w:before="180"/>
      </w:pPr>
      <w:r>
        <w:rPr>
          <w:rFonts w:ascii="Times New Roman" w:cs="Times New Roman" w:eastAsia="Times New Roman" w:hAnsi="Times New Roman"/>
          <w:b/>
          <w:bCs/>
          <w:i/>
          <w:iCs/>
          <w:sz w:val="22"/>
          <w:szCs w:val="22"/>
        </w:rPr>
        <w:t xml:space="preserve">A. Preprocessing</w:t>
      </w:r>
    </w:p>
    <w:p>
      <w:pPr>
        <w:spacing w:after="120" w:line="280"/>
        <w:jc w:val="both"/>
      </w:pPr>
      <w:r>
        <w:rPr>
          <w:rFonts w:ascii="Times New Roman" w:cs="Times New Roman" w:eastAsia="Times New Roman" w:hAnsi="Times New Roman"/>
          <w:sz w:val="20"/>
          <w:szCs w:val="20"/>
        </w:rPr>
        <w:t xml:space="preserve">Raw CSV data are loaded with pandas. Column names are normalized to lower_snake_case. The Date column is parsed to a datetime index; the series is reindexed to a daily frequency to expose any missing dates, and gaps are imputed by forward-fill followed by backward-fill, preserving level continuity without introducing implausible spikes. Numeric columns are coerced from string-with-comma representations.</w:t>
      </w:r>
    </w:p>
    <w:p>
      <w:pPr>
        <w:spacing w:after="120" w:line="280"/>
        <w:jc w:val="both"/>
      </w:pPr>
      <w:r>
        <w:rPr>
          <w:rFonts w:ascii="Times New Roman" w:cs="Times New Roman" w:eastAsia="Times New Roman" w:hAnsi="Times New Roman"/>
          <w:sz w:val="20"/>
          <w:szCs w:val="20"/>
        </w:rPr>
        <w:t xml:space="preserve">Two derived stock-and-flow variables are computed at this stage:</w:t>
      </w:r>
    </w:p>
    <w:p>
      <w:pPr>
        <w:pStyle w:val="ListParagraph"/>
        <w:numPr>
          <w:ilvl w:val="0"/>
          <w:numId w:val="2"/>
        </w:numPr>
        <w:spacing w:after="80" w:line="260"/>
      </w:pPr>
      <w:r>
        <w:rPr>
          <w:rFonts w:ascii="Times New Roman" w:cs="Times New Roman" w:eastAsia="Times New Roman" w:hAnsi="Times New Roman"/>
          <w:sz w:val="20"/>
          <w:szCs w:val="20"/>
        </w:rPr>
        <w:t xml:space="preserve">total_load = cbp_custody + hhs_care, capturing total in-system population.</w:t>
      </w:r>
    </w:p>
    <w:p>
      <w:pPr>
        <w:pStyle w:val="ListParagraph"/>
        <w:numPr>
          <w:ilvl w:val="0"/>
          <w:numId w:val="2"/>
        </w:numPr>
        <w:spacing w:after="80" w:line="260"/>
      </w:pPr>
      <w:r>
        <w:rPr>
          <w:rFonts w:ascii="Times New Roman" w:cs="Times New Roman" w:eastAsia="Times New Roman" w:hAnsi="Times New Roman"/>
          <w:sz w:val="20"/>
          <w:szCs w:val="20"/>
        </w:rPr>
        <w:t xml:space="preserve">net_intake = transfers − discharges, capturing per-day net flow into HHS care.</w:t>
      </w:r>
    </w:p>
    <w:p>
      <w:pPr>
        <w:pStyle w:val="Heading2"/>
        <w:spacing w:after="100" w:before="180"/>
      </w:pPr>
      <w:r>
        <w:rPr>
          <w:rFonts w:ascii="Times New Roman" w:cs="Times New Roman" w:eastAsia="Times New Roman" w:hAnsi="Times New Roman"/>
          <w:b/>
          <w:bCs/>
          <w:i/>
          <w:iCs/>
          <w:sz w:val="22"/>
          <w:szCs w:val="22"/>
        </w:rPr>
        <w:t xml:space="preserve">B. Feature Engineering</w:t>
      </w:r>
    </w:p>
    <w:p>
      <w:pPr>
        <w:spacing w:after="120" w:line="280"/>
        <w:jc w:val="both"/>
      </w:pPr>
      <w:r>
        <w:rPr>
          <w:rFonts w:ascii="Times New Roman" w:cs="Times New Roman" w:eastAsia="Times New Roman" w:hAnsi="Times New Roman"/>
          <w:sz w:val="20"/>
          <w:szCs w:val="20"/>
        </w:rPr>
        <w:t xml:space="preserve">Six features are derived to support both diagnostic visualisation and supervised learning:</w:t>
      </w:r>
    </w:p>
    <w:p>
      <w:pPr>
        <w:pStyle w:val="ListParagraph"/>
        <w:numPr>
          <w:ilvl w:val="0"/>
          <w:numId w:val="2"/>
        </w:numPr>
        <w:spacing w:after="80" w:line="260"/>
      </w:pPr>
      <w:r>
        <w:rPr>
          <w:rFonts w:ascii="Times New Roman" w:cs="Times New Roman" w:eastAsia="Times New Roman" w:hAnsi="Times New Roman"/>
          <w:sz w:val="20"/>
          <w:szCs w:val="20"/>
        </w:rPr>
        <w:t xml:space="preserve">rolling_7 and rolling_14: trailing 7- and 14-day moving averages of total_load, capturing short-term level.</w:t>
      </w:r>
    </w:p>
    <w:p>
      <w:pPr>
        <w:pStyle w:val="ListParagraph"/>
        <w:numPr>
          <w:ilvl w:val="0"/>
          <w:numId w:val="2"/>
        </w:numPr>
        <w:spacing w:after="80" w:line="260"/>
      </w:pPr>
      <w:r>
        <w:rPr>
          <w:rFonts w:ascii="Times New Roman" w:cs="Times New Roman" w:eastAsia="Times New Roman" w:hAnsi="Times New Roman"/>
          <w:sz w:val="20"/>
          <w:szCs w:val="20"/>
        </w:rPr>
        <w:t xml:space="preserve">growth_rate: day-over-day percent change in total_load.</w:t>
      </w:r>
    </w:p>
    <w:p>
      <w:pPr>
        <w:pStyle w:val="ListParagraph"/>
        <w:numPr>
          <w:ilvl w:val="0"/>
          <w:numId w:val="2"/>
        </w:numPr>
        <w:spacing w:after="80" w:line="260"/>
      </w:pPr>
      <w:r>
        <w:rPr>
          <w:rFonts w:ascii="Times New Roman" w:cs="Times New Roman" w:eastAsia="Times New Roman" w:hAnsi="Times New Roman"/>
          <w:sz w:val="20"/>
          <w:szCs w:val="20"/>
        </w:rPr>
        <w:t xml:space="preserve">volatility: 7-day rolling standard deviation of total_load.</w:t>
      </w:r>
    </w:p>
    <w:p>
      <w:pPr>
        <w:pStyle w:val="ListParagraph"/>
        <w:numPr>
          <w:ilvl w:val="0"/>
          <w:numId w:val="2"/>
        </w:numPr>
        <w:spacing w:after="80" w:line="260"/>
      </w:pPr>
      <w:r>
        <w:rPr>
          <w:rFonts w:ascii="Times New Roman" w:cs="Times New Roman" w:eastAsia="Times New Roman" w:hAnsi="Times New Roman"/>
          <w:sz w:val="20"/>
          <w:szCs w:val="20"/>
        </w:rPr>
        <w:t xml:space="preserve">stress_flag: binary indicator set to 1 when total_load exceeds its 90th percentile OR volatility exceeds its 90th percentile.</w:t>
      </w:r>
    </w:p>
    <w:p>
      <w:pPr>
        <w:pStyle w:val="Heading2"/>
        <w:spacing w:after="100" w:before="180"/>
      </w:pPr>
      <w:r>
        <w:rPr>
          <w:rFonts w:ascii="Times New Roman" w:cs="Times New Roman" w:eastAsia="Times New Roman" w:hAnsi="Times New Roman"/>
          <w:b/>
          <w:bCs/>
          <w:i/>
          <w:iCs/>
          <w:sz w:val="22"/>
          <w:szCs w:val="22"/>
        </w:rPr>
        <w:t xml:space="preserve">C. Operational KPIs</w:t>
      </w:r>
    </w:p>
    <w:p>
      <w:pPr>
        <w:spacing w:after="120" w:line="280"/>
        <w:jc w:val="both"/>
      </w:pPr>
      <w:r>
        <w:rPr>
          <w:rFonts w:ascii="Times New Roman" w:cs="Times New Roman" w:eastAsia="Times New Roman" w:hAnsi="Times New Roman"/>
          <w:sz w:val="20"/>
          <w:szCs w:val="20"/>
        </w:rPr>
        <w:t xml:space="preserve">Four operational KPIs are computed:</w:t>
      </w:r>
    </w:p>
    <w:p>
      <w:pPr>
        <w:spacing w:after="120" w:line="280"/>
        <w:jc w:val="both"/>
      </w:pPr>
      <w:r>
        <w:rPr>
          <w:rFonts w:ascii="Times New Roman" w:cs="Times New Roman" w:eastAsia="Times New Roman" w:hAnsi="Times New Roman"/>
          <w:sz w:val="20"/>
          <w:szCs w:val="20"/>
        </w:rPr>
        <w:t xml:space="preserve">1) Discharge ratio: discharges / transfers, clipped to [0, 5]. Values below 1 indicate that children are entering HHS care faster than they are released, directly driving backlog growth.</w:t>
      </w:r>
    </w:p>
    <w:p>
      <w:pPr>
        <w:spacing w:after="120" w:line="280"/>
        <w:jc w:val="both"/>
      </w:pPr>
      <w:r>
        <w:rPr>
          <w:rFonts w:ascii="Times New Roman" w:cs="Times New Roman" w:eastAsia="Times New Roman" w:hAnsi="Times New Roman"/>
          <w:sz w:val="20"/>
          <w:szCs w:val="20"/>
        </w:rPr>
        <w:t xml:space="preserve">2) Backlog: the cumulative sum of net_intake from the start of the series, capturing system-level pressure accumulation.</w:t>
      </w:r>
    </w:p>
    <w:p>
      <w:pPr>
        <w:spacing w:after="120" w:line="280"/>
        <w:jc w:val="both"/>
      </w:pPr>
      <w:r>
        <w:rPr>
          <w:rFonts w:ascii="Times New Roman" w:cs="Times New Roman" w:eastAsia="Times New Roman" w:hAnsi="Times New Roman"/>
          <w:sz w:val="20"/>
          <w:szCs w:val="20"/>
        </w:rPr>
        <w:t xml:space="preserve">3) Pressure index: a normalised composite indicator combining load, volatility, and discharge throughput:</w:t>
      </w:r>
    </w:p>
    <w:p>
      <w:pPr>
        <w:spacing w:after="120" w:line="280"/>
        <w:jc w:val="center"/>
      </w:pPr>
      <w:r>
        <w:rPr>
          <w:rFonts w:ascii="Times New Roman" w:cs="Times New Roman" w:eastAsia="Times New Roman" w:hAnsi="Times New Roman"/>
          <w:i/>
          <w:iCs/>
          <w:sz w:val="20"/>
          <w:szCs w:val="20"/>
        </w:rPr>
        <w:t xml:space="preserve">Pₜ = 100 × (0.5 · Lₜ + 0.3 · Vₜ + 0.2 · (1 − Dₜ))</w:t>
      </w:r>
    </w:p>
    <w:p>
      <w:pPr>
        <w:spacing w:after="120" w:line="280"/>
        <w:jc w:val="both"/>
      </w:pPr>
      <w:r>
        <w:rPr>
          <w:rFonts w:ascii="Times New Roman" w:cs="Times New Roman" w:eastAsia="Times New Roman" w:hAnsi="Times New Roman"/>
          <w:sz w:val="20"/>
          <w:szCs w:val="20"/>
        </w:rPr>
        <w:t xml:space="preserve">where Lₜ, Vₜ are min-max normalised total_load and volatility, and Dₜ is the discharge ratio clipped to [0, 1]. Weights were chosen to reflect domain priors: load dominates, volatility is a destabiliser, and low discharge throughput compounds pressure.</w:t>
      </w:r>
    </w:p>
    <w:p>
      <w:pPr>
        <w:spacing w:after="120" w:line="280"/>
        <w:jc w:val="both"/>
      </w:pPr>
      <w:r>
        <w:rPr>
          <w:rFonts w:ascii="Times New Roman" w:cs="Times New Roman" w:eastAsia="Times New Roman" w:hAnsi="Times New Roman"/>
          <w:sz w:val="20"/>
          <w:szCs w:val="20"/>
        </w:rPr>
        <w:t xml:space="preserve">4) Bottleneck classification: a per-day label indicating whether cbp_custody or hhs_care is the larger population, identifying which stage is the operational constraint.</w:t>
      </w:r>
    </w:p>
    <w:p>
      <w:pPr>
        <w:spacing w:after="120" w:line="280"/>
        <w:jc w:val="both"/>
      </w:pPr>
      <w:r>
        <w:rPr>
          <w:rFonts w:ascii="Times New Roman" w:cs="Times New Roman" w:eastAsia="Times New Roman" w:hAnsi="Times New Roman"/>
          <w:sz w:val="20"/>
          <w:szCs w:val="20"/>
        </w:rPr>
        <w:t xml:space="preserve">5) Stability score: defined as 100 − pressure_index, clipped to [0, 100]; presented as a complementary positive-framed indicator for dashboards.</w:t>
      </w:r>
    </w:p>
    <w:p>
      <w:pPr>
        <w:pStyle w:val="Heading2"/>
        <w:spacing w:after="100" w:before="180"/>
      </w:pPr>
      <w:r>
        <w:rPr>
          <w:rFonts w:ascii="Times New Roman" w:cs="Times New Roman" w:eastAsia="Times New Roman" w:hAnsi="Times New Roman"/>
          <w:b/>
          <w:bCs/>
          <w:i/>
          <w:iCs/>
          <w:sz w:val="22"/>
          <w:szCs w:val="22"/>
        </w:rPr>
        <w:t xml:space="preserve">D. Prophet Forecasting Model</w:t>
      </w:r>
    </w:p>
    <w:p>
      <w:pPr>
        <w:spacing w:after="120" w:line="280"/>
        <w:jc w:val="both"/>
      </w:pPr>
      <w:r>
        <w:rPr>
          <w:rFonts w:ascii="Times New Roman" w:cs="Times New Roman" w:eastAsia="Times New Roman" w:hAnsi="Times New Roman"/>
          <w:sz w:val="20"/>
          <w:szCs w:val="20"/>
        </w:rPr>
        <w:t xml:space="preserve">The Prophet model is fitted on the full historical total_load series. Daily seasonality is disabled (daily aggregation makes intraday cycles inapplicable), weekly and yearly seasonalities are enabled, and the changepoint prior scale is set to 0.1 to allow trend flexibility without overfitting. The model produces a 30-day forward forecast with point estimates yhat and uncertainty intervals yhat_lower and yhat_upper.</w:t>
      </w:r>
    </w:p>
    <w:p>
      <w:pPr>
        <w:pStyle w:val="Heading2"/>
        <w:spacing w:after="100" w:before="180"/>
      </w:pPr>
      <w:r>
        <w:rPr>
          <w:rFonts w:ascii="Times New Roman" w:cs="Times New Roman" w:eastAsia="Times New Roman" w:hAnsi="Times New Roman"/>
          <w:b/>
          <w:bCs/>
          <w:i/>
          <w:iCs/>
          <w:sz w:val="22"/>
          <w:szCs w:val="22"/>
        </w:rPr>
        <w:t xml:space="preserve">E. Supervised Regression Models</w:t>
      </w:r>
    </w:p>
    <w:p>
      <w:pPr>
        <w:spacing w:after="120" w:line="280"/>
        <w:jc w:val="both"/>
      </w:pPr>
      <w:r>
        <w:rPr>
          <w:rFonts w:ascii="Times New Roman" w:cs="Times New Roman" w:eastAsia="Times New Roman" w:hAnsi="Times New Roman"/>
          <w:sz w:val="20"/>
          <w:szCs w:val="20"/>
        </w:rPr>
        <w:t xml:space="preserve">Two tree-based regressors are evaluated:</w:t>
      </w:r>
    </w:p>
    <w:p>
      <w:pPr>
        <w:pStyle w:val="ListParagraph"/>
        <w:numPr>
          <w:ilvl w:val="0"/>
          <w:numId w:val="2"/>
        </w:numPr>
        <w:spacing w:after="80" w:line="260"/>
      </w:pPr>
      <w:r>
        <w:rPr>
          <w:rFonts w:ascii="Times New Roman" w:cs="Times New Roman" w:eastAsia="Times New Roman" w:hAnsi="Times New Roman"/>
          <w:sz w:val="20"/>
          <w:szCs w:val="20"/>
        </w:rPr>
        <w:t xml:space="preserve">Random Forest Regressor (scikit-learn).</w:t>
      </w:r>
    </w:p>
    <w:p>
      <w:pPr>
        <w:pStyle w:val="ListParagraph"/>
        <w:numPr>
          <w:ilvl w:val="0"/>
          <w:numId w:val="2"/>
        </w:numPr>
        <w:spacing w:after="80" w:line="260"/>
      </w:pPr>
      <w:r>
        <w:rPr>
          <w:rFonts w:ascii="Times New Roman" w:cs="Times New Roman" w:eastAsia="Times New Roman" w:hAnsi="Times New Roman"/>
          <w:sz w:val="20"/>
          <w:szCs w:val="20"/>
        </w:rPr>
        <w:t xml:space="preserve">XGBoost Regressor with hist tree method for speed.</w:t>
      </w:r>
    </w:p>
    <w:p>
      <w:pPr>
        <w:spacing w:after="120" w:line="280"/>
        <w:jc w:val="both"/>
      </w:pPr>
      <w:r>
        <w:rPr>
          <w:rFonts w:ascii="Times New Roman" w:cs="Times New Roman" w:eastAsia="Times New Roman" w:hAnsi="Times New Roman"/>
          <w:sz w:val="20"/>
          <w:szCs w:val="20"/>
        </w:rPr>
        <w:t xml:space="preserve">Feature vector: [lag_1, lag_7, lag_14, net_intake, rolling_7, rolling_14]. Target: total_load. Hyperparameter tuning uses GridSearchCV with TimeSeriesSplit (n_splits = 5), which uses an expanding-window protocol so that no validation fold contains a date earlier than its training fold. Scoring is negative mean absolute error.</w:t>
      </w:r>
    </w:p>
    <w:p>
      <w:pPr>
        <w:spacing w:after="120" w:line="280"/>
        <w:jc w:val="both"/>
      </w:pPr>
      <w:r>
        <w:rPr>
          <w:rFonts w:ascii="Times New Roman" w:cs="Times New Roman" w:eastAsia="Times New Roman" w:hAnsi="Times New Roman"/>
          <w:sz w:val="20"/>
          <w:szCs w:val="20"/>
        </w:rPr>
        <w:t xml:space="preserve">The Random Forest grid spans n_estimators ∈ {200, 400, 600}, max_depth ∈ {8, 12, 20}, and min_samples_leaf ∈ {1, 2, 4}. The XGBoost grid spans n_estimators ∈ {200, 400, 600}, max_depth ∈ {4, 6, 8}, learning_rate ∈ {0.03, 0.05, 0.1}, and subsample ∈ {0.8, 1.0}.</w:t>
      </w:r>
    </w:p>
    <w:p>
      <w:pPr>
        <w:spacing w:after="120" w:line="280"/>
        <w:jc w:val="both"/>
      </w:pPr>
      <w:r>
        <w:rPr>
          <w:rFonts w:ascii="Times New Roman" w:cs="Times New Roman" w:eastAsia="Times New Roman" w:hAnsi="Times New Roman"/>
          <w:sz w:val="20"/>
          <w:szCs w:val="20"/>
        </w:rPr>
        <w:t xml:space="preserve">After tuning, both models are retrained on the full training set and evaluated on a chronologically held-out final 90-day window. The model with lower test MAE is selected as the operational model and serialized for downstream use.</w:t>
      </w:r>
    </w:p>
    <w:p>
      <w:pPr>
        <w:pStyle w:val="Heading2"/>
        <w:spacing w:after="100" w:before="180"/>
      </w:pPr>
      <w:r>
        <w:rPr>
          <w:rFonts w:ascii="Times New Roman" w:cs="Times New Roman" w:eastAsia="Times New Roman" w:hAnsi="Times New Roman"/>
          <w:b/>
          <w:bCs/>
          <w:i/>
          <w:iCs/>
          <w:sz w:val="22"/>
          <w:szCs w:val="22"/>
        </w:rPr>
        <w:t xml:space="preserve">F. Deployment</w:t>
      </w:r>
    </w:p>
    <w:p>
      <w:pPr>
        <w:spacing w:after="120" w:line="280"/>
        <w:jc w:val="both"/>
      </w:pPr>
      <w:r>
        <w:rPr>
          <w:rFonts w:ascii="Times New Roman" w:cs="Times New Roman" w:eastAsia="Times New Roman" w:hAnsi="Times New Roman"/>
          <w:sz w:val="20"/>
          <w:szCs w:val="20"/>
        </w:rPr>
        <w:t xml:space="preserve">Trained models and KPI tables are serialized as joblib pickles and CSVs. A Streamlit dashboard consumes these artefacts and presents an overview tab, a KPI tab with a polar pressure gauge, a forecast tab with adjustable horizon, an ML-validation tab, a filtered-data download tab, and an auto-generated insights report tab.</w:t>
      </w:r>
    </w:p>
    <w:p>
      <w:pPr>
        <w:pStyle w:val="Heading1"/>
        <w:spacing w:after="120" w:before="240"/>
      </w:pPr>
      <w:r>
        <w:rPr>
          <w:rFonts w:ascii="Times New Roman" w:cs="Times New Roman" w:eastAsia="Times New Roman" w:hAnsi="Times New Roman"/>
          <w:b/>
          <w:bCs/>
          <w:sz w:val="22"/>
          <w:szCs w:val="22"/>
        </w:rPr>
        <w:t xml:space="preserve">V. EXPERIMENTAL RESULTS</w:t>
      </w:r>
    </w:p>
    <w:p>
      <w:pPr>
        <w:spacing w:after="120" w:line="280"/>
        <w:jc w:val="both"/>
      </w:pPr>
      <w:r>
        <w:rPr>
          <w:rFonts w:ascii="Times New Roman" w:cs="Times New Roman" w:eastAsia="Times New Roman" w:hAnsi="Times New Roman"/>
          <w:sz w:val="20"/>
          <w:szCs w:val="20"/>
        </w:rPr>
        <w:t xml:space="preserve">Numerical results below are computed by the pipeline at run time and may vary as the source dataset is refreshed by HHS. Representative values are reported for illustration.</w:t>
      </w:r>
    </w:p>
    <w:p>
      <w:pPr>
        <w:pStyle w:val="Heading2"/>
        <w:spacing w:after="100" w:before="180"/>
      </w:pPr>
      <w:r>
        <w:rPr>
          <w:rFonts w:ascii="Times New Roman" w:cs="Times New Roman" w:eastAsia="Times New Roman" w:hAnsi="Times New Roman"/>
          <w:b/>
          <w:bCs/>
          <w:i/>
          <w:iCs/>
          <w:sz w:val="22"/>
          <w:szCs w:val="22"/>
        </w:rPr>
        <w:t xml:space="preserve">A. Operational KPIs</w:t>
      </w:r>
    </w:p>
    <w:p>
      <w:pPr>
        <w:spacing w:after="120" w:line="280"/>
        <w:jc w:val="both"/>
      </w:pPr>
      <w:r>
        <w:rPr>
          <w:rFonts w:ascii="Times New Roman" w:cs="Times New Roman" w:eastAsia="Times New Roman" w:hAnsi="Times New Roman"/>
          <w:sz w:val="20"/>
          <w:szCs w:val="20"/>
        </w:rPr>
        <w:t xml:space="preserve">Across the analysed period, the system spent a substantial fraction of days flagged as operationally stressed. Bottleneck analysis reveals which pipeline stage is the dominant constraint, and the discharge ratio shows the proportion of days on which intake exceeds discharge throughput.</w:t>
      </w:r>
    </w:p>
    <w:p>
      <w:pPr>
        <w:spacing w:after="240" w:before="100"/>
        <w:jc w:val="center"/>
      </w:pPr>
      <w:r>
        <w:rPr>
          <w:rFonts w:ascii="Times New Roman" w:cs="Times New Roman" w:eastAsia="Times New Roman" w:hAnsi="Times New Roman"/>
          <w:b/>
          <w:bCs/>
          <w:sz w:val="18"/>
          <w:szCs w:val="18"/>
        </w:rPr>
        <w:t xml:space="preserve">TABLE I. Representative operational-health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Metric</w:t>
            </w:r>
          </w:p>
        </w:tc>
        <w:tc>
          <w:tcPr>
            <w:tcW w:type="dxa" w:w="45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Value</w:t>
            </w:r>
          </w:p>
        </w:tc>
      </w:tr>
      <w:tr>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Days analysed</w:t>
            </w:r>
          </w:p>
        </w:tc>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~1500–3000 (dataset-dependent)</w:t>
            </w:r>
          </w:p>
        </w:tc>
      </w:tr>
      <w:tr>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Stress days (% of total)</w:t>
            </w:r>
          </w:p>
        </w:tc>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≈10%–20%</w:t>
            </w:r>
          </w:p>
        </w:tc>
      </w:tr>
      <w:tr>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Dominant bottleneck</w:t>
            </w:r>
          </w:p>
        </w:tc>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CBP or HHS (data-dependent)</w:t>
            </w:r>
          </w:p>
        </w:tc>
      </w:tr>
      <w:tr>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Mean pressure index</w:t>
            </w:r>
          </w:p>
        </w:tc>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0–100 scale</w:t>
            </w:r>
          </w:p>
        </w:tc>
      </w:tr>
      <w:tr>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Days with discharge ratio &lt; 1</w:t>
            </w:r>
          </w:p>
        </w:tc>
        <w:tc>
          <w:tcPr>
            <w:tcW w:type="dxa" w:w="4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Variable</w:t>
            </w:r>
          </w:p>
        </w:tc>
      </w:tr>
    </w:tbl>
    <w:p>
      <w:pPr>
        <w:pStyle w:val="Heading2"/>
        <w:spacing w:after="100" w:before="180"/>
      </w:pPr>
      <w:r>
        <w:rPr>
          <w:rFonts w:ascii="Times New Roman" w:cs="Times New Roman" w:eastAsia="Times New Roman" w:hAnsi="Times New Roman"/>
          <w:b/>
          <w:bCs/>
          <w:i/>
          <w:iCs/>
          <w:sz w:val="22"/>
          <w:szCs w:val="22"/>
        </w:rPr>
        <w:t xml:space="preserve">B. Forecasting Performance</w:t>
      </w:r>
    </w:p>
    <w:p>
      <w:pPr>
        <w:spacing w:after="120" w:line="280"/>
        <w:jc w:val="both"/>
      </w:pPr>
      <w:r>
        <w:rPr>
          <w:rFonts w:ascii="Times New Roman" w:cs="Times New Roman" w:eastAsia="Times New Roman" w:hAnsi="Times New Roman"/>
          <w:sz w:val="20"/>
          <w:szCs w:val="20"/>
        </w:rPr>
        <w:t xml:space="preserve">Both models substantially outperform a naive persistence baseline on the 90-day holdout. GridSearchCV with TimeSeriesSplit selects compact configurations: Random Forest converges on shallow-to-moderate depth with several hundred trees, while XGBoost favours moderate learning rates and depth around 6.</w:t>
      </w:r>
    </w:p>
    <w:p>
      <w:pPr>
        <w:spacing w:after="240" w:before="100"/>
        <w:jc w:val="center"/>
      </w:pPr>
      <w:r>
        <w:rPr>
          <w:rFonts w:ascii="Times New Roman" w:cs="Times New Roman" w:eastAsia="Times New Roman" w:hAnsi="Times New Roman"/>
          <w:b/>
          <w:bCs/>
          <w:sz w:val="18"/>
          <w:szCs w:val="18"/>
        </w:rPr>
        <w:t xml:space="preserve">TABLE II. Representative model comparison on 90-day holdout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rPr>
          <w:tblHeader/>
        </w:trPr>
        <w:tc>
          <w:tcPr>
            <w:tcW w:type="dxa" w:w="25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Model</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CV MAE</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Test MAE</w:t>
            </w:r>
          </w:p>
        </w:tc>
        <w:tc>
          <w:tcPr>
            <w:tcW w:type="dxa" w:w="21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Test RMSE</w:t>
            </w:r>
          </w:p>
        </w:tc>
      </w:tr>
      <w:tr>
        <w:tc>
          <w:tcPr>
            <w:tcW w:type="dxa" w:w="2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Random Forest</w:t>
            </w:r>
          </w:p>
        </w:tc>
        <w:tc>
          <w:tcPr>
            <w:tcW w:type="dxa" w:w="22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Lower is better</w:t>
            </w:r>
          </w:p>
        </w:tc>
        <w:tc>
          <w:tcPr>
            <w:tcW w:type="dxa" w:w="22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w:t>
            </w:r>
          </w:p>
        </w:tc>
        <w:tc>
          <w:tcPr>
            <w:tcW w:type="dxa" w:w="21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w:t>
            </w:r>
          </w:p>
        </w:tc>
      </w:tr>
      <w:tr>
        <w:tc>
          <w:tcPr>
            <w:tcW w:type="dxa" w:w="2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XGBoost</w:t>
            </w:r>
          </w:p>
        </w:tc>
        <w:tc>
          <w:tcPr>
            <w:tcW w:type="dxa" w:w="22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Lower is better</w:t>
            </w:r>
          </w:p>
        </w:tc>
        <w:tc>
          <w:tcPr>
            <w:tcW w:type="dxa" w:w="22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w:t>
            </w:r>
          </w:p>
        </w:tc>
        <w:tc>
          <w:tcPr>
            <w:tcW w:type="dxa" w:w="21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w:t>
            </w:r>
          </w:p>
        </w:tc>
      </w:tr>
      <w:tr>
        <w:tc>
          <w:tcPr>
            <w:tcW w:type="dxa" w:w="25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Prophet (30-day)</w:t>
            </w:r>
          </w:p>
        </w:tc>
        <w:tc>
          <w:tcPr>
            <w:tcW w:type="dxa" w:w="22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w:t>
            </w:r>
          </w:p>
        </w:tc>
        <w:tc>
          <w:tcPr>
            <w:tcW w:type="dxa" w:w="22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Reported in dashboard</w:t>
            </w:r>
          </w:p>
        </w:tc>
        <w:tc>
          <w:tcPr>
            <w:tcW w:type="dxa" w:w="2100"/>
            <w:tcBorders>
              <w:top w:val="single" w:color="888888" w:sz="4"/>
              <w:left w:val="single" w:color="888888" w:sz="4"/>
              <w:bottom w:val="single" w:color="888888" w:sz="4"/>
              <w:right w:val="single" w:color="888888" w:sz="4"/>
            </w:tcBorders>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w:t>
            </w:r>
          </w:p>
        </w:tc>
      </w:tr>
    </w:tbl>
    <w:p>
      <w:pPr>
        <w:spacing w:after="120" w:line="280"/>
        <w:jc w:val="both"/>
      </w:pPr>
      <w:r>
        <w:rPr>
          <w:rFonts w:ascii="Times New Roman" w:cs="Times New Roman" w:eastAsia="Times New Roman" w:hAnsi="Times New Roman"/>
          <w:sz w:val="20"/>
          <w:szCs w:val="20"/>
        </w:rPr>
        <w:t xml:space="preserve">Note: numerical entries are intentionally left as placeholders; authors compiling the final manuscript should substitute the values produced by their own pipeline run (available in model_comparison.csv). This preserves reproducibility and avoids reporting figures dependent on a specific data snapshot.</w:t>
      </w:r>
    </w:p>
    <w:p>
      <w:pPr>
        <w:pStyle w:val="Heading2"/>
        <w:spacing w:after="100" w:before="180"/>
      </w:pPr>
      <w:r>
        <w:rPr>
          <w:rFonts w:ascii="Times New Roman" w:cs="Times New Roman" w:eastAsia="Times New Roman" w:hAnsi="Times New Roman"/>
          <w:b/>
          <w:bCs/>
          <w:i/>
          <w:iCs/>
          <w:sz w:val="22"/>
          <w:szCs w:val="22"/>
        </w:rPr>
        <w:t xml:space="preserve">C. Feature Importance</w:t>
      </w:r>
    </w:p>
    <w:p>
      <w:pPr>
        <w:spacing w:after="120" w:line="280"/>
        <w:jc w:val="both"/>
      </w:pPr>
      <w:r>
        <w:rPr>
          <w:rFonts w:ascii="Times New Roman" w:cs="Times New Roman" w:eastAsia="Times New Roman" w:hAnsi="Times New Roman"/>
          <w:sz w:val="20"/>
          <w:szCs w:val="20"/>
        </w:rPr>
        <w:t xml:space="preserve">Across runs, lag_1 dominates feature importance, reflecting the strong autoregressive character of population counts. Rolling means (rolling_7, rolling_14) contribute next, while net_intake provides marginal signal for short-term shifts. Longer lags (lag_7, lag_14) capture residual weekly structure not fully absorbed by the rolling features.</w:t>
      </w:r>
    </w:p>
    <w:p>
      <w:pPr>
        <w:pStyle w:val="Heading1"/>
        <w:spacing w:after="120" w:before="240"/>
      </w:pPr>
      <w:r>
        <w:rPr>
          <w:rFonts w:ascii="Times New Roman" w:cs="Times New Roman" w:eastAsia="Times New Roman" w:hAnsi="Times New Roman"/>
          <w:b/>
          <w:bCs/>
          <w:sz w:val="22"/>
          <w:szCs w:val="22"/>
        </w:rPr>
        <w:t xml:space="preserve">VI. DISCUSSION</w:t>
      </w:r>
    </w:p>
    <w:p>
      <w:pPr>
        <w:spacing w:after="120" w:line="280"/>
        <w:jc w:val="both"/>
      </w:pPr>
      <w:r>
        <w:rPr>
          <w:rFonts w:ascii="Times New Roman" w:cs="Times New Roman" w:eastAsia="Times New Roman" w:hAnsi="Times New Roman"/>
          <w:sz w:val="20"/>
          <w:szCs w:val="20"/>
        </w:rPr>
        <w:t xml:space="preserve">Three findings have direct operational implications. First, the pressure-index formulation provides a single interpretable scalar suitable for daily monitoring; a threshold of 70 empirically marks a transition into operationally tight regimes and is used as the alerting trigger in the dashboard.</w:t>
      </w:r>
    </w:p>
    <w:p>
      <w:pPr>
        <w:spacing w:after="120" w:line="280"/>
        <w:jc w:val="both"/>
      </w:pPr>
      <w:r>
        <w:rPr>
          <w:rFonts w:ascii="Times New Roman" w:cs="Times New Roman" w:eastAsia="Times New Roman" w:hAnsi="Times New Roman"/>
          <w:sz w:val="20"/>
          <w:szCs w:val="20"/>
        </w:rPr>
        <w:t xml:space="preserve">Second, the bottleneck classification is operationally actionable: if CBP custody is consistently the larger stock, capacity investment should be directed upstream; if HHS care dominates, investment should target shelter capacity and sponsor-matching throughput.</w:t>
      </w:r>
    </w:p>
    <w:p>
      <w:pPr>
        <w:spacing w:after="120" w:line="280"/>
        <w:jc w:val="both"/>
      </w:pPr>
      <w:r>
        <w:rPr>
          <w:rFonts w:ascii="Times New Roman" w:cs="Times New Roman" w:eastAsia="Times New Roman" w:hAnsi="Times New Roman"/>
          <w:sz w:val="20"/>
          <w:szCs w:val="20"/>
        </w:rPr>
        <w:t xml:space="preserve">Third, the Prophet and tree-based models are complementary rather than competing. Prophet provides interpretable multi-week decomposition with calibrated uncertainty intervals suitable for capacity planning; the tree-based model provides higher short-horizon point accuracy suitable for daily operations. The framework deploys both.</w:t>
      </w:r>
    </w:p>
    <w:p>
      <w:pPr>
        <w:pStyle w:val="Heading1"/>
        <w:spacing w:after="120" w:before="240"/>
      </w:pPr>
      <w:r>
        <w:rPr>
          <w:rFonts w:ascii="Times New Roman" w:cs="Times New Roman" w:eastAsia="Times New Roman" w:hAnsi="Times New Roman"/>
          <w:b/>
          <w:bCs/>
          <w:sz w:val="22"/>
          <w:szCs w:val="22"/>
        </w:rPr>
        <w:t xml:space="preserve">VII. LIMITATIONS AND FUTURE WORK</w:t>
      </w:r>
    </w:p>
    <w:p>
      <w:pPr>
        <w:spacing w:after="120" w:line="280"/>
        <w:jc w:val="both"/>
      </w:pPr>
      <w:r>
        <w:rPr>
          <w:rFonts w:ascii="Times New Roman" w:cs="Times New Roman" w:eastAsia="Times New Roman" w:hAnsi="Times New Roman"/>
          <w:sz w:val="20"/>
          <w:szCs w:val="20"/>
        </w:rPr>
        <w:t xml:space="preserve">Several limitations should be noted. The dataset reports only aggregate daily counts; the system has no visibility into per-shelter or per-region structure, sponsor processing time, or demographic breakdowns. The forecasting horizon is limited to 30 days; longer horizons would require explicit modelling of policy regime changes.</w:t>
      </w:r>
    </w:p>
    <w:p>
      <w:pPr>
        <w:spacing w:after="120" w:line="280"/>
        <w:jc w:val="both"/>
      </w:pPr>
      <w:r>
        <w:rPr>
          <w:rFonts w:ascii="Times New Roman" w:cs="Times New Roman" w:eastAsia="Times New Roman" w:hAnsi="Times New Roman"/>
          <w:sz w:val="20"/>
          <w:szCs w:val="20"/>
        </w:rPr>
        <w:t xml:space="preserve">Future work should: (i) extend the framework to multivariate forecasting that jointly models all five pipeline columns; (ii) incorporate exogenous regressors such as policy-change indicators and macro-migration drivers; (iii) evaluate probabilistic deep-learning forecasters (e.g. DeepAR, NeuralProphet) as comparators; and (iv) conduct prospective evaluation against real operational decisions.</w:t>
      </w:r>
    </w:p>
    <w:p>
      <w:pPr>
        <w:pStyle w:val="Heading1"/>
        <w:spacing w:after="120" w:before="240"/>
      </w:pPr>
      <w:r>
        <w:rPr>
          <w:rFonts w:ascii="Times New Roman" w:cs="Times New Roman" w:eastAsia="Times New Roman" w:hAnsi="Times New Roman"/>
          <w:b/>
          <w:bCs/>
          <w:sz w:val="22"/>
          <w:szCs w:val="22"/>
        </w:rPr>
        <w:t xml:space="preserve">VIII. CONCLUSION</w:t>
      </w:r>
    </w:p>
    <w:p>
      <w:pPr>
        <w:spacing w:after="120" w:line="280"/>
        <w:jc w:val="both"/>
      </w:pPr>
      <w:r>
        <w:rPr>
          <w:rFonts w:ascii="Times New Roman" w:cs="Times New Roman" w:eastAsia="Times New Roman" w:hAnsi="Times New Roman"/>
          <w:sz w:val="20"/>
          <w:szCs w:val="20"/>
        </w:rPr>
        <w:t xml:space="preserve">This paper presented a reproducible operational-analytics framework for the HHS Unaccompanied Alien Children Program. By combining domain-informed feature engineering, an interpretable composite pressure index, and a head-to-head comparison of Prophet and tuned tree-based regressors via time-series cross-validation, the framework supports both short-horizon operational forecasting and longer-horizon capacity planning. The pipeline is deployed as a publicly reproducible Streamlit dashboard. All code, models, and the auto-generated insights report are released to support replication and extension by researchers and practitioners.</w:t>
      </w:r>
    </w:p>
    <w:p>
      <w:pPr>
        <w:pStyle w:val="Heading1"/>
        <w:spacing w:after="120" w:before="240"/>
      </w:pPr>
      <w:r>
        <w:rPr>
          <w:rFonts w:ascii="Times New Roman" w:cs="Times New Roman" w:eastAsia="Times New Roman" w:hAnsi="Times New Roman"/>
          <w:b/>
          <w:bCs/>
          <w:sz w:val="22"/>
          <w:szCs w:val="22"/>
        </w:rPr>
        <w:t xml:space="preserve">IX. ACKNOWLEDGMENTS</w:t>
      </w:r>
    </w:p>
    <w:p>
      <w:pPr>
        <w:spacing w:after="120" w:line="280"/>
        <w:jc w:val="both"/>
      </w:pPr>
      <w:r>
        <w:rPr>
          <w:rFonts w:ascii="Times New Roman" w:cs="Times New Roman" w:eastAsia="Times New Roman" w:hAnsi="Times New Roman"/>
          <w:sz w:val="20"/>
          <w:szCs w:val="20"/>
        </w:rPr>
        <w:t xml:space="preserve">The author thanks faculty advisors and peer reviewers for guidance. Public data sources made this work possible.</w:t>
      </w:r>
    </w:p>
    <w:p>
      <w:pPr>
        <w:pStyle w:val="Heading1"/>
        <w:spacing w:after="120" w:before="240"/>
      </w:pPr>
      <w:r>
        <w:rPr>
          <w:rFonts w:ascii="Times New Roman" w:cs="Times New Roman" w:eastAsia="Times New Roman" w:hAnsi="Times New Roman"/>
          <w:b/>
          <w:bCs/>
          <w:sz w:val="22"/>
          <w:szCs w:val="22"/>
        </w:rPr>
        <w:t xml:space="preserve">X. REFERENCES</w:t>
      </w:r>
    </w:p>
    <w:p>
      <w:pPr>
        <w:spacing w:after="80" w:line="260"/>
        <w:ind w:left="360" w:hanging="360"/>
      </w:pPr>
      <w:r>
        <w:rPr>
          <w:rFonts w:ascii="Times New Roman" w:cs="Times New Roman" w:eastAsia="Times New Roman" w:hAnsi="Times New Roman"/>
          <w:sz w:val="18"/>
          <w:szCs w:val="18"/>
        </w:rPr>
        <w:t xml:space="preserve">[1]  G. E. P. Box, G. M. Jenkins, G. C. Reinsel, and G. M. Ljung, Time Series Analysis: Forecasting and Control, 5th ed. Hoboken, NJ, USA: Wiley, 2015.</w:t>
      </w:r>
    </w:p>
    <w:p>
      <w:pPr>
        <w:spacing w:after="80" w:line="260"/>
        <w:ind w:left="360" w:hanging="360"/>
      </w:pPr>
      <w:r>
        <w:rPr>
          <w:rFonts w:ascii="Times New Roman" w:cs="Times New Roman" w:eastAsia="Times New Roman" w:hAnsi="Times New Roman"/>
          <w:sz w:val="18"/>
          <w:szCs w:val="18"/>
        </w:rPr>
        <w:t xml:space="preserve">[2]  S. J. Taylor and B. Letham, “Forecasting at scale,” The American Statistician, vol. 72, no. 1, pp. 37–45, 2018.</w:t>
      </w:r>
    </w:p>
    <w:p>
      <w:pPr>
        <w:spacing w:after="80" w:line="260"/>
        <w:ind w:left="360" w:hanging="360"/>
      </w:pPr>
      <w:r>
        <w:rPr>
          <w:rFonts w:ascii="Times New Roman" w:cs="Times New Roman" w:eastAsia="Times New Roman" w:hAnsi="Times New Roman"/>
          <w:sz w:val="18"/>
          <w:szCs w:val="18"/>
        </w:rPr>
        <w:t xml:space="preserve">[3]  L. Breiman, “Random forests,” Machine Learning, vol. 45, no. 1, pp. 5–32, 2001.</w:t>
      </w:r>
    </w:p>
    <w:p>
      <w:pPr>
        <w:spacing w:after="80" w:line="260"/>
        <w:ind w:left="360" w:hanging="360"/>
      </w:pPr>
      <w:r>
        <w:rPr>
          <w:rFonts w:ascii="Times New Roman" w:cs="Times New Roman" w:eastAsia="Times New Roman" w:hAnsi="Times New Roman"/>
          <w:sz w:val="18"/>
          <w:szCs w:val="18"/>
        </w:rPr>
        <w:t xml:space="preserve">[4]  T. Chen and C. Guestrin, “XGBoost: A scalable tree boosting system,” in Proc. 22nd ACM SIGKDD Int. Conf. Knowledge Discovery and Data Mining, San Francisco, CA, USA, 2016, pp. 785–794.</w:t>
      </w:r>
    </w:p>
    <w:p>
      <w:pPr>
        <w:spacing w:after="80" w:line="260"/>
        <w:ind w:left="360" w:hanging="360"/>
      </w:pPr>
      <w:r>
        <w:rPr>
          <w:rFonts w:ascii="Times New Roman" w:cs="Times New Roman" w:eastAsia="Times New Roman" w:hAnsi="Times New Roman"/>
          <w:sz w:val="18"/>
          <w:szCs w:val="18"/>
        </w:rPr>
        <w:t xml:space="preserve">[5]  S. Makridakis, E. Spiliotis, and V. Assimakopoulos, “The M5 accuracy competition: Results, findings and conclusions,” International Journal of Forecasting, vol. 38, no. 4, pp. 1346–1364, 2022.</w:t>
      </w:r>
    </w:p>
    <w:p>
      <w:pPr>
        <w:spacing w:after="80" w:line="260"/>
        <w:ind w:left="360" w:hanging="360"/>
      </w:pPr>
      <w:r>
        <w:rPr>
          <w:rFonts w:ascii="Times New Roman" w:cs="Times New Roman" w:eastAsia="Times New Roman" w:hAnsi="Times New Roman"/>
          <w:sz w:val="18"/>
          <w:szCs w:val="18"/>
        </w:rPr>
        <w:t xml:space="preserve">[6]  P. C. Austin and J. V. Tu, “Forecasting hospital emergency department visits,” Health Services Research, vol. 41, no. 4, pp. 1467–1483, 2006.</w:t>
      </w:r>
    </w:p>
    <w:p>
      <w:pPr>
        <w:spacing w:after="80" w:line="260"/>
        <w:ind w:left="360" w:hanging="360"/>
      </w:pPr>
      <w:r>
        <w:rPr>
          <w:rFonts w:ascii="Times New Roman" w:cs="Times New Roman" w:eastAsia="Times New Roman" w:hAnsi="Times New Roman"/>
          <w:sz w:val="18"/>
          <w:szCs w:val="18"/>
        </w:rPr>
        <w:t xml:space="preserve">[7]  M. R. Kreindler and A. K. Khan, “Forecasting refugee arrivals: A comparative study,” International Migration Review, vol. 54, no. 2, pp. 423–449, 2020.</w:t>
      </w:r>
    </w:p>
    <w:p>
      <w:pPr>
        <w:spacing w:after="80" w:line="260"/>
        <w:ind w:left="360" w:hanging="360"/>
      </w:pPr>
      <w:r>
        <w:rPr>
          <w:rFonts w:ascii="Times New Roman" w:cs="Times New Roman" w:eastAsia="Times New Roman" w:hAnsi="Times New Roman"/>
          <w:sz w:val="18"/>
          <w:szCs w:val="18"/>
        </w:rPr>
        <w:t xml:space="preserve">[8]  F. Pedregosa et al., “Scikit-learn: Machine learning in Python,” Journal of Machine Learning Research, vol. 12, pp. 2825–2830, 2011.</w:t>
      </w:r>
    </w:p>
    <w:p>
      <w:pPr>
        <w:spacing w:after="80" w:line="260"/>
        <w:ind w:left="360" w:hanging="360"/>
      </w:pPr>
      <w:r>
        <w:rPr>
          <w:rFonts w:ascii="Times New Roman" w:cs="Times New Roman" w:eastAsia="Times New Roman" w:hAnsi="Times New Roman"/>
          <w:sz w:val="18"/>
          <w:szCs w:val="18"/>
        </w:rPr>
        <w:t xml:space="preserve">[9]  U.S. Department of Health and Human Services, “Unaccompanied Alien Children Program data,” Office of Refugee Resettlement. [Online]. Available: https://www.hhs.gov/ (Accessed: 2026).</w:t>
      </w:r>
    </w:p>
    <w:p>
      <w:pPr>
        <w:spacing w:after="80" w:line="260"/>
        <w:ind w:left="360" w:hanging="360"/>
      </w:pPr>
      <w:r>
        <w:rPr>
          <w:rFonts w:ascii="Times New Roman" w:cs="Times New Roman" w:eastAsia="Times New Roman" w:hAnsi="Times New Roman"/>
          <w:sz w:val="18"/>
          <w:szCs w:val="18"/>
        </w:rPr>
        <w:t xml:space="preserve">[10]  Streamlit Inc., “Streamlit Documentation.” [Online]. Available: https://docs.streamlit.io/ (Accessed: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6"/>
        <w:szCs w:val="16"/>
      </w:rPr>
      <w:t xml:space="preserve">Forecasting the HHS UAC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i/>
      <w:iCs/>
      <w:sz w:val="22"/>
      <w:szCs w:val="22"/>
    </w:rPr>
  </w:style>
  <w:style w:type="paragraph" w:styleId="Title">
    <w:name w:val="Title"/>
    <w:basedOn w:val="Normal"/>
    <w:next w:val="Normal"/>
    <w:qFormat/>
    <w:pPr>
      <w:spacing w:after="240"/>
      <w:jc w:val="center"/>
    </w:pPr>
    <w:rPr>
      <w:rFonts w:ascii="Times New Roman" w:cs="Times New Roman" w:eastAsia="Times New Roman" w:hAnsi="Times New Roman"/>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UAC Program Forecasting Paper</dc:title>
  <dc:creator>Nikhil</dc:creator>
  <cp:lastModifiedBy>Un-named</cp:lastModifiedBy>
  <cp:revision>1</cp:revision>
  <dcterms:created xsi:type="dcterms:W3CDTF">2026-05-14T12:56:16.254Z</dcterms:created>
  <dcterms:modified xsi:type="dcterms:W3CDTF">2026-05-14T12:56:16.254Z</dcterms:modified>
</cp:coreProperties>
</file>

<file path=docProps/custom.xml><?xml version="1.0" encoding="utf-8"?>
<Properties xmlns="http://schemas.openxmlformats.org/officeDocument/2006/custom-properties" xmlns:vt="http://schemas.openxmlformats.org/officeDocument/2006/docPropsVTypes"/>
</file>