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200"/>
              <w:left w:type="dxa" w:w="720"/>
              <w:bottom w:type="dxa" w:w="1200"/>
              <w:right w:type="dxa" w:w="720"/>
            </w:tcMar>
          </w:tcPr>
          <w:p>
            <w:pPr>
              <w:spacing w:before="0" w:after="80"/>
              <w:jc w:val="center"/>
            </w:pPr>
            <w:r>
              <w:rPr>
                <w:rFonts w:ascii="Arial" w:cs="Arial" w:eastAsia="Arial" w:hAnsi="Arial"/>
                <w:b/>
                <w:bCs/>
                <w:i w:val="false"/>
                <w:iCs w:val="false"/>
                <w:color w:val="C9A84C"/>
                <w:sz w:val="22"/>
                <w:szCs w:val="22"/>
              </w:rPr>
              <w:t xml:space="preserve">FRTB — MODULE 2</w:t>
            </w:r>
          </w:p>
          <w:p>
            <w:pPr>
              <w:spacing w:before="0" w:after="120"/>
              <w:jc w:val="center"/>
            </w:pPr>
            <w:r>
              <w:rPr>
                <w:rFonts w:ascii="Arial" w:cs="Arial" w:eastAsia="Arial" w:hAnsi="Arial"/>
                <w:b/>
                <w:bCs/>
                <w:i w:val="false"/>
                <w:iCs w:val="false"/>
                <w:color w:val="7799BB"/>
                <w:sz w:val="72"/>
                <w:szCs w:val="72"/>
              </w:rPr>
              <w:t xml:space="preserve">FRTB</w:t>
            </w:r>
          </w:p>
          <w:p>
            <w:pPr>
              <w:spacing w:before="0" w:after="80"/>
              <w:jc w:val="center"/>
            </w:pPr>
            <w:r>
              <w:rPr>
                <w:rFonts w:ascii="Arial" w:cs="Arial" w:eastAsia="Arial" w:hAnsi="Arial"/>
                <w:b w:val="false"/>
                <w:bCs w:val="false"/>
                <w:i w:val="false"/>
                <w:iCs w:val="false"/>
                <w:color w:val="AACCEE"/>
                <w:sz w:val="28"/>
                <w:szCs w:val="28"/>
              </w:rPr>
              <w:t xml:space="preserve">Fundamental Review of the Trading Book</w:t>
            </w:r>
          </w:p>
          <w:p>
            <w:pPr>
              <w:spacing w:before="80" w:after="40"/>
              <w:jc w:val="center"/>
            </w:pPr>
            <w:r>
              <w:rPr>
                <w:rFonts w:ascii="Arial" w:cs="Arial" w:eastAsia="Arial" w:hAnsi="Arial"/>
                <w:b w:val="false"/>
                <w:bCs w:val="false"/>
                <w:i w:val="false"/>
                <w:iCs w:val="false"/>
                <w:color w:val="7799BB"/>
                <w:sz w:val="22"/>
                <w:szCs w:val="22"/>
              </w:rPr>
              <w:t xml:space="preserve">Market Risk  •  Trading Book Capital  •  Global Implementation</w:t>
            </w:r>
          </w:p>
          <w:p>
            <w:pPr>
              <w:spacing w:before="160" w:after="40"/>
              <w:jc w:val="center"/>
            </w:pPr>
            <w:r>
              <w:rPr>
                <w:rFonts w:ascii="Arial" w:cs="Arial" w:eastAsia="Arial" w:hAnsi="Arial"/>
                <w:b/>
                <w:bCs/>
                <w:i w:val="false"/>
                <w:iCs w:val="false"/>
                <w:color w:val="C9A84C"/>
                <w:sz w:val="18"/>
                <w:szCs w:val="18"/>
              </w:rPr>
              <w:t xml:space="preserve">Authors</w:t>
            </w:r>
          </w:p>
          <w:p>
            <w:pPr>
              <w:spacing w:before="20" w:after="20"/>
              <w:jc w:val="center"/>
            </w:pPr>
            <w:r>
              <w:rPr>
                <w:rFonts w:ascii="Arial" w:cs="Arial" w:eastAsia="Arial" w:hAnsi="Arial"/>
                <w:b/>
                <w:bCs/>
                <w:i w:val="false"/>
                <w:iCs w:val="false"/>
                <w:color w:val="FFFFFF"/>
                <w:sz w:val="20"/>
                <w:szCs w:val="20"/>
              </w:rPr>
              <w:t xml:space="preserve">Sarthaka Nanda</w:t>
            </w:r>
            <w:r>
              <w:rPr>
                <w:rFonts w:ascii="Arial" w:cs="Arial" w:eastAsia="Arial" w:hAnsi="Arial"/>
                <w:b w:val="false"/>
                <w:bCs w:val="false"/>
                <w:i w:val="false"/>
                <w:iCs w:val="false"/>
                <w:color w:val="7799BB"/>
                <w:sz w:val="20"/>
                <w:szCs w:val="20"/>
              </w:rPr>
              <w:t xml:space="preserve">  |  Claude (Anthropic)</w:t>
            </w:r>
          </w:p>
          <w:p>
            <w:pPr>
              <w:spacing w:before="10" w:after="200"/>
              <w:jc w:val="center"/>
            </w:pPr>
            <w:r>
              <w:rPr>
                <w:rFonts w:ascii="Arial" w:cs="Arial" w:eastAsia="Arial" w:hAnsi="Arial"/>
                <w:b w:val="false"/>
                <w:bCs w:val="false"/>
                <w:i/>
                <w:iCs/>
                <w:color w:val="5577AA"/>
                <w:sz w:val="16"/>
                <w:szCs w:val="16"/>
              </w:rPr>
              <w:t xml:space="preserve">Practitioner expertise: Sarthaka Nanda  |  Structure, drafting &amp; formatting: Claude (Anthropic)</w:t>
            </w:r>
          </w:p>
        </w:tc>
      </w:tr>
    </w:tbl>
    <w:p>
      <w:pPr>
        <w:spacing w:before="200" w:after="200"/>
      </w:pPr>
    </w:p>
    <w:p>
      <w:r>
        <w:br w:type="page"/>
      </w:r>
    </w:p>
    <w:p>
      <w:pPr>
        <w:spacing w:before="0" w:after="200"/>
      </w:pPr>
      <w:r>
        <w:rPr>
          <w:rFonts w:ascii="Arial" w:cs="Arial" w:eastAsia="Arial" w:hAnsi="Arial"/>
          <w:b/>
          <w:bCs/>
          <w:i w:val="false"/>
          <w:iCs w:val="false"/>
          <w:color w:val="1B3A6B"/>
          <w:sz w:val="36"/>
          <w:szCs w:val="36"/>
        </w:rPr>
        <w:t xml:space="preserve">Table of Contents</w:t>
      </w:r>
    </w:p>
    <w:p>
      <w:pPr>
        <w:pBdr>
          <w:bottom w:val="single" w:color="1B3A6B" w:sz="6" w:space="1"/>
        </w:pBdr>
        <w:spacing w:before="0" w:after="80"/>
      </w:pPr>
    </w:p>
    <w:p>
      <w:pPr>
        <w:spacing w:before="0" w:after="0"/>
      </w:pPr>
      <w:r>
        <w:rPr>
          <w:rFonts w:ascii="Arial" w:cs="Arial" w:eastAsia="Arial" w:hAnsi="Arial"/>
          <w:color w:val="888888"/>
          <w:sz w:val="18"/>
          <w:szCs w:val="18"/>
        </w:rPr>
        <w:t xml:space="preserve"> TOC \o "1-2" \h \z \u </w:t>
      </w:r>
    </w:p>
    <w:p>
      <w:pPr>
        <w:spacing w:before="40" w:after="0"/>
      </w:pPr>
      <w:r>
        <w:rPr>
          <w:rFonts w:ascii="Arial" w:cs="Arial" w:eastAsia="Arial" w:hAnsi="Arial"/>
          <w:b w:val="false"/>
          <w:bCs w:val="false"/>
          <w:i/>
          <w:iCs/>
          <w:color w:val="888888"/>
          <w:sz w:val="18"/>
          <w:szCs w:val="18"/>
        </w:rPr>
        <w:t xml:space="preserve">[ Open in Word and right-click → Update Field to generate contents ]</w:t>
      </w:r>
    </w:p>
    <w:p>
      <w:r>
        <w:br w:type="page"/>
      </w:r>
    </w:p>
    <w:p>
      <w:pPr>
        <w:pStyle w:val="Heading1"/>
        <w:spacing w:before="240" w:after="80"/>
      </w:pPr>
      <w:r>
        <w:rPr>
          <w:rFonts w:ascii="Arial" w:cs="Arial" w:eastAsia="Arial" w:hAnsi="Arial"/>
          <w:b/>
          <w:bCs/>
          <w:color w:val="1B3A6B"/>
          <w:sz w:val="32"/>
          <w:szCs w:val="32"/>
        </w:rPr>
        <w:t xml:space="preserve">Part 1: Foundations — What You Need to Know First</w:t>
      </w:r>
    </w:p>
    <w:p>
      <w:pPr>
        <w:spacing w:before="80" w:after="60"/>
      </w:pPr>
      <w:r>
        <w:rPr>
          <w:rFonts w:ascii="Arial" w:cs="Arial" w:eastAsia="Arial" w:hAnsi="Arial"/>
          <w:b w:val="false"/>
          <w:bCs w:val="false"/>
          <w:i w:val="false"/>
          <w:iCs w:val="false"/>
          <w:color w:val="333333"/>
          <w:sz w:val="20"/>
          <w:szCs w:val="20"/>
        </w:rPr>
        <w:t xml:space="preserve">Before studying FRTB it is essential to understand the building blocks. This section is written for someone entering the field — experienced practitioners may skim to Part 2. Every concept introduced here is directly referenced by FRTB's architecture.</w:t>
      </w:r>
    </w:p>
    <w:p>
      <w:pPr>
        <w:pStyle w:val="Heading2"/>
        <w:pBdr>
          <w:bottom w:val="single" w:color="0E6B8A" w:sz="6" w:space="1"/>
        </w:pBdr>
        <w:spacing w:before="200" w:after="60"/>
      </w:pPr>
      <w:r>
        <w:rPr>
          <w:rFonts w:ascii="Arial" w:cs="Arial" w:eastAsia="Arial" w:hAnsi="Arial"/>
          <w:b/>
          <w:bCs/>
          <w:color w:val="0E6B8A"/>
          <w:sz w:val="26"/>
          <w:szCs w:val="26"/>
        </w:rPr>
        <w:t xml:space="preserve">The Bank Balance Sheet in Plain Terms</w:t>
      </w:r>
    </w:p>
    <w:p>
      <w:pPr>
        <w:spacing w:before="60" w:after="60"/>
      </w:pPr>
      <w:r>
        <w:rPr>
          <w:rFonts w:ascii="Arial" w:cs="Arial" w:eastAsia="Arial" w:hAnsi="Arial"/>
          <w:b w:val="false"/>
          <w:bCs w:val="false"/>
          <w:i w:val="false"/>
          <w:iCs w:val="false"/>
          <w:color w:val="333333"/>
          <w:sz w:val="20"/>
          <w:szCs w:val="20"/>
        </w:rPr>
        <w:t xml:space="preserve">A bank's balance sheet has two sides. Assets are what the bank owns or is owed — loans it has made, bonds it holds, derivatives with positive value. Liabilities are what the bank owes — customer deposits, bonds it has issued, derivatives with negative value. The difference is equity, also called capital — the buffer that absorbs losses before creditors or depositors are affected.</w:t>
      </w:r>
    </w:p>
    <w:p>
      <w:pPr>
        <w:spacing w:before="60" w:after="60"/>
      </w:pPr>
      <w:r>
        <w:rPr>
          <w:rFonts w:ascii="Arial" w:cs="Arial" w:eastAsia="Arial" w:hAnsi="Arial"/>
          <w:b w:val="false"/>
          <w:bCs w:val="false"/>
          <w:i w:val="false"/>
          <w:iCs w:val="false"/>
          <w:color w:val="333333"/>
          <w:sz w:val="20"/>
          <w:szCs w:val="20"/>
        </w:rPr>
        <w:t xml:space="preserve">Regulatory capital is a subset of this equity — specifically the components that regulators accept as loss-absorbing. Basel III defined three tiers: Common Equity Tier 1 (CET1) — the highest quality, comprising ordinary shares and retained earnings — Additional Tier 1 (AT1), and Tier 2. Capital requirements are expressed as a percentage of Risk-Weighted Assets (RWA): the denominator that adjusts asset size for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KEY EQUATION</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Capital Ratio = Eligible Capital ÷ Risk-Weighted Assets (RWA). Basel III minimum: 8% total, of which 4.5% must be CET1. FRTB affects the RWA denominator — specifically the market risk component.</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The Banking Book — Held to Maturity</w:t>
      </w:r>
    </w:p>
    <w:p>
      <w:pPr>
        <w:spacing w:before="60" w:after="60"/>
      </w:pPr>
      <w:r>
        <w:rPr>
          <w:rFonts w:ascii="Arial" w:cs="Arial" w:eastAsia="Arial" w:hAnsi="Arial"/>
          <w:b w:val="false"/>
          <w:bCs w:val="false"/>
          <w:i w:val="false"/>
          <w:iCs w:val="false"/>
          <w:color w:val="333333"/>
          <w:sz w:val="20"/>
          <w:szCs w:val="20"/>
        </w:rPr>
        <w:t xml:space="preserve">The banking book contains assets and liabilities the bank intends to hold to maturity or for the long term. The primary examples are: loans made to corporate or retail customers, mortgages, deposits taken from customers, bonds purchased as investments, and fixed-rate assets funded by floating-rate liabilities.</w:t>
      </w:r>
    </w:p>
    <w:p>
      <w:pPr>
        <w:spacing w:before="60" w:after="60"/>
      </w:pPr>
      <w:r>
        <w:rPr>
          <w:rFonts w:ascii="Arial" w:cs="Arial" w:eastAsia="Arial" w:hAnsi="Arial"/>
          <w:b w:val="false"/>
          <w:bCs w:val="false"/>
          <w:i w:val="false"/>
          <w:iCs w:val="false"/>
          <w:color w:val="333333"/>
          <w:sz w:val="20"/>
          <w:szCs w:val="20"/>
        </w:rPr>
        <w:t xml:space="preserve">Banking book positions are valued on an accrual basis — they sit on the balance sheet at historical cost (adjusted for impairment), not at daily market prices. The capital framework for the banking book focuses on credit risk (will borrowers repay?) and interest rate risk in the banking book (IRRBB) — how changes in interest rates affect the bank's net interest income and economic value.</w:t>
      </w:r>
    </w:p>
    <w:p>
      <w:pPr>
        <w:pStyle w:val="Heading2"/>
        <w:pBdr>
          <w:bottom w:val="single" w:color="0E6B8A" w:sz="6" w:space="1"/>
        </w:pBdr>
        <w:spacing w:before="200" w:after="60"/>
      </w:pPr>
      <w:r>
        <w:rPr>
          <w:rFonts w:ascii="Arial" w:cs="Arial" w:eastAsia="Arial" w:hAnsi="Arial"/>
          <w:b/>
          <w:bCs/>
          <w:color w:val="0E6B8A"/>
          <w:sz w:val="26"/>
          <w:szCs w:val="26"/>
        </w:rPr>
        <w:t xml:space="preserve">The Trading Book — Held for Short-Term Profit</w:t>
      </w:r>
    </w:p>
    <w:p>
      <w:pPr>
        <w:spacing w:before="60" w:after="60"/>
      </w:pPr>
      <w:r>
        <w:rPr>
          <w:rFonts w:ascii="Arial" w:cs="Arial" w:eastAsia="Arial" w:hAnsi="Arial"/>
          <w:b w:val="false"/>
          <w:bCs w:val="false"/>
          <w:i w:val="false"/>
          <w:iCs w:val="false"/>
          <w:color w:val="333333"/>
          <w:sz w:val="20"/>
          <w:szCs w:val="20"/>
        </w:rPr>
        <w:t xml:space="preserve">The trading book contains positions held with the intent to trade — bought and sold in the short term to profit from price movements or to facilitate client transactions. It includes: bonds and equities held for proprietary trading, derivatives (interest rate swaps, FX forwards, equity options, credit default swaps), structured products, and commodities.</w:t>
      </w:r>
    </w:p>
    <w:p>
      <w:pPr>
        <w:spacing w:before="60" w:after="60"/>
      </w:pPr>
      <w:r>
        <w:rPr>
          <w:rFonts w:ascii="Arial" w:cs="Arial" w:eastAsia="Arial" w:hAnsi="Arial"/>
          <w:b w:val="false"/>
          <w:bCs w:val="false"/>
          <w:i w:val="false"/>
          <w:iCs w:val="false"/>
          <w:color w:val="333333"/>
          <w:sz w:val="20"/>
          <w:szCs w:val="20"/>
        </w:rPr>
        <w:t xml:space="preserve">Trading book positions are marked to market (MTM) every day — their value on the balance sheet reflects current market prices. This means their value can fall suddenly and substantially, which is why they attract market risk capital. A position must be assigned to one book at inception; the rules governing which positions belong in the trading book versus the banking book are central to FRTB.</w:t>
      </w:r>
    </w:p>
    <w:p>
      <w:pPr>
        <w:pStyle w:val="Heading2"/>
        <w:pBdr>
          <w:bottom w:val="single" w:color="0E6B8A" w:sz="6" w:space="1"/>
        </w:pBdr>
        <w:spacing w:before="200" w:after="60"/>
      </w:pPr>
      <w:r>
        <w:rPr>
          <w:rFonts w:ascii="Arial" w:cs="Arial" w:eastAsia="Arial" w:hAnsi="Arial"/>
          <w:b/>
          <w:bCs/>
          <w:color w:val="0E6B8A"/>
          <w:sz w:val="26"/>
          <w:szCs w:val="26"/>
        </w:rPr>
        <w:t xml:space="preserve">Why the Two Books Are Treated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Dimension</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Banking Book vs Trading Book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Valuation</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Accrual (historical cost) vs Mark-to-Market (daily)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Holding Intent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Long-term / to maturity vs Short-term / to trade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Primary Risk</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Credit Risk / IRRBB vs Market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Capital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Credit RWA (SA or IRB) vs Market Risk Capital (SA or IMA)</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Liquidity</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Illiquid — hard to exit vs Liquid — designed to be traded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P&amp;L Recognition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Interest income accrues vs Daily MTM gains/losses recognised immediately</w:t>
            </w:r>
          </w:p>
        </w:tc>
      </w:tr>
    </w:tbl>
    <w:p>
      <w:pPr>
        <w:spacing w:before="60" w:after="60"/>
      </w:pPr>
    </w:p>
    <w:p>
      <w:pPr>
        <w:spacing w:before="60" w:after="60"/>
      </w:pPr>
      <w:r>
        <w:rPr>
          <w:rFonts w:ascii="Arial" w:cs="Arial" w:eastAsia="Arial" w:hAnsi="Arial"/>
          <w:b w:val="false"/>
          <w:bCs w:val="false"/>
          <w:i w:val="false"/>
          <w:iCs w:val="false"/>
          <w:color w:val="333333"/>
          <w:sz w:val="20"/>
          <w:szCs w:val="20"/>
        </w:rPr>
        <w:t xml:space="preserve">The intent distinction matters because a bank holding a bond to maturity absorbs credit risk but is insulated from day-to-day price swings. A bank trading the same bond faces market risk — the price might fall tomorrow. These are fundamentally different economic risks requiring different capital treatments.</w:t>
      </w:r>
    </w:p>
    <w:p>
      <w:pPr>
        <w:pStyle w:val="Heading2"/>
        <w:pBdr>
          <w:bottom w:val="single" w:color="0E6B8A" w:sz="6" w:space="1"/>
        </w:pBdr>
        <w:spacing w:before="200" w:after="60"/>
      </w:pPr>
      <w:r>
        <w:rPr>
          <w:rFonts w:ascii="Arial" w:cs="Arial" w:eastAsia="Arial" w:hAnsi="Arial"/>
          <w:b/>
          <w:bCs/>
          <w:color w:val="0E6B8A"/>
          <w:sz w:val="26"/>
          <w:szCs w:val="26"/>
        </w:rPr>
        <w:t xml:space="preserve">What is Market Risk?</w:t>
      </w:r>
    </w:p>
    <w:p>
      <w:pPr>
        <w:spacing w:before="60" w:after="60"/>
      </w:pPr>
      <w:r>
        <w:rPr>
          <w:rFonts w:ascii="Arial" w:cs="Arial" w:eastAsia="Arial" w:hAnsi="Arial"/>
          <w:b w:val="false"/>
          <w:bCs w:val="false"/>
          <w:i w:val="false"/>
          <w:iCs w:val="false"/>
          <w:color w:val="333333"/>
          <w:sz w:val="20"/>
          <w:szCs w:val="20"/>
        </w:rPr>
        <w:t xml:space="preserve">Market risk is the risk of losses from adverse movements in market prices. It affects the trading book and has five components under FRTB:</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Interest Rate Risk — the risk that interest rates move adversely. Sensitivity measured by DV01 (dollar value of a 1 basis point move). Captured under FRTB's GIRR risk class.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Foreign Exchange (FX) Risk — the risk that currency exchange rates move. A USD-asset funded in GBP loses value if USD depreciates. FRTB FX risk class.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Equity Risk — the risk that equity prices fall. Includes spot prices, dividend risk, and repo rates for equity positions. FRTB equity risk class.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Commodity Risk — the risk that commodity prices move adversely. Covers energy, metals, agriculture — spot prices and forward curves. FRTB commodity risk class.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Credit Spread Risk — the risk that credit spreads widen, reducing bond and CDS values. Introduced as a distinct FRTB risk class (CSR), not explicitly separated pre-FRTB.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FRTB INNOVATION</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Credit Spread Risk as a standalone risk class is one of FRTB's most significant structural changes. Pre-FRTB, credit spread movements on trading book bonds were partially captured by VaR but not as a distinct, explicitly measured risk factor. FRTB's CSR class — with its own risk weights and correlation structure — directly targets the credit losses that proved so large in 2008.</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What is VaR — and Why Did It Dominate?</w:t>
      </w:r>
    </w:p>
    <w:p>
      <w:pPr>
        <w:spacing w:before="60" w:after="60"/>
      </w:pPr>
      <w:r>
        <w:rPr>
          <w:rFonts w:ascii="Arial" w:cs="Arial" w:eastAsia="Arial" w:hAnsi="Arial"/>
          <w:b w:val="false"/>
          <w:bCs w:val="false"/>
          <w:i w:val="false"/>
          <w:iCs w:val="false"/>
          <w:color w:val="333333"/>
          <w:sz w:val="20"/>
          <w:szCs w:val="20"/>
        </w:rPr>
        <w:t xml:space="preserve">Value at Risk (VaR) was the dominant market risk measure following the Basel Committee's 1996 Market Risk Amendment. In plain English: VaR answers the question 'What is the maximum I could lose over a given time period, at a given confidence level, assuming normal market conditions?'</w:t>
      </w:r>
    </w:p>
    <w:p>
      <w:pPr>
        <w:spacing w:before="60" w:after="60"/>
      </w:pPr>
      <w:r>
        <w:rPr>
          <w:rFonts w:ascii="Arial" w:cs="Arial" w:eastAsia="Arial" w:hAnsi="Arial"/>
          <w:b w:val="false"/>
          <w:bCs w:val="false"/>
          <w:i w:val="false"/>
          <w:iCs w:val="false"/>
          <w:color w:val="333333"/>
          <w:sz w:val="20"/>
          <w:szCs w:val="20"/>
        </w:rPr>
        <w:t xml:space="preserve">The regulatory specification under Basel II/III was 99% confidence, 10-day holding period. This means: there is a 1% chance that losses exceed the VaR figure over 10 days — losses should not exceed VaR on more than 2-3 trading days per year.</w:t>
      </w:r>
    </w:p>
    <w:p>
      <w:pPr>
        <w:pStyle w:val="Heading3"/>
        <w:spacing w:before="160" w:after="40"/>
      </w:pPr>
      <w:r>
        <w:rPr>
          <w:rFonts w:ascii="Arial" w:cs="Arial" w:eastAsia="Arial" w:hAnsi="Arial"/>
          <w:b/>
          <w:bCs/>
          <w:color w:val="1B3A6B"/>
          <w:sz w:val="22"/>
          <w:szCs w:val="22"/>
        </w:rPr>
        <w:t xml:space="preserve">A Plain-English VaR Example</w:t>
      </w:r>
    </w:p>
    <w:p>
      <w:pPr>
        <w:spacing w:before="60" w:after="60"/>
      </w:pPr>
      <w:r>
        <w:rPr>
          <w:rFonts w:ascii="Arial" w:cs="Arial" w:eastAsia="Arial" w:hAnsi="Arial"/>
          <w:b w:val="false"/>
          <w:bCs w:val="false"/>
          <w:i w:val="false"/>
          <w:iCs w:val="false"/>
          <w:color w:val="333333"/>
          <w:sz w:val="20"/>
          <w:szCs w:val="20"/>
        </w:rPr>
        <w:t xml:space="preserve">A trading desk holds a portfolio of EUR interest rate swaps. The desk's risk team runs a VaR model on 1 year of historical daily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Parameter</w:t>
            </w:r>
          </w:p>
        </w:tc>
        <w:tc>
          <w:tcPr>
            <w:tcW w:type="dxa" w:w="2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Value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Portfolio Notional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€100,000,000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Face value of positions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Historical Period</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 year (250 trading days)</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Data used to estimate volatility and correlations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Confidence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99%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We are 99% confident losses won't exceed VaR on any given day</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Holding Period</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 days</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Regulatory assumption for how long to exit the 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Daily Volatility (rates)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10bp (1 standard deviation)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Historical standard deviation of daily rate moves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99th Percentile Rate Move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23bp (2.33 × 10bp)</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The rate shock exceeded only 1% of the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DV01 of Portfolio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€42,500 per basis point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P&amp;L change per 1bp rate move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1-day 99% VaR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23bp × €42,500</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€977,500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10-day VaR (scaled)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€977,500 × √10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€3,090,000</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Multiplication Factor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 (clean backtesting)</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Regulatory minimum capital multiplier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Market Risk Capital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 × €3,090,000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€9,270,000</w:t>
            </w:r>
          </w:p>
        </w:tc>
      </w:tr>
    </w:tbl>
    <w:p>
      <w:pPr>
        <w:spacing w:before="60" w:after="60"/>
      </w:pPr>
    </w:p>
    <w:p>
      <w:pPr>
        <w:spacing w:before="60" w:after="60"/>
      </w:pPr>
      <w:r>
        <w:rPr>
          <w:rFonts w:ascii="Arial" w:cs="Arial" w:eastAsia="Arial" w:hAnsi="Arial"/>
          <w:b w:val="false"/>
          <w:bCs w:val="false"/>
          <w:i w:val="false"/>
          <w:iCs w:val="false"/>
          <w:color w:val="333333"/>
          <w:sz w:val="20"/>
          <w:szCs w:val="20"/>
        </w:rPr>
        <w:t xml:space="preserve">The 10-day VaR is scaled from the 1-day VaR using the square root of time (√10 ≈ 3.162), assuming daily returns are independent and normally distributed. Both assumptions were central to the post-GFC critique — markets in stress are neither independent day-to-day nor normally distributed.</w:t>
      </w:r>
    </w:p>
    <w:p>
      <w:pPr>
        <w:pStyle w:val="Heading3"/>
        <w:spacing w:before="160" w:after="40"/>
      </w:pPr>
      <w:r>
        <w:rPr>
          <w:rFonts w:ascii="Arial" w:cs="Arial" w:eastAsia="Arial" w:hAnsi="Arial"/>
          <w:b/>
          <w:bCs/>
          <w:color w:val="1B3A6B"/>
          <w:sz w:val="22"/>
          <w:szCs w:val="22"/>
        </w:rPr>
        <w:t xml:space="preserve">What VaR Measures — and What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VaR Does Measure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VaR Does NOT Measure</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The loss threshold at a given confidence level</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magnitude of losses beyond that threshold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Normal-period market volatility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Tail risk / losses in extreme scenarios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Historical correlations between risk factors</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How correlations break down in a crisis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Position-level and portfolio-level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Liquidity risk — how hard it is to exit in stress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Diversification benefits (normal conditions)</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Concentration risk when diversification fails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THE VaR PROBLEM</w:t>
            </w:r>
          </w:p>
        </w:tc>
        <w:tc>
          <w:tcPr>
            <w:tcW w:type="dxa" w:w="7960"/>
            <w:tcBorders>
              <w:top w:val="single" w:color="8B0000" w:sz="1"/>
              <w:left w:val="single" w:color="8B0000" w:sz="1"/>
              <w:bottom w:val="single" w:color="8B0000" w:sz="1"/>
              <w:right w:val="single" w:color="8B0000"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VaR tells you the minimum loss on the worst 1% of days. It says nothing about how bad those days are. A portfolio with a 99% VaR of €1m could lose €1m or €1bn beyond that threshold — VaR cannot distinguish. This is the fundamental flaw that FRTB's Expected Shortfall measure was designed to fix.</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Why the Trading Book Attracted Lower Capital — The Arbitrage</w:t>
      </w:r>
    </w:p>
    <w:p>
      <w:pPr>
        <w:spacing w:before="60" w:after="60"/>
      </w:pPr>
      <w:r>
        <w:rPr>
          <w:rFonts w:ascii="Arial" w:cs="Arial" w:eastAsia="Arial" w:hAnsi="Arial"/>
          <w:b w:val="false"/>
          <w:bCs w:val="false"/>
          <w:i w:val="false"/>
          <w:iCs w:val="false"/>
          <w:color w:val="333333"/>
          <w:sz w:val="20"/>
          <w:szCs w:val="20"/>
        </w:rPr>
        <w:t xml:space="preserve">From the mid-1990s to 2007, a structural feature of the Basel framework created powerful incentives to classify exposures into the trading book. The mechanism was straightforward:</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Banking book credit exposures attracted credit risk capital based on probability of default and loss given default — often 6–12% of face value for corporate exposures under the IRB approach.</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Trading book exposures attracted market risk capital driven by VaR — which measures short-term price volatility, not long-term credit losses.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In benign pre-crisis markets, credit spreads on structured products were stable and low-volatility. VaR on credit instruments was therefore very low — sometimes 10–20× less than the banking book equivalent.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Banks responded rationally: structured credit products (CDOs, CLOs, ABS) were classified into the trading book, attracting a fraction of the capital that would apply in the banking book.</w:t>
      </w:r>
    </w:p>
    <w:p>
      <w:pPr>
        <w:spacing w:before="60" w:after="60"/>
      </w:pPr>
      <w:r>
        <w:rPr>
          <w:rFonts w:ascii="Arial" w:cs="Arial" w:eastAsia="Arial" w:hAnsi="Arial"/>
          <w:b w:val="false"/>
          <w:bCs w:val="false"/>
          <w:i w:val="false"/>
          <w:iCs w:val="false"/>
          <w:color w:val="333333"/>
          <w:sz w:val="20"/>
          <w:szCs w:val="20"/>
        </w:rPr>
        <w:t xml:space="preserve">This was not illegal — it was the logical response to how the rules were written. But it meant that when credit markets seized in 2007–08, banks held enormous trading book positions with almost no capital buffer. The losses that followed were catastrophic.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REGULATORY ARBITRAGE IN NUMBERS</w:t>
            </w:r>
          </w:p>
        </w:tc>
        <w:tc>
          <w:tcPr>
            <w:tcW w:type="dxa" w:w="7960"/>
            <w:tcBorders>
              <w:top w:val="single" w:color="8B0000" w:sz="1"/>
              <w:left w:val="single" w:color="8B0000" w:sz="1"/>
              <w:bottom w:val="single" w:color="8B0000" w:sz="1"/>
              <w:right w:val="single" w:color="8B0000"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 €100m exposure to a BBB ABS tranche: Banking book SA capital = €8,000,000 (100% RW × 8%). Trading book VaR capital in 2006 ≈ €500,000–€1,000,000 (low spread volatility). The same economic risk, 8–16× less capital. Basel 2.5 addressed the symptom. FRTB was built to eliminate the cause.</w:t>
            </w:r>
          </w:p>
        </w:tc>
      </w:tr>
    </w:tbl>
    <w:p>
      <w:r>
        <w:br w:type="page"/>
      </w:r>
    </w:p>
    <w:p>
      <w:pPr>
        <w:pStyle w:val="Heading1"/>
        <w:spacing w:before="240" w:after="80"/>
      </w:pPr>
      <w:r>
        <w:rPr>
          <w:rFonts w:ascii="Arial" w:cs="Arial" w:eastAsia="Arial" w:hAnsi="Arial"/>
          <w:b/>
          <w:bCs/>
          <w:color w:val="1B3A6B"/>
          <w:sz w:val="32"/>
          <w:szCs w:val="32"/>
        </w:rPr>
        <w:t xml:space="preserve">Part 2: The Problem FRTB Was Built to Solve</w:t>
      </w:r>
    </w:p>
    <w:p>
      <w:pPr>
        <w:spacing w:before="80" w:after="60"/>
      </w:pPr>
      <w:r>
        <w:rPr>
          <w:rFonts w:ascii="Arial" w:cs="Arial" w:eastAsia="Arial" w:hAnsi="Arial"/>
          <w:b w:val="false"/>
          <w:bCs w:val="false"/>
          <w:i w:val="false"/>
          <w:iCs w:val="false"/>
          <w:color w:val="333333"/>
          <w:sz w:val="20"/>
          <w:szCs w:val="20"/>
        </w:rPr>
        <w:t xml:space="preserve">FRTB did not emerge from abstract regulatory theory. It was the direct response to a sequence of failures — regulatory, model-based, and structural — that became visible during the 2007–09 Global Financial Crisis. Understanding these failures is essential to understanding why FRTB's architecture is as complex as it is.</w:t>
      </w:r>
    </w:p>
    <w:p>
      <w:pPr>
        <w:pStyle w:val="Heading2"/>
        <w:pBdr>
          <w:bottom w:val="single" w:color="0E6B8A" w:sz="6" w:space="1"/>
        </w:pBdr>
        <w:spacing w:before="200" w:after="60"/>
      </w:pPr>
      <w:r>
        <w:rPr>
          <w:rFonts w:ascii="Arial" w:cs="Arial" w:eastAsia="Arial" w:hAnsi="Arial"/>
          <w:b/>
          <w:bCs/>
          <w:color w:val="0E6B8A"/>
          <w:sz w:val="26"/>
          <w:szCs w:val="26"/>
        </w:rPr>
        <w:t xml:space="preserve">The 1996 Market Risk Amendment — VaR Enters Regulation</w:t>
      </w:r>
    </w:p>
    <w:p>
      <w:pPr>
        <w:spacing w:before="60" w:after="60"/>
      </w:pPr>
      <w:r>
        <w:rPr>
          <w:rFonts w:ascii="Arial" w:cs="Arial" w:eastAsia="Arial" w:hAnsi="Arial"/>
          <w:b w:val="false"/>
          <w:bCs w:val="false"/>
          <w:i w:val="false"/>
          <w:iCs w:val="false"/>
          <w:color w:val="333333"/>
          <w:sz w:val="20"/>
          <w:szCs w:val="20"/>
        </w:rPr>
        <w:t xml:space="preserve">Before 1996 there was no formal market risk capital framework. Banks held trading books without any prescribed capital buffer against market price movements. The 1996 Amendment to Basel I changed this — it was a landmark moment: for the first time, banks could use their own internal VaR models (subject to supervisory approval) to calculate regulatory capital for market risk.</w:t>
      </w:r>
    </w:p>
    <w:p>
      <w:pPr>
        <w:spacing w:before="60" w:after="60"/>
      </w:pPr>
      <w:r>
        <w:rPr>
          <w:rFonts w:ascii="Arial" w:cs="Arial" w:eastAsia="Arial" w:hAnsi="Arial"/>
          <w:b w:val="false"/>
          <w:bCs w:val="false"/>
          <w:i w:val="false"/>
          <w:iCs w:val="false"/>
          <w:color w:val="333333"/>
          <w:sz w:val="20"/>
          <w:szCs w:val="20"/>
        </w:rPr>
        <w:t xml:space="preserve">The Amendment introduced the internal models approach alongside a simpler standardised approach. Banks with approved models gained a significant capital advantage — their capital reflected their own risk estimates rather than conservative regulatory formulae. This created a race toward model sophistication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1996 Amendment Feature</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VaR Parameters</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99% confidence, 10-day holding period (or 1-day scaled by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Backtesting Requirement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Compare daily VaR to actual P&amp;L; 250-day rolling window</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Multiplication Factor</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Minimum 3× average 60-day VaR; rises to 4× with backtesting exceptions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Specific Risk Charge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Additional charge for idiosyncratic risk of individual positions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Standardised Alternative</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Fixed sensitivity-based charges for banks without model approval</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What the GFC Revealed — Five Structural Failures</w:t>
      </w:r>
    </w:p>
    <w:p>
      <w:pPr>
        <w:spacing w:before="60" w:after="60"/>
      </w:pPr>
      <w:r>
        <w:rPr>
          <w:rFonts w:ascii="Arial" w:cs="Arial" w:eastAsia="Arial" w:hAnsi="Arial"/>
          <w:b w:val="false"/>
          <w:bCs w:val="false"/>
          <w:i w:val="false"/>
          <w:iCs w:val="false"/>
          <w:color w:val="333333"/>
          <w:sz w:val="20"/>
          <w:szCs w:val="20"/>
        </w:rPr>
        <w:t xml:space="preserve">The 2007–09 crisis exposed the 1996 framework as fundamentally inadequate for the trading books that had evolved in the intervening decade. The BCBS identified five structural failures in its post-crisis diagnosis:</w:t>
      </w:r>
    </w:p>
    <w:p>
      <w:pPr>
        <w:pStyle w:val="Heading3"/>
        <w:spacing w:before="160" w:after="40"/>
      </w:pPr>
      <w:r>
        <w:rPr>
          <w:rFonts w:ascii="Arial" w:cs="Arial" w:eastAsia="Arial" w:hAnsi="Arial"/>
          <w:b/>
          <w:bCs/>
          <w:color w:val="1B3A6B"/>
          <w:sz w:val="22"/>
          <w:szCs w:val="22"/>
        </w:rPr>
        <w:t xml:space="preserve">Failure 1: VaR Underestimated Tail Risk</w:t>
      </w:r>
    </w:p>
    <w:p>
      <w:pPr>
        <w:spacing w:before="60" w:after="60"/>
      </w:pPr>
      <w:r>
        <w:rPr>
          <w:rFonts w:ascii="Arial" w:cs="Arial" w:eastAsia="Arial" w:hAnsi="Arial"/>
          <w:b w:val="false"/>
          <w:bCs w:val="false"/>
          <w:i w:val="false"/>
          <w:iCs w:val="false"/>
          <w:color w:val="333333"/>
          <w:sz w:val="20"/>
          <w:szCs w:val="20"/>
        </w:rPr>
        <w:t xml:space="preserve">VaR measures the loss at the 99th percentile. It says nothing about losses beyond that point. During the GFC, actual trading losses were not 1.5× or 2× the VaR — they were 10× to 20× in some cases. The measure that regulators and banks relied on for capital calibration simply did not capture the severity of extreme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DATA POINT</w:t>
            </w:r>
          </w:p>
        </w:tc>
        <w:tc>
          <w:tcPr>
            <w:tcW w:type="dxa" w:w="7960"/>
            <w:tcBorders>
              <w:top w:val="single" w:color="8B0000" w:sz="1"/>
              <w:left w:val="single" w:color="8B0000" w:sz="1"/>
              <w:bottom w:val="single" w:color="8B0000" w:sz="1"/>
              <w:right w:val="single" w:color="8B0000"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UBS disclosed trading book losses of approximately CHF 18.7bn in 2008. Their pre-crisis 99% 10-day VaR had been running at approximately CHF 600m. The actual loss was approximately 30× the VaR figure.</w:t>
            </w:r>
          </w:p>
        </w:tc>
      </w:tr>
    </w:tbl>
    <w:p>
      <w:pPr>
        <w:pStyle w:val="Heading3"/>
        <w:spacing w:before="160" w:after="40"/>
      </w:pPr>
      <w:r>
        <w:rPr>
          <w:rFonts w:ascii="Arial" w:cs="Arial" w:eastAsia="Arial" w:hAnsi="Arial"/>
          <w:b/>
          <w:bCs/>
          <w:color w:val="1B3A6B"/>
          <w:sz w:val="22"/>
          <w:szCs w:val="22"/>
        </w:rPr>
        <w:t xml:space="preserve">Failure 2: No Stressed Calibration</w:t>
      </w:r>
    </w:p>
    <w:p>
      <w:pPr>
        <w:spacing w:before="60" w:after="60"/>
      </w:pPr>
      <w:r>
        <w:rPr>
          <w:rFonts w:ascii="Arial" w:cs="Arial" w:eastAsia="Arial" w:hAnsi="Arial"/>
          <w:b w:val="false"/>
          <w:bCs w:val="false"/>
          <w:i w:val="false"/>
          <w:iCs w:val="false"/>
          <w:color w:val="333333"/>
          <w:sz w:val="20"/>
          <w:szCs w:val="20"/>
        </w:rPr>
        <w:t xml:space="preserve">Pre-crisis VaR was calibrated to recent historical data — typically 1 year of daily returns. In the benign 2003–2006 period, market volatility was exceptionally low. VaR models trained on this data gave artificially low risk estimates. When markets moved to crisis-period volatility, banks were drastically undercapitalised relative to actual risk.</w:t>
      </w:r>
    </w:p>
    <w:p>
      <w:pPr>
        <w:pStyle w:val="Heading3"/>
        <w:spacing w:before="160" w:after="40"/>
      </w:pPr>
      <w:r>
        <w:rPr>
          <w:rFonts w:ascii="Arial" w:cs="Arial" w:eastAsia="Arial" w:hAnsi="Arial"/>
          <w:b/>
          <w:bCs/>
          <w:color w:val="1B3A6B"/>
          <w:sz w:val="22"/>
          <w:szCs w:val="22"/>
        </w:rPr>
        <w:t xml:space="preserve">Failure 3: Correlation Assumptions Broke Down</w:t>
      </w:r>
    </w:p>
    <w:p>
      <w:pPr>
        <w:spacing w:before="60" w:after="60"/>
      </w:pPr>
      <w:r>
        <w:rPr>
          <w:rFonts w:ascii="Arial" w:cs="Arial" w:eastAsia="Arial" w:hAnsi="Arial"/>
          <w:b w:val="false"/>
          <w:bCs w:val="false"/>
          <w:i w:val="false"/>
          <w:iCs w:val="false"/>
          <w:color w:val="333333"/>
          <w:sz w:val="20"/>
          <w:szCs w:val="20"/>
        </w:rPr>
        <w:t xml:space="preserve">VaR models assumed that the correlations between asset classes observed in normal times would persist in stress. They did not. During the GFC, previously uncorrelated assets became highly correlated simultaneously — equities, credit, real estate, and structured products all fell together. Diversification benefits that had reduced VaR evaporated precisely when they were most needed.</w:t>
      </w:r>
    </w:p>
    <w:p>
      <w:pPr>
        <w:pStyle w:val="Heading3"/>
        <w:spacing w:before="160" w:after="40"/>
      </w:pPr>
      <w:r>
        <w:rPr>
          <w:rFonts w:ascii="Arial" w:cs="Arial" w:eastAsia="Arial" w:hAnsi="Arial"/>
          <w:b/>
          <w:bCs/>
          <w:color w:val="1B3A6B"/>
          <w:sz w:val="22"/>
          <w:szCs w:val="22"/>
        </w:rPr>
        <w:t xml:space="preserve">Failure 4: Liquidity Risk Ignored</w:t>
      </w:r>
    </w:p>
    <w:p>
      <w:pPr>
        <w:spacing w:before="60" w:after="60"/>
      </w:pPr>
      <w:r>
        <w:rPr>
          <w:rFonts w:ascii="Arial" w:cs="Arial" w:eastAsia="Arial" w:hAnsi="Arial"/>
          <w:b w:val="false"/>
          <w:bCs w:val="false"/>
          <w:i w:val="false"/>
          <w:iCs w:val="false"/>
          <w:color w:val="333333"/>
          <w:sz w:val="20"/>
          <w:szCs w:val="20"/>
        </w:rPr>
        <w:t xml:space="preserve">VaR assumed positions could be liquidated over the holding period (10 days) at normal market prices. In practice, markets for structured credit products — CDOs, ABS, CLOs — froze completely. Positions that VaR treated as liquidable in 10 days took months or years to exit, and only at catastrophic discounts. Capital built on a 10-day assumption was entirely inadequate for positions with actual liquidity horizons of 1–3 years.</w:t>
      </w:r>
    </w:p>
    <w:p>
      <w:pPr>
        <w:pStyle w:val="Heading3"/>
        <w:spacing w:before="160" w:after="40"/>
      </w:pPr>
      <w:r>
        <w:rPr>
          <w:rFonts w:ascii="Arial" w:cs="Arial" w:eastAsia="Arial" w:hAnsi="Arial"/>
          <w:b/>
          <w:bCs/>
          <w:color w:val="1B3A6B"/>
          <w:sz w:val="22"/>
          <w:szCs w:val="22"/>
        </w:rPr>
        <w:t xml:space="preserve">Failure 5: The Trading/Banking Book Boundary Was Porous</w:t>
      </w:r>
    </w:p>
    <w:p>
      <w:pPr>
        <w:spacing w:before="60" w:after="60"/>
      </w:pPr>
      <w:r>
        <w:rPr>
          <w:rFonts w:ascii="Arial" w:cs="Arial" w:eastAsia="Arial" w:hAnsi="Arial"/>
          <w:b w:val="false"/>
          <w:bCs w:val="false"/>
          <w:i w:val="false"/>
          <w:iCs w:val="false"/>
          <w:color w:val="333333"/>
          <w:sz w:val="20"/>
          <w:szCs w:val="20"/>
        </w:rPr>
        <w:t xml:space="preserve">Banks had wide discretion over which positions sat in the trading book versus the banking book. This created the regulatory arbitrage described in Part 1. Long-dated credit exposures with essentially banking-book characteristics were classified as trading book to attract VaR-based capital — a fraction of the equivalent banking book charge. When these positions lost value, the capital buffer was wholly inadequate.</w:t>
      </w:r>
    </w:p>
    <w:p>
      <w:pPr>
        <w:pStyle w:val="Heading2"/>
        <w:pBdr>
          <w:bottom w:val="single" w:color="0E6B8A" w:sz="6" w:space="1"/>
        </w:pBdr>
        <w:spacing w:before="200" w:after="60"/>
      </w:pPr>
      <w:r>
        <w:rPr>
          <w:rFonts w:ascii="Arial" w:cs="Arial" w:eastAsia="Arial" w:hAnsi="Arial"/>
          <w:b/>
          <w:bCs/>
          <w:color w:val="0E6B8A"/>
          <w:sz w:val="26"/>
          <w:szCs w:val="26"/>
        </w:rPr>
        <w:t xml:space="preserve">Basel 2.5 (2009) — The Emergency Patch</w:t>
      </w:r>
    </w:p>
    <w:p>
      <w:pPr>
        <w:spacing w:before="60" w:after="60"/>
      </w:pPr>
      <w:r>
        <w:rPr>
          <w:rFonts w:ascii="Arial" w:cs="Arial" w:eastAsia="Arial" w:hAnsi="Arial"/>
          <w:b w:val="false"/>
          <w:bCs w:val="false"/>
          <w:i w:val="false"/>
          <w:iCs w:val="false"/>
          <w:color w:val="333333"/>
          <w:sz w:val="20"/>
          <w:szCs w:val="20"/>
        </w:rPr>
        <w:t xml:space="preserve">The BCBS could not wait for a comprehensive reform. In 2009 it published what became known as Basel 2.5 — a set of immediate enhancements to the 1996 framework, effective from year-end 2011. Basel 2.5 addressed some symptoms without redesigning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Enhancement</w:t>
            </w:r>
          </w:p>
        </w:tc>
        <w:tc>
          <w:tcPr>
            <w:tcW w:type="dxa" w:w="35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What It Added</w:t>
            </w:r>
          </w:p>
        </w:tc>
        <w:tc>
          <w:tcPr>
            <w:tcW w:type="dxa" w:w="358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What It Did Not 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Stressed VaR (SVaR)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Required VaR to be recalculated using a 12-month stress period (typically 2007–09 crisis data). Capital = VaR + SVaR.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Still VaR-based — did not capture tail severity beyond 99th percentile.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Incremental Risk Charge (IRC)</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New charge for default and credit migration risk on trading book positions over a 1-year horizon at 99.9% confidence.</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Applied only to credit-sensitive instruments; complex to implement consistently.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Comprehensive Risk Measure (CRM)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Capital charge for correlation trading positions (CDO tranches etc.) using full revaluation stress scenarios.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Proved difficult to model; many banks struggled with implementation.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Specific Risk Enhancements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Tightened the standardised specific risk charges for securitisation exposures.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Did not address the fundamental porous boundary between books.</w:t>
            </w:r>
          </w:p>
        </w:tc>
      </w:tr>
    </w:tbl>
    <w:p>
      <w:pPr>
        <w:spacing w:before="60" w:after="60"/>
      </w:pPr>
    </w:p>
    <w:p>
      <w:pPr>
        <w:spacing w:before="60" w:after="60"/>
      </w:pPr>
      <w:r>
        <w:rPr>
          <w:rFonts w:ascii="Arial" w:cs="Arial" w:eastAsia="Arial" w:hAnsi="Arial"/>
          <w:b w:val="false"/>
          <w:bCs w:val="false"/>
          <w:i w:val="false"/>
          <w:iCs w:val="false"/>
          <w:color w:val="333333"/>
          <w:sz w:val="20"/>
          <w:szCs w:val="20"/>
        </w:rPr>
        <w:t xml:space="preserve">Basel 2.5 roughly doubled market risk capital requirements for most major banks. But the BCBS recognised immediately that it was a patch, not a solution. The framework was now a layered accumulation of VaR, SVaR, IRC, and CRM — complex, inconsistent across institutions, and still built on the flawed VaR foundation. A fundamental redesign was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THE BCBS CONCLUSION</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fundamental problem was not the VaR model itself — it was using VaR as the sole measure of trading book risk in a regulatory capital framework. VaR is useful for day-to-day risk management. It is inappropriate as the primary basis for regulatory capital, which must protect against extreme but plausible losses.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The FRTB Consultation Process — 2012 to 2019</w:t>
      </w:r>
    </w:p>
    <w:p>
      <w:pPr>
        <w:spacing w:before="60" w:after="60"/>
      </w:pPr>
      <w:r>
        <w:rPr>
          <w:rFonts w:ascii="Arial" w:cs="Arial" w:eastAsia="Arial" w:hAnsi="Arial"/>
          <w:b w:val="false"/>
          <w:bCs w:val="false"/>
          <w:i w:val="false"/>
          <w:iCs w:val="false"/>
          <w:color w:val="333333"/>
          <w:sz w:val="20"/>
          <w:szCs w:val="20"/>
        </w:rPr>
        <w:t xml:space="preserve">The BCBS launched the Fundamental Review of the Trading Book consultation in 2012. The process was unusually long and contentious — reflecting the complexity of the issues and the significant industry pushback on successive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Milestone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May 2012</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First consultative document published — introduced ES, liquidity horizons, P&amp;L Attribution Test concepts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Oct 2013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Second consultative document — refined boundary rules, introduced desk-level IMA approval</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Dec 2014</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Third consultative document — quantitative impact study (QIS) results; significant recalibration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Jan 2016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Final FRTB standard published (BCBS 352) — target implementation 2019</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Mar 2018</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Revised standard published — SA recalibrated downward after QIS showed excessive capital increase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Jan 2019</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Final revised standard (BCBS 457) — current definitive FRTB text; implementation deferred to 2022</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Nov 2021</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confirms final implementation date: January 2025 for most jurisdictions</w:t>
            </w:r>
          </w:p>
        </w:tc>
      </w:tr>
    </w:tbl>
    <w:p>
      <w:pPr>
        <w:spacing w:before="60" w:after="60"/>
      </w:pPr>
    </w:p>
    <w:p>
      <w:pPr>
        <w:spacing w:before="60" w:after="60"/>
      </w:pPr>
      <w:r>
        <w:rPr>
          <w:rFonts w:ascii="Arial" w:cs="Arial" w:eastAsia="Arial" w:hAnsi="Arial"/>
          <w:b w:val="false"/>
          <w:bCs w:val="false"/>
          <w:i w:val="false"/>
          <w:iCs w:val="false"/>
          <w:color w:val="333333"/>
          <w:sz w:val="20"/>
          <w:szCs w:val="20"/>
        </w:rPr>
        <w:t xml:space="preserve">The seven-year gap between the first consultation and the final revised standard reflects the genuine difficulty of the exercise. FRTB required simultaneously redesigning the risk measure, the boundary rules, the internal models approval process, and the standardised approach — while ensuring the resulting capital levels were appropriate and internationally consistent.</w:t>
      </w:r>
    </w:p>
    <w:p>
      <w:r>
        <w:br w:type="page"/>
      </w:r>
    </w:p>
    <w:p>
      <w:pPr>
        <w:pStyle w:val="Heading1"/>
        <w:spacing w:before="240" w:after="80"/>
      </w:pPr>
      <w:r>
        <w:rPr>
          <w:rFonts w:ascii="Arial" w:cs="Arial" w:eastAsia="Arial" w:hAnsi="Arial"/>
          <w:b/>
          <w:bCs/>
          <w:color w:val="1B3A6B"/>
          <w:sz w:val="32"/>
          <w:szCs w:val="32"/>
        </w:rPr>
        <w:t xml:space="preserve">Part 3: The FRTB Framework — Breadth</w:t>
      </w:r>
    </w:p>
    <w:p>
      <w:pPr>
        <w:spacing w:before="80" w:after="60"/>
      </w:pPr>
      <w:r>
        <w:rPr>
          <w:rFonts w:ascii="Arial" w:cs="Arial" w:eastAsia="Arial" w:hAnsi="Arial"/>
          <w:b w:val="false"/>
          <w:bCs w:val="false"/>
          <w:i w:val="false"/>
          <w:iCs w:val="false"/>
          <w:color w:val="333333"/>
          <w:sz w:val="20"/>
          <w:szCs w:val="20"/>
        </w:rPr>
        <w:t xml:space="preserve">FRTB (Fundamental Review of the Trading Book) is the Basel Committee's comprehensive redesign of market risk capital. Published in final form in January 2019 (BCBS 457), it replaces the entire Basel II/III market risk framework. This part introduces each pillar conceptually — the regulatory lens and worked examples follow in Parts 4 and 5.</w:t>
      </w:r>
    </w:p>
    <w:p>
      <w:pPr>
        <w:pStyle w:val="Heading2"/>
        <w:pBdr>
          <w:bottom w:val="single" w:color="0E6B8A" w:sz="6" w:space="1"/>
        </w:pBdr>
        <w:spacing w:before="200" w:after="60"/>
      </w:pPr>
      <w:r>
        <w:rPr>
          <w:rFonts w:ascii="Arial" w:cs="Arial" w:eastAsia="Arial" w:hAnsi="Arial"/>
          <w:b/>
          <w:bCs/>
          <w:color w:val="0E6B8A"/>
          <w:sz w:val="26"/>
          <w:szCs w:val="26"/>
        </w:rPr>
        <w:t xml:space="preserve">Pillar 1: The Trading / Banking Book Boundary</w:t>
      </w:r>
    </w:p>
    <w:p>
      <w:pPr>
        <w:spacing w:before="60" w:after="60"/>
      </w:pPr>
      <w:r>
        <w:rPr>
          <w:rFonts w:ascii="Arial" w:cs="Arial" w:eastAsia="Arial" w:hAnsi="Arial"/>
          <w:b w:val="false"/>
          <w:bCs w:val="false"/>
          <w:i w:val="false"/>
          <w:iCs w:val="false"/>
          <w:color w:val="333333"/>
          <w:sz w:val="20"/>
          <w:szCs w:val="20"/>
        </w:rPr>
        <w:t xml:space="preserve">FRTB begins where the crisis began — with a stricter, less gameable boundary between the trading book and the banking book. The pre-FRTB boundary was intent-based and largely self-designated. FRTB replaces this with a presumptive list approach.</w:t>
      </w:r>
    </w:p>
    <w:p>
      <w:pPr>
        <w:pStyle w:val="Heading3"/>
        <w:spacing w:before="160" w:after="40"/>
      </w:pPr>
      <w:r>
        <w:rPr>
          <w:rFonts w:ascii="Arial" w:cs="Arial" w:eastAsia="Arial" w:hAnsi="Arial"/>
          <w:b/>
          <w:bCs/>
          <w:color w:val="1B3A6B"/>
          <w:sz w:val="22"/>
          <w:szCs w:val="22"/>
        </w:rPr>
        <w:t xml:space="preserve">The Presumptive List</w:t>
      </w:r>
    </w:p>
    <w:p>
      <w:pPr>
        <w:spacing w:before="60" w:after="60"/>
      </w:pPr>
      <w:r>
        <w:rPr>
          <w:rFonts w:ascii="Arial" w:cs="Arial" w:eastAsia="Arial" w:hAnsi="Arial"/>
          <w:b w:val="false"/>
          <w:bCs w:val="false"/>
          <w:i w:val="false"/>
          <w:iCs w:val="false"/>
          <w:color w:val="333333"/>
          <w:sz w:val="20"/>
          <w:szCs w:val="20"/>
        </w:rPr>
        <w:t xml:space="preserve">FRTB establishes a list of instruments that must be in the trading book (tradable instruments, derivatives, market-making positions) and instruments that must be in the banking book (loans, deposits, unlisted equities held as investments). The default assignment follows the list; deviating from it requires explicit supervisory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Must Be Trading Book</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Must Be Banking Book</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Instruments held for short-term resale</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Unlisted equities not held for trading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Market-making positions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Loans and advances to customers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Instruments held to hedge trading book risk</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Deposits taken from customers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Exchange-traded derivatives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Investments in subsidiaries and associates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Options and structured products actively traded</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Real estate holdings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Short positions in any context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Retail and SME credit exposures</w:t>
            </w:r>
          </w:p>
        </w:tc>
      </w:tr>
    </w:tbl>
    <w:p>
      <w:pPr>
        <w:spacing w:before="60" w:after="60"/>
      </w:pPr>
    </w:p>
    <w:p>
      <w:pPr>
        <w:pStyle w:val="Heading3"/>
        <w:spacing w:before="160" w:after="40"/>
      </w:pPr>
      <w:r>
        <w:rPr>
          <w:rFonts w:ascii="Arial" w:cs="Arial" w:eastAsia="Arial" w:hAnsi="Arial"/>
          <w:b/>
          <w:bCs/>
          <w:color w:val="1B3A6B"/>
          <w:sz w:val="22"/>
          <w:szCs w:val="22"/>
        </w:rPr>
        <w:t xml:space="preserve">Reclassification — Now a Regulatory Event</w:t>
      </w:r>
    </w:p>
    <w:p>
      <w:pPr>
        <w:spacing w:before="60" w:after="60"/>
      </w:pPr>
      <w:r>
        <w:rPr>
          <w:rFonts w:ascii="Arial" w:cs="Arial" w:eastAsia="Arial" w:hAnsi="Arial"/>
          <w:b w:val="false"/>
          <w:bCs w:val="false"/>
          <w:i w:val="false"/>
          <w:iCs w:val="false"/>
          <w:color w:val="333333"/>
          <w:sz w:val="20"/>
          <w:szCs w:val="20"/>
        </w:rPr>
        <w:t xml:space="preserve">Under pre-FRTB rules, banks could reclassify instruments between books with relative flexibility. FRTB makes reclassification a regulatory event: it requires supervisory approval, must be disclosed publicly, and any capital benefit from reclassification must be recognised immediately as a P&amp;L hit — eliminating the capital arbitrage incentive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BOUNDARY KEY PRINCIPLE</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FRTB boundary is designed so that the capital treatment follows the economic reality of the position. A position that behaves like a banking book exposure — illiquid, long-dated, credit-driven — must attract banking book capital regardless of where the bank would prefer to classify it.</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Pillar 2: The Standardised Approach (SA)</w:t>
      </w:r>
    </w:p>
    <w:p>
      <w:pPr>
        <w:spacing w:before="60" w:after="60"/>
      </w:pPr>
      <w:r>
        <w:rPr>
          <w:rFonts w:ascii="Arial" w:cs="Arial" w:eastAsia="Arial" w:hAnsi="Arial"/>
          <w:b w:val="false"/>
          <w:bCs w:val="false"/>
          <w:i w:val="false"/>
          <w:iCs w:val="false"/>
          <w:color w:val="333333"/>
          <w:sz w:val="20"/>
          <w:szCs w:val="20"/>
        </w:rPr>
        <w:t xml:space="preserve">FRTB's Standardised Approach is mandatory for all banks, regardless of whether they also use the Internal Models Approach. Even IMA-approved desks must calculate SA capital — because SA serves as a floor and a fallback. This is a fundamental change from pre-FRTB, where banks could elect SA or IMA exclusively.</w:t>
      </w:r>
    </w:p>
    <w:p>
      <w:pPr>
        <w:pStyle w:val="Heading3"/>
        <w:spacing w:before="160" w:after="40"/>
      </w:pPr>
      <w:r>
        <w:rPr>
          <w:rFonts w:ascii="Arial" w:cs="Arial" w:eastAsia="Arial" w:hAnsi="Arial"/>
          <w:b/>
          <w:bCs/>
          <w:color w:val="1B3A6B"/>
          <w:sz w:val="22"/>
          <w:szCs w:val="22"/>
        </w:rPr>
        <w:t xml:space="preserve">Sensitivity-Based Method (SBM) — The Core of the SA</w:t>
      </w:r>
    </w:p>
    <w:p>
      <w:pPr>
        <w:spacing w:before="60" w:after="60"/>
      </w:pPr>
      <w:r>
        <w:rPr>
          <w:rFonts w:ascii="Arial" w:cs="Arial" w:eastAsia="Arial" w:hAnsi="Arial"/>
          <w:b w:val="false"/>
          <w:bCs w:val="false"/>
          <w:i w:val="false"/>
          <w:iCs w:val="false"/>
          <w:color w:val="333333"/>
          <w:sz w:val="20"/>
          <w:szCs w:val="20"/>
        </w:rPr>
        <w:t xml:space="preserve">The SA replaces the old standardised method's blunt notional-based charges with a sensitivity-based approach. Capital is calculated from three inputs for each risk factor:</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Delta — the sensitivity of the position's value to a small move in the risk factor (e.g. DV01 for interest rates, delta for equity options)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Vega — the sensitivity to a change in implied volatility (for options)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Curvature — the second-order sensitivity capturing the non-linearity of options (gamma-like)</w:t>
      </w:r>
    </w:p>
    <w:p>
      <w:pPr>
        <w:spacing w:before="60" w:after="60"/>
      </w:pPr>
      <w:r>
        <w:rPr>
          <w:rFonts w:ascii="Arial" w:cs="Arial" w:eastAsia="Arial" w:hAnsi="Arial"/>
          <w:b w:val="false"/>
          <w:bCs w:val="false"/>
          <w:i w:val="false"/>
          <w:iCs w:val="false"/>
          <w:color w:val="333333"/>
          <w:sz w:val="20"/>
          <w:szCs w:val="20"/>
        </w:rPr>
        <w:t xml:space="preserve">These sensitivities are aggregated within risk classes (GIRR, CSR, equity, FX, commodity) using prescribed correlation matrices, then across risk classes. The result is a single capital charge that reflects both individual risk and portfolio diversification — but within BCBS-prescribed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Risk Class</w:t>
            </w:r>
          </w:p>
        </w:tc>
        <w:tc>
          <w:tcPr>
            <w:tcW w:type="dxa" w:w="30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Full Name</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Key Risk Factors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GIRR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General Interest Rate Risk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Yield curves by currency and tenor; inflation; cross-currency basis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CSR non-sec</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Spread Risk — Non-Securitisation</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Spreads on corporate, sovereign, sub-sovereign bonds and CDS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CSR sec (CTP)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Spread Risk — Correlation Trading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CDO tranches; nth-to-default products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CSR sec (non-CTP)</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Spread Risk — Other Securitisation</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ABS, RMBS, CMBS not in CTP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Equity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Equity Risk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Spot prices, repos, dividends — large/small cap, developed/EM</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Commodity</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Commodity Risk</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Energy, metals, agriculture — spot and futures curves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Foreign Exchange Risk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Exchange rates vs bank's reporting currency</w:t>
            </w:r>
          </w:p>
        </w:tc>
      </w:tr>
    </w:tbl>
    <w:p>
      <w:pPr>
        <w:spacing w:before="60" w:after="60"/>
      </w:pPr>
    </w:p>
    <w:p>
      <w:pPr>
        <w:pStyle w:val="Heading3"/>
        <w:spacing w:before="160" w:after="40"/>
      </w:pPr>
      <w:r>
        <w:rPr>
          <w:rFonts w:ascii="Arial" w:cs="Arial" w:eastAsia="Arial" w:hAnsi="Arial"/>
          <w:b/>
          <w:bCs/>
          <w:color w:val="1B3A6B"/>
          <w:sz w:val="22"/>
          <w:szCs w:val="22"/>
        </w:rPr>
        <w:t xml:space="preserve">Default Risk Charge (DRC) and Residual Risk Add-On (RRAO)</w:t>
      </w:r>
    </w:p>
    <w:p>
      <w:pPr>
        <w:spacing w:before="60" w:after="60"/>
      </w:pPr>
      <w:r>
        <w:rPr>
          <w:rFonts w:ascii="Arial" w:cs="Arial" w:eastAsia="Arial" w:hAnsi="Arial"/>
          <w:b w:val="false"/>
          <w:bCs w:val="false"/>
          <w:i w:val="false"/>
          <w:iCs w:val="false"/>
          <w:color w:val="333333"/>
          <w:sz w:val="20"/>
          <w:szCs w:val="20"/>
        </w:rPr>
        <w:t xml:space="preserve">In addition to the SBM, the SA includes two supplementary charges: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Default Risk Charge (DRC) — captures the jump-to-default risk for positions sensitive to credit events. Applied to bonds, equities, and credit derivatives. Uses a 99.9% confidence, 1-year horizon — consistent with the banking book IRB approach.</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Residual Risk Add-On (RRAO) — a notional-based charge for instruments with exotic risk features that cannot be adequately captured by delta, vega, and curvature. Examples include gap risk, correlation risk in multi-asset products, and behavioural risk in mortgages with prepayment optionality.</w:t>
      </w:r>
    </w:p>
    <w:p>
      <w:pPr>
        <w:pStyle w:val="Heading2"/>
        <w:pBdr>
          <w:bottom w:val="single" w:color="0E6B8A" w:sz="6" w:space="1"/>
        </w:pBdr>
        <w:spacing w:before="200" w:after="60"/>
      </w:pPr>
      <w:r>
        <w:rPr>
          <w:rFonts w:ascii="Arial" w:cs="Arial" w:eastAsia="Arial" w:hAnsi="Arial"/>
          <w:b/>
          <w:bCs/>
          <w:color w:val="0E6B8A"/>
          <w:sz w:val="26"/>
          <w:szCs w:val="26"/>
        </w:rPr>
        <w:t xml:space="preserve">Pillar 3: The Internal Models Approach (IMA)</w:t>
      </w:r>
    </w:p>
    <w:p>
      <w:pPr>
        <w:spacing w:before="60" w:after="60"/>
      </w:pPr>
      <w:r>
        <w:rPr>
          <w:rFonts w:ascii="Arial" w:cs="Arial" w:eastAsia="Arial" w:hAnsi="Arial"/>
          <w:b w:val="false"/>
          <w:bCs w:val="false"/>
          <w:i w:val="false"/>
          <w:iCs w:val="false"/>
          <w:color w:val="333333"/>
          <w:sz w:val="20"/>
          <w:szCs w:val="20"/>
        </w:rPr>
        <w:t xml:space="preserve">FRTB's IMA is the path for sophisticated banks to use their own models for regulatory capital — subject to significantly stricter conditions than the pre-FRTB IMA. Two fundamental changes define the new IMA: the risk measure changes from VaR to Expected Shortfall, and approval operates at the trading desk level rather than the whole-bank level.</w:t>
      </w:r>
    </w:p>
    <w:p>
      <w:pPr>
        <w:pStyle w:val="Heading3"/>
        <w:spacing w:before="160" w:after="40"/>
      </w:pPr>
      <w:r>
        <w:rPr>
          <w:rFonts w:ascii="Arial" w:cs="Arial" w:eastAsia="Arial" w:hAnsi="Arial"/>
          <w:b/>
          <w:bCs/>
          <w:color w:val="1B3A6B"/>
          <w:sz w:val="22"/>
          <w:szCs w:val="22"/>
        </w:rPr>
        <w:t xml:space="preserve">Expected Shortfall (ES) — Replacing VaR</w:t>
      </w:r>
    </w:p>
    <w:p>
      <w:pPr>
        <w:spacing w:before="60" w:after="60"/>
      </w:pPr>
      <w:r>
        <w:rPr>
          <w:rFonts w:ascii="Arial" w:cs="Arial" w:eastAsia="Arial" w:hAnsi="Arial"/>
          <w:b w:val="false"/>
          <w:bCs w:val="false"/>
          <w:i w:val="false"/>
          <w:iCs w:val="false"/>
          <w:color w:val="333333"/>
          <w:sz w:val="20"/>
          <w:szCs w:val="20"/>
        </w:rPr>
        <w:t xml:space="preserve">Expected Shortfall (ES), also called Conditional VaR (CVaR) or Expected Tail Loss (ETL), addresses VaR's core failing. ES answers: 'Given that we are in the worst X% of outcomes, what is the average loss?' ES captures the severity of tail losses, not just their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VaR (Old Measure)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Expected Shortfall (New Measure)</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99th percentile loss threshold</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97.5th percentile average tail 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Says nothing about severity beyond 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Captures average loss in the tail</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1-year historical calibration (normal period)</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Stressed calibration — crisis period data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10-day holding period uniformly applied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Liquidity horizon varies by risk factor (10–250 days)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Can be gamed by building positions at threshold</w:t>
            </w:r>
          </w:p>
        </w:tc>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Sub-additive — harder to optimise against</w:t>
            </w:r>
          </w:p>
        </w:tc>
      </w:tr>
    </w:tbl>
    <w:p>
      <w:pPr>
        <w:spacing w:before="60" w:after="60"/>
      </w:pPr>
    </w:p>
    <w:p>
      <w:pPr>
        <w:spacing w:before="60" w:after="60"/>
      </w:pPr>
      <w:r>
        <w:rPr>
          <w:rFonts w:ascii="Arial" w:cs="Arial" w:eastAsia="Arial" w:hAnsi="Arial"/>
          <w:b w:val="false"/>
          <w:bCs w:val="false"/>
          <w:i w:val="false"/>
          <w:iCs w:val="false"/>
          <w:color w:val="333333"/>
          <w:sz w:val="20"/>
          <w:szCs w:val="20"/>
        </w:rPr>
        <w:t xml:space="preserve">The shift from 99% VaR to 97.5% ES was calibrated so that in a normal distribution the two measures produce similar results — but ES is significantly more conservative in fat-tailed distributions, which is precisely what trading book losses exhibit in stress.</w:t>
      </w:r>
    </w:p>
    <w:p>
      <w:pPr>
        <w:pStyle w:val="Heading3"/>
        <w:spacing w:before="160" w:after="40"/>
      </w:pPr>
      <w:r>
        <w:rPr>
          <w:rFonts w:ascii="Arial" w:cs="Arial" w:eastAsia="Arial" w:hAnsi="Arial"/>
          <w:b/>
          <w:bCs/>
          <w:color w:val="1B3A6B"/>
          <w:sz w:val="22"/>
          <w:szCs w:val="22"/>
        </w:rPr>
        <w:t xml:space="preserve">Liquidity Horizons — The Anti-VaR Assumption</w:t>
      </w:r>
    </w:p>
    <w:p>
      <w:pPr>
        <w:spacing w:before="60" w:after="60"/>
      </w:pPr>
      <w:r>
        <w:rPr>
          <w:rFonts w:ascii="Arial" w:cs="Arial" w:eastAsia="Arial" w:hAnsi="Arial"/>
          <w:b w:val="false"/>
          <w:bCs w:val="false"/>
          <w:i w:val="false"/>
          <w:iCs w:val="false"/>
          <w:color w:val="333333"/>
          <w:sz w:val="20"/>
          <w:szCs w:val="20"/>
        </w:rPr>
        <w:t xml:space="preserve">One of FRTB's most consequential innovations is the liquidity horizon — the assumed time needed to exit or hedge a position in stressed conditions. Pre-FRTB assumed a uniform 10 days. FRTB assigns different horizons by risk factor type, ranging from 10 days for major currency FX to 250 days (equivalent to 1 year) for less liquid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Liquidity Horizon</w:t>
            </w:r>
          </w:p>
        </w:tc>
        <w:tc>
          <w:tcPr>
            <w:tcW w:type="dxa" w:w="73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Risk Factor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 days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Major currency FX rates; G10 IR rates at liquid tenors; large-cap equity prices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 days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Non-major FX; IG credit spreads (investment grade); volatility of large-cap equities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40 days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HY credit spreads (high yield); EM equity prices; energy prices at liquid maturities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60 days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EM sovereign credit; CDX/iTraxx index volatility; illiquid commodity prices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120 days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IG single-name credit volatility; structured products with observable inputs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250 days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HY single-name credit volatility; illiquid structured products; NMRF</w:t>
            </w:r>
          </w:p>
        </w:tc>
      </w:tr>
    </w:tbl>
    <w:p>
      <w:pPr>
        <w:spacing w:before="60" w:after="60"/>
      </w:pPr>
    </w:p>
    <w:p>
      <w:pPr>
        <w:spacing w:before="60" w:after="60"/>
      </w:pPr>
      <w:r>
        <w:rPr>
          <w:rFonts w:ascii="Arial" w:cs="Arial" w:eastAsia="Arial" w:hAnsi="Arial"/>
          <w:b w:val="false"/>
          <w:bCs w:val="false"/>
          <w:i w:val="false"/>
          <w:iCs w:val="false"/>
          <w:color w:val="333333"/>
          <w:sz w:val="20"/>
          <w:szCs w:val="20"/>
        </w:rPr>
        <w:t xml:space="preserve">A desk with positions in illiquid instruments faces dramatically higher capital than one with only liquid positions — even at the same nominal risk level. This directly prices the liquidity risk that VaR ignored.</w:t>
      </w:r>
    </w:p>
    <w:p>
      <w:pPr>
        <w:pStyle w:val="Heading3"/>
        <w:spacing w:before="160" w:after="40"/>
      </w:pPr>
      <w:r>
        <w:rPr>
          <w:rFonts w:ascii="Arial" w:cs="Arial" w:eastAsia="Arial" w:hAnsi="Arial"/>
          <w:b/>
          <w:bCs/>
          <w:color w:val="1B3A6B"/>
          <w:sz w:val="22"/>
          <w:szCs w:val="22"/>
        </w:rPr>
        <w:t xml:space="preserve">Desk-Level Approval — The IMA Gatekeeper</w:t>
      </w:r>
    </w:p>
    <w:p>
      <w:pPr>
        <w:spacing w:before="60" w:after="60"/>
      </w:pPr>
      <w:r>
        <w:rPr>
          <w:rFonts w:ascii="Arial" w:cs="Arial" w:eastAsia="Arial" w:hAnsi="Arial"/>
          <w:b w:val="false"/>
          <w:bCs w:val="false"/>
          <w:i w:val="false"/>
          <w:iCs w:val="false"/>
          <w:color w:val="333333"/>
          <w:sz w:val="20"/>
          <w:szCs w:val="20"/>
        </w:rPr>
        <w:t xml:space="preserve">Under pre-FRTB, IMA approval was granted at the bank level. FRTB moves to desk-level approval — each individual trading desk must pass its own set of tests to be eligible for IMA treatment. Desks that fail use the SA instead. A single bank may have some desks on IMA and others on SA simultaneously.</w:t>
      </w:r>
    </w:p>
    <w:p>
      <w:pPr>
        <w:spacing w:before="60" w:after="60"/>
      </w:pPr>
      <w:r>
        <w:rPr>
          <w:rFonts w:ascii="Arial" w:cs="Arial" w:eastAsia="Arial" w:hAnsi="Arial"/>
          <w:b w:val="false"/>
          <w:bCs w:val="false"/>
          <w:i w:val="false"/>
          <w:iCs w:val="false"/>
          <w:color w:val="333333"/>
          <w:sz w:val="20"/>
          <w:szCs w:val="20"/>
        </w:rPr>
        <w:t xml:space="preserve">This matters because the P&amp;L Attribution Test (see below) is extremely demanding. Some desks — particularly those with complex structured products or multi-factor risks — may find it impossible to pass consistently. These desks will default to SA regardless of the bank's overall modelling sophistication.</w:t>
      </w:r>
    </w:p>
    <w:p>
      <w:pPr>
        <w:pStyle w:val="Heading2"/>
        <w:pBdr>
          <w:bottom w:val="single" w:color="0E6B8A" w:sz="6" w:space="1"/>
        </w:pBdr>
        <w:spacing w:before="200" w:after="60"/>
      </w:pPr>
      <w:r>
        <w:rPr>
          <w:rFonts w:ascii="Arial" w:cs="Arial" w:eastAsia="Arial" w:hAnsi="Arial"/>
          <w:b/>
          <w:bCs/>
          <w:color w:val="0E6B8A"/>
          <w:sz w:val="26"/>
          <w:szCs w:val="26"/>
        </w:rPr>
        <w:t xml:space="preserve">Pillar 4: The P&amp;L Attribution Test (PLAT) — The IMA Gatekeeper</w:t>
      </w:r>
    </w:p>
    <w:p>
      <w:pPr>
        <w:spacing w:before="60" w:after="60"/>
      </w:pPr>
      <w:r>
        <w:rPr>
          <w:rFonts w:ascii="Arial" w:cs="Arial" w:eastAsia="Arial" w:hAnsi="Arial"/>
          <w:b w:val="false"/>
          <w:bCs w:val="false"/>
          <w:i w:val="false"/>
          <w:iCs w:val="false"/>
          <w:color w:val="333333"/>
          <w:sz w:val="20"/>
          <w:szCs w:val="20"/>
        </w:rPr>
        <w:t xml:space="preserve">The P&amp;L Attribution Test is FRTB's mechanism for ensuring that the risk factors captured in a bank's ES model are actually the factors driving the desk's real P&amp;L. A desk that fails the PLAT loses IMA eligibility and must use the SA — which is materially more expensive for complex books.</w:t>
      </w:r>
    </w:p>
    <w:p>
      <w:pPr>
        <w:pStyle w:val="Heading3"/>
        <w:spacing w:before="160" w:after="40"/>
      </w:pPr>
      <w:r>
        <w:rPr>
          <w:rFonts w:ascii="Arial" w:cs="Arial" w:eastAsia="Arial" w:hAnsi="Arial"/>
          <w:b/>
          <w:bCs/>
          <w:color w:val="1B3A6B"/>
          <w:sz w:val="22"/>
          <w:szCs w:val="22"/>
        </w:rPr>
        <w:t xml:space="preserve">How the PLAT Works</w:t>
      </w:r>
    </w:p>
    <w:p>
      <w:pPr>
        <w:spacing w:before="60" w:after="60"/>
      </w:pPr>
      <w:r>
        <w:rPr>
          <w:rFonts w:ascii="Arial" w:cs="Arial" w:eastAsia="Arial" w:hAnsi="Arial"/>
          <w:b w:val="false"/>
          <w:bCs w:val="false"/>
          <w:i w:val="false"/>
          <w:iCs w:val="false"/>
          <w:color w:val="333333"/>
          <w:sz w:val="20"/>
          <w:szCs w:val="20"/>
        </w:rPr>
        <w:t xml:space="preserve">The PLAT compares two measures of daily P&amp;L for each desk:</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Hypothetical P&amp;L (HPL) — the actual MTM gain/loss on the desk's positions, calculated holding the positions fixed and revaluing with end-of-day market prices. This is the 'truth'.</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Risk-Theoretical P&amp;L (RTPL) — the P&amp;L predicted by the desk's risk model, using only the risk factors included in the ES model. This is what the model thinks happened.</w:t>
      </w:r>
    </w:p>
    <w:p>
      <w:pPr>
        <w:spacing w:before="60" w:after="60"/>
      </w:pPr>
      <w:r>
        <w:rPr>
          <w:rFonts w:ascii="Arial" w:cs="Arial" w:eastAsia="Arial" w:hAnsi="Arial"/>
          <w:b w:val="false"/>
          <w:bCs w:val="false"/>
          <w:i w:val="false"/>
          <w:iCs w:val="false"/>
          <w:color w:val="333333"/>
          <w:sz w:val="20"/>
          <w:szCs w:val="20"/>
        </w:rPr>
        <w:t xml:space="preserve">If HPL and RTPL diverge significantly, it means the model is missing important risk factors driving the desk's actual P&amp;L. The desk's model is inadequate for regulatory capital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PLAT Metric</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Definition</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Spearman Correlation</w:t>
            </w:r>
          </w:p>
        </w:tc>
        <w:tc>
          <w:tcPr>
            <w:tcW w:type="dxa" w:w="6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Rank correlation of HPL vs RTPL daily series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Kolmogorov-Smirnov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Statistical test of distributional similarity</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Amber Zone</w:t>
            </w:r>
          </w:p>
        </w:tc>
        <w:tc>
          <w:tcPr>
            <w:tcW w:type="dxa" w:w="6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Metrics between warning and failure thresholds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Red Zone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Metrics breach failure threshold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PLAT SIGNIFICANCE</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PLAT is the most operationally demanding element of FRTB for most banks. A desk must demonstrate daily that its model captures its real risks — not just at approval, but on an ongoing basis. A bad quarter in a volatile market can trigger SA fallback even for a well-designed model.</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Pillar 5: Non-Modellable Risk Factors (NMRF)</w:t>
      </w:r>
    </w:p>
    <w:p>
      <w:pPr>
        <w:spacing w:before="60" w:after="60"/>
      </w:pPr>
      <w:r>
        <w:rPr>
          <w:rFonts w:ascii="Arial" w:cs="Arial" w:eastAsia="Arial" w:hAnsi="Arial"/>
          <w:b w:val="false"/>
          <w:bCs w:val="false"/>
          <w:i w:val="false"/>
          <w:iCs w:val="false"/>
          <w:color w:val="333333"/>
          <w:sz w:val="20"/>
          <w:szCs w:val="20"/>
        </w:rPr>
        <w:t xml:space="preserve">Not all risk factors can be modelled reliably with historical data — either because the instrument is too illiquid to have sufficient price observations, or because the risk factor is too exotic to have a robust time series. FRTB addresses this with a punitive charge for Non-Modellable Risk Factors.</w:t>
      </w:r>
    </w:p>
    <w:p>
      <w:pPr>
        <w:pStyle w:val="Heading3"/>
        <w:spacing w:before="160" w:after="40"/>
      </w:pPr>
      <w:r>
        <w:rPr>
          <w:rFonts w:ascii="Arial" w:cs="Arial" w:eastAsia="Arial" w:hAnsi="Arial"/>
          <w:b/>
          <w:bCs/>
          <w:color w:val="1B3A6B"/>
          <w:sz w:val="22"/>
          <w:szCs w:val="22"/>
        </w:rPr>
        <w:t xml:space="preserve">Modellability — The Observation Test</w:t>
      </w:r>
    </w:p>
    <w:p>
      <w:pPr>
        <w:spacing w:before="60" w:after="60"/>
      </w:pPr>
      <w:r>
        <w:rPr>
          <w:rFonts w:ascii="Arial" w:cs="Arial" w:eastAsia="Arial" w:hAnsi="Arial"/>
          <w:b w:val="false"/>
          <w:bCs w:val="false"/>
          <w:i w:val="false"/>
          <w:iCs w:val="false"/>
          <w:color w:val="333333"/>
          <w:sz w:val="20"/>
          <w:szCs w:val="20"/>
        </w:rPr>
        <w:t xml:space="preserve">A risk factor is 'modellable' only if the bank can demonstrate at least 24 verifiable price observations in the preceding 12 months (with no 90-day gap). If this test is not met, the risk factor is NMRF and cannot be included in the ES model.</w:t>
      </w:r>
    </w:p>
    <w:p>
      <w:pPr>
        <w:spacing w:before="60" w:after="60"/>
      </w:pPr>
      <w:r>
        <w:rPr>
          <w:rFonts w:ascii="Arial" w:cs="Arial" w:eastAsia="Arial" w:hAnsi="Arial"/>
          <w:b w:val="false"/>
          <w:bCs w:val="false"/>
          <w:i w:val="false"/>
          <w:iCs w:val="false"/>
          <w:color w:val="333333"/>
          <w:sz w:val="20"/>
          <w:szCs w:val="20"/>
        </w:rPr>
        <w:t xml:space="preserve">NMRF capital is calculated using a Stressed Expected Shortfall calibrated specifically to the risk factor, with no diversification benefit against other risk factors. The no-diversification rule is deliberately punitive — it incentivises banks to reduce positions in illiquid, difficult-to-price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NMRF IMPACT</w:t>
            </w:r>
          </w:p>
        </w:tc>
        <w:tc>
          <w:tcPr>
            <w:tcW w:type="dxa" w:w="7960"/>
            <w:tcBorders>
              <w:top w:val="single" w:color="8B0000" w:sz="1"/>
              <w:left w:val="single" w:color="8B0000" w:sz="1"/>
              <w:bottom w:val="single" w:color="8B0000" w:sz="1"/>
              <w:right w:val="single" w:color="8B0000"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NMRF was one of the most heavily debated aspects of FRTB during consultation. Many structured credit, commodities, and EM desks found that a significant portion of their risk factors failed the modellability test — making IMA effectively non-viable without significant business model changes.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Pillar 6: CVA under FRTB</w:t>
      </w:r>
    </w:p>
    <w:p>
      <w:pPr>
        <w:spacing w:before="60" w:after="60"/>
      </w:pPr>
      <w:r>
        <w:rPr>
          <w:rFonts w:ascii="Arial" w:cs="Arial" w:eastAsia="Arial" w:hAnsi="Arial"/>
          <w:b w:val="false"/>
          <w:bCs w:val="false"/>
          <w:i w:val="false"/>
          <w:iCs w:val="false"/>
          <w:color w:val="333333"/>
          <w:sz w:val="20"/>
          <w:szCs w:val="20"/>
        </w:rPr>
        <w:t xml:space="preserve">Credit Valuation Adjustment (CVA) is the market value of counterparty credit risk on a derivatives portfolio — essentially the expected loss from a counterparty defaulting on its derivative obligations. FRTB introduced a new CVA capital framework running alongside the market risk framework.</w:t>
      </w:r>
    </w:p>
    <w:p>
      <w:pPr>
        <w:spacing w:before="60" w:after="60"/>
      </w:pPr>
      <w:r>
        <w:rPr>
          <w:rFonts w:ascii="Arial" w:cs="Arial" w:eastAsia="Arial" w:hAnsi="Arial"/>
          <w:b w:val="false"/>
          <w:bCs w:val="false"/>
          <w:i w:val="false"/>
          <w:iCs w:val="false"/>
          <w:color w:val="333333"/>
          <w:sz w:val="20"/>
          <w:szCs w:val="20"/>
        </w:rPr>
        <w:t xml:space="preserve">Under Basel III, CVA capital was calculated using a relatively simple VaR-based approach. FRTB replaces this with a sensitivity-based SA-CVA and a more sophisticated BA-CVA (Basic Approach), aligned with the FRTB SA's methodology. The key change: CVA is now treated as a genuine market risk — its sensitivities to credit spreads, interest rates, and FX are explicitly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CVA Approach</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BA-CVA</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Formula-based; uses supervisory delta and vega weightings. Simpler but more conservative.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SA-CVA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Sensitivity-based; mirrors FRTB SA methodology. Requires CVA sensitivities to all risk factors.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IMA-CVA</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Internal model — currently not in the final standard. Removed after QIS showed implementation difficulty.</w:t>
            </w:r>
          </w:p>
        </w:tc>
      </w:tr>
    </w:tbl>
    <w:p>
      <w:pPr>
        <w:spacing w:before="60" w:after="60"/>
      </w:pPr>
    </w:p>
    <w:p>
      <w:r>
        <w:br w:type="page"/>
      </w:r>
    </w:p>
    <w:p>
      <w:pPr>
        <w:pStyle w:val="Heading1"/>
        <w:spacing w:before="240" w:after="80"/>
      </w:pPr>
      <w:r>
        <w:rPr>
          <w:rFonts w:ascii="Arial" w:cs="Arial" w:eastAsia="Arial" w:hAnsi="Arial"/>
          <w:b/>
          <w:bCs/>
          <w:color w:val="1B3A6B"/>
          <w:sz w:val="32"/>
          <w:szCs w:val="32"/>
        </w:rPr>
        <w:t xml:space="preserve">Part 4: The Regulatory Lens — How Each Jurisdiction Implemented FRTB</w:t>
      </w:r>
    </w:p>
    <w:p>
      <w:pPr>
        <w:spacing w:before="80" w:after="60"/>
      </w:pPr>
      <w:r>
        <w:rPr>
          <w:rFonts w:ascii="Arial" w:cs="Arial" w:eastAsia="Arial" w:hAnsi="Arial"/>
          <w:b w:val="false"/>
          <w:bCs w:val="false"/>
          <w:i w:val="false"/>
          <w:iCs w:val="false"/>
          <w:color w:val="333333"/>
          <w:sz w:val="20"/>
          <w:szCs w:val="20"/>
        </w:rPr>
        <w:t xml:space="preserve">BCBS standards are not law — they are international agreements that each jurisdiction must transpose into binding national regulation. FRTB has been implemented differently in the EU, UK, US, and Asia-Pacific, with meaningful divergences in timeline, scope, and calibration. This section covers each jurisdiction's position as of early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READING THIS SECTION</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Each subsection covers: (1) the legal instrument used; (2) implementation timeline; (3) key divergences from BCBS; (4) outstanding issues. A master comparison table closes the section.</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The BCBS Standard — The Baseline</w:t>
      </w:r>
    </w:p>
    <w:p>
      <w:pPr>
        <w:spacing w:before="60" w:after="60"/>
      </w:pPr>
      <w:r>
        <w:rPr>
          <w:rFonts w:ascii="Arial" w:cs="Arial" w:eastAsia="Arial" w:hAnsi="Arial"/>
          <w:b w:val="false"/>
          <w:bCs w:val="false"/>
          <w:i w:val="false"/>
          <w:iCs w:val="false"/>
          <w:color w:val="333333"/>
          <w:sz w:val="20"/>
          <w:szCs w:val="20"/>
        </w:rPr>
        <w:t xml:space="preserve">The definitive FRTB text is BCBS 457, published January 2019, with the implementation date set at 1 January 2025. This is the reference against which all national implementations are measured. The standard specifies: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Mandatory SA for all banks with trading book positions above the small trading book exemption threshold.</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IMA available for banks meeting organisational, model, and PLAT requirements at desk level.</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CVA framework: BA-CVA mandatory minimum; SA-CVA for eligible banks.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Small trading book exemption: banks with trading book positions below €50m (absolute) and below 5% of total assets may apply a simplified approach.</w:t>
      </w:r>
    </w:p>
    <w:p>
      <w:pPr>
        <w:pStyle w:val="Heading2"/>
        <w:pBdr>
          <w:bottom w:val="single" w:color="0E6B8A" w:sz="6" w:space="1"/>
        </w:pBdr>
        <w:spacing w:before="200" w:after="60"/>
      </w:pPr>
      <w:r>
        <w:rPr>
          <w:rFonts w:ascii="Arial" w:cs="Arial" w:eastAsia="Arial" w:hAnsi="Arial"/>
          <w:b/>
          <w:bCs/>
          <w:color w:val="0E6B8A"/>
          <w:sz w:val="26"/>
          <w:szCs w:val="26"/>
        </w:rPr>
        <w:t xml:space="preserve">European Union — CRR3</w:t>
      </w:r>
    </w:p>
    <w:p>
      <w:pPr>
        <w:spacing w:before="60" w:after="60"/>
      </w:pPr>
      <w:r>
        <w:rPr>
          <w:rFonts w:ascii="Arial" w:cs="Arial" w:eastAsia="Arial" w:hAnsi="Arial"/>
          <w:b w:val="false"/>
          <w:bCs w:val="false"/>
          <w:i w:val="false"/>
          <w:iCs w:val="false"/>
          <w:color w:val="333333"/>
          <w:sz w:val="20"/>
          <w:szCs w:val="20"/>
        </w:rPr>
        <w:t xml:space="preserve">The EU implemented FRTB through the Capital Requirements Regulation 3 (CRR3), adopted by the European Parliament in June 2023 and entering into force in January 2025. CRR3 is directly binding across all 27 EU member states — no further national transposition is required.</w:t>
      </w:r>
    </w:p>
    <w:p>
      <w:pPr>
        <w:pStyle w:val="Heading3"/>
        <w:spacing w:before="160" w:after="40"/>
      </w:pPr>
      <w:r>
        <w:rPr>
          <w:rFonts w:ascii="Arial" w:cs="Arial" w:eastAsia="Arial" w:hAnsi="Arial"/>
          <w:b/>
          <w:bCs/>
          <w:color w:val="1B3A6B"/>
          <w:sz w:val="22"/>
          <w:szCs w:val="22"/>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EU FRTB Milestone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Oct 2021</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European Commission publishes CRR3 legislative proposal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Nov 2022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Council of the EU agrees general approach</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Jun 2023</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CRR3 formally adopted by European Parliament and Council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Jan 2025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CRR3 enters into force — SA mandatory for all EU banks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Jan 2025</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IMA available for qualifying desks — EBA technical standards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Jan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Output floor begins phase-in at 50% (rising to 72.5% by Jan 2030)</w:t>
            </w:r>
          </w:p>
        </w:tc>
      </w:tr>
    </w:tbl>
    <w:p>
      <w:pPr>
        <w:spacing w:before="60" w:after="60"/>
      </w:pPr>
    </w:p>
    <w:p>
      <w:pPr>
        <w:pStyle w:val="Heading3"/>
        <w:spacing w:before="160" w:after="40"/>
      </w:pPr>
      <w:r>
        <w:rPr>
          <w:rFonts w:ascii="Arial" w:cs="Arial" w:eastAsia="Arial" w:hAnsi="Arial"/>
          <w:b/>
          <w:bCs/>
          <w:color w:val="1B3A6B"/>
          <w:sz w:val="22"/>
          <w:szCs w:val="22"/>
        </w:rPr>
        <w:t xml:space="preserve">Key EU Divergences from BCBS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Equity Investment Funds (EIF) Treatment — the EU introduced a specific look-through and mandate-based approach for collective investment funds, reflecting the size of the EU asset management sector. BCBS allows but does not mandate this.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Real Estate — the EU retained banking book treatment for certain real estate exposures that the BCBS standard would classify as trading book. This reflects the significance of bank-owned real estate portfolios in the EU.</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CVA Exemptions — the EU maintained exemptions from CVA capital requirements for non-financial counterparties (NFCs) and pension funds that existed under CRR2. BCBS does not provide these exemptions.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Small Trading Book Exemption — the EU set the threshold at €500m (significantly higher than the BCBS €50m), exempting a larger population of smaller banks from full FRTB compliance.</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IMA Implementation — EBA required to publish final Regulatory Technical Standards (RTS) for IMA model approval. Until published, IMA is effectively unavailable even for qualifying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EU WATCH POINT</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CVA exemptions for non-financial counterparties are the most significant EU divergence from BCBS. They reflect a deliberate policy choice to not penalise EU corporates that use derivatives for genuine hedging. The BCBS has noted this divergence but has not required the EU to change its position.</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United Kingdom — PRA Near-Final Rules</w:t>
      </w:r>
    </w:p>
    <w:p>
      <w:pPr>
        <w:spacing w:before="60" w:after="60"/>
      </w:pPr>
      <w:r>
        <w:rPr>
          <w:rFonts w:ascii="Arial" w:cs="Arial" w:eastAsia="Arial" w:hAnsi="Arial"/>
          <w:b w:val="false"/>
          <w:bCs w:val="false"/>
          <w:i w:val="false"/>
          <w:iCs w:val="false"/>
          <w:color w:val="333333"/>
          <w:sz w:val="20"/>
          <w:szCs w:val="20"/>
        </w:rPr>
        <w:t xml:space="preserve">Post-Brexit, the UK's Prudential Regulation Authority (PRA) is responsible for transposing BCBS standards into UK law independently of the EU. The PRA published its near-final FRTB rules in September 2024 via Policy Statement PS17/24, with implementation targeted for 1 January 2026 — one year after the EU.</w:t>
      </w:r>
    </w:p>
    <w:p>
      <w:pPr>
        <w:pStyle w:val="Heading3"/>
        <w:spacing w:before="160" w:after="40"/>
      </w:pPr>
      <w:r>
        <w:rPr>
          <w:rFonts w:ascii="Arial" w:cs="Arial" w:eastAsia="Arial" w:hAnsi="Arial"/>
          <w:b/>
          <w:bCs/>
          <w:color w:val="1B3A6B"/>
          <w:sz w:val="22"/>
          <w:szCs w:val="22"/>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UK FRTB Milestone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Feb 2022</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PRA publishes Discussion Paper DP1/22 on FRTB implementation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Dec 2022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PRA Consultation Paper CP16/22 — detailed rules proposal</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Sep 2023</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PRA Consultation Paper CP16/23 — refined rules, cost-benefit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Sep 2024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Policy Statement PS17/24 — near-final rules published</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Jan 2026</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Target implementation — SA mandatory; IMA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Jan 2030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Output floor fully phased in at 72.5%</w:t>
            </w:r>
          </w:p>
        </w:tc>
      </w:tr>
    </w:tbl>
    <w:p>
      <w:pPr>
        <w:spacing w:before="60" w:after="60"/>
      </w:pPr>
    </w:p>
    <w:p>
      <w:pPr>
        <w:pStyle w:val="Heading3"/>
        <w:spacing w:before="160" w:after="40"/>
      </w:pPr>
      <w:r>
        <w:rPr>
          <w:rFonts w:ascii="Arial" w:cs="Arial" w:eastAsia="Arial" w:hAnsi="Arial"/>
          <w:b/>
          <w:bCs/>
          <w:color w:val="1B3A6B"/>
          <w:sz w:val="22"/>
          <w:szCs w:val="22"/>
        </w:rPr>
        <w:t xml:space="preserve">Key UK Divergences from BCBS and EU</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CVA Exemptions — the UK has maintained similar NFC and pension fund CVA exemptions to the EU, for identical policy reasons. UK corporates using derivatives for hedging will not face CVA capital charges.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No Small Trading Book Threshold Divergence — the UK has largely followed the BCBS €50m threshold, adjusted to £50m, rather than the EU's significantly higher €500m. This means more UK banks face full FRTB compliance.</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IMA Approval Process — the PRA has signalled a more conservative approach to IMA desk approval than the EU, with additional supervisory overlay criteria beyond the BCBS minimum. Banks expecting IMA approval in the EU should not assume the same outcome from the PRA.</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One-Year Delay — the UK's deliberate choice to implement one year after the EU reflects both Brexit-related resourcing constraints and a preference to observe EU implementation experience before finalising UK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UK-EU DIVERGENCE RISK</w:t>
            </w:r>
          </w:p>
        </w:tc>
        <w:tc>
          <w:tcPr>
            <w:tcW w:type="dxa" w:w="7960"/>
            <w:tcBorders>
              <w:top w:val="single" w:color="8B0000" w:sz="1"/>
              <w:left w:val="single" w:color="8B0000" w:sz="1"/>
              <w:bottom w:val="single" w:color="8B0000" w:sz="1"/>
              <w:right w:val="single" w:color="8B0000"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UK banks with EU operations face potentially running dual FRTB implementations — UK rules from Jan 2026, EU rules already live from Jan 2025. For banks with significant cross-border business, this creates material operational complexity and potentially different capital outcomes for the same positions in different legal entities.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United States — Federal Reserve / OCC NPR</w:t>
      </w:r>
    </w:p>
    <w:p>
      <w:pPr>
        <w:spacing w:before="60" w:after="60"/>
      </w:pPr>
      <w:r>
        <w:rPr>
          <w:rFonts w:ascii="Arial" w:cs="Arial" w:eastAsia="Arial" w:hAnsi="Arial"/>
          <w:b w:val="false"/>
          <w:bCs w:val="false"/>
          <w:i w:val="false"/>
          <w:iCs w:val="false"/>
          <w:color w:val="333333"/>
          <w:sz w:val="20"/>
          <w:szCs w:val="20"/>
        </w:rPr>
        <w:t xml:space="preserve">The US FRTB implementation has been the most contested and delayed of the major jurisdictions. The Federal Reserve, OCC (Office of the Comptroller of the Currency), and FDIC published a Notice of Proposed Rulemaking (NPR) in July 2023 — the 'Basel III Endgame' — which included FRTB as one component of a broader capital reform package.</w:t>
      </w:r>
    </w:p>
    <w:p>
      <w:pPr>
        <w:pStyle w:val="Heading3"/>
        <w:spacing w:before="160" w:after="40"/>
      </w:pPr>
      <w:r>
        <w:rPr>
          <w:rFonts w:ascii="Arial" w:cs="Arial" w:eastAsia="Arial" w:hAnsi="Arial"/>
          <w:b/>
          <w:bCs/>
          <w:color w:val="1B3A6B"/>
          <w:sz w:val="22"/>
          <w:szCs w:val="22"/>
        </w:rPr>
        <w:t xml:space="preserve">Timeline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 FRTB / Basel III Endgame Milestone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Jul 2023</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NPR published — proposed FRTB implementation + output floor + operational risk reform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Nov 2023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Comment period closes — record volume of industry response; criticism of capital impact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Mar 2024</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Federal Reserve Chair Powell signals significant revisions coming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Sep 2024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Agencies announce re-proposal — NPR withdrawn and substantially revised</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2025</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Re-proposed NPR expected — timeline for finalisation uncertain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TBD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Final rule publication and implementation date — currently unknown</w:t>
            </w:r>
          </w:p>
        </w:tc>
      </w:tr>
    </w:tbl>
    <w:p>
      <w:pPr>
        <w:spacing w:before="60" w:after="60"/>
      </w:pPr>
    </w:p>
    <w:p>
      <w:pPr>
        <w:pStyle w:val="Heading3"/>
        <w:spacing w:before="160" w:after="40"/>
      </w:pPr>
      <w:r>
        <w:rPr>
          <w:rFonts w:ascii="Arial" w:cs="Arial" w:eastAsia="Arial" w:hAnsi="Arial"/>
          <w:b/>
          <w:bCs/>
          <w:color w:val="1B3A6B"/>
          <w:sz w:val="22"/>
          <w:szCs w:val="22"/>
        </w:rPr>
        <w:t xml:space="preserve">Key US Issues and Divergences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Scope — the original NPR applied FRTB to Category I and II banks (the largest global systemically important banks) only. Category III and IV banks would use a simplified approach.</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Capital Impact — the original NPR was estimated to increase aggregate capital requirements for the largest US banks by approximately 16%, with market risk contributing significantly. Industry analysis suggested even higher impacts for specific business lines.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Political Environment — the NPR faced bipartisan pushback from industry, members of Congress, and eventually the Fed's own board. The re-proposal is expected to significantly reduce the overall capital impact.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IMA Availability — under the original NPR, IMA would be available to qualifying banks. Given the overall uncertainty, many US banks have deferred FRTB IMA investment until the final rule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 STATUS AS OF EARLY 2025</w:t>
            </w:r>
          </w:p>
        </w:tc>
        <w:tc>
          <w:tcPr>
            <w:tcW w:type="dxa" w:w="7960"/>
            <w:tcBorders>
              <w:top w:val="single" w:color="8B0000" w:sz="1"/>
              <w:left w:val="single" w:color="8B0000" w:sz="1"/>
              <w:bottom w:val="single" w:color="8B0000" w:sz="1"/>
              <w:right w:val="single" w:color="8B0000"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FRTB is effectively on hold in the US pending the re-proposed NPR. US banks are not required to comply with any FRTB rules and have no confirmed implementation date. This creates a significant competitive dynamic with EU and UK banks that are already live on SA. This section will require updating as the US regulatory picture develops.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Asia-Pacific — MAS, HKMA, JFSA</w:t>
      </w:r>
    </w:p>
    <w:p>
      <w:pPr>
        <w:spacing w:before="60" w:after="60"/>
      </w:pPr>
      <w:r>
        <w:rPr>
          <w:rFonts w:ascii="Arial" w:cs="Arial" w:eastAsia="Arial" w:hAnsi="Arial"/>
          <w:b w:val="false"/>
          <w:bCs w:val="false"/>
          <w:i w:val="false"/>
          <w:iCs w:val="false"/>
          <w:color w:val="333333"/>
          <w:sz w:val="20"/>
          <w:szCs w:val="20"/>
        </w:rPr>
        <w:t xml:space="preserve">Asia-Pacific regulators have generally followed the BCBS timeline more closely than the Western jurisdictions, with less political resistance to the capital impacts.</w:t>
      </w:r>
    </w:p>
    <w:p>
      <w:pPr>
        <w:pStyle w:val="Heading3"/>
        <w:spacing w:before="160" w:after="40"/>
      </w:pPr>
      <w:r>
        <w:rPr>
          <w:rFonts w:ascii="Arial" w:cs="Arial" w:eastAsia="Arial" w:hAnsi="Arial"/>
          <w:b/>
          <w:bCs/>
          <w:color w:val="1B3A6B"/>
          <w:sz w:val="22"/>
          <w:szCs w:val="22"/>
        </w:rPr>
        <w:t xml:space="preserve">Monetary Authority of Singapore (MAS)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MAS published its FRTB consultation paper in October 2023, proposing implementation from 1 January 2025 — aligned with the BCBS target date.</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MAS Notice 637 (banking book capital) and MAS Notice MAS637 (trading book) will be updated to incorporate FRTB SA requirements. IMA available subject to MAS approval.</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Singapore's financial sector is heavily involved in FX and rates trading — FRTB's treatment of Asian EM currencies and interest rate products under the GIRR framework was a focus of industry comment.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No significant divergences from BCBS proposed. MAS has historically been a close follower of BCBS standards with minimal national discretion.</w:t>
      </w:r>
    </w:p>
    <w:p>
      <w:pPr>
        <w:pStyle w:val="Heading3"/>
        <w:spacing w:before="160" w:after="40"/>
      </w:pPr>
      <w:r>
        <w:rPr>
          <w:rFonts w:ascii="Arial" w:cs="Arial" w:eastAsia="Arial" w:hAnsi="Arial"/>
          <w:b/>
          <w:bCs/>
          <w:color w:val="1B3A6B"/>
          <w:sz w:val="22"/>
          <w:szCs w:val="22"/>
        </w:rPr>
        <w:t xml:space="preserve">Hong Kong Monetary Authority (HKMA)</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HKMA published its FRTB consultation in Q4 2023 with implementation targeted at 1 January 2025.</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Hong Kong's role as a major derivatives hub — particularly for FX and equity derivatives linked to mainland China — means FRTB's treatment of CNH, CNY, and H-share products is operationally significant.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HKMA has followed BCBS closely. The main local complexity is the treatment of RMB-denominated positions and the interaction with mainland China's separate capital framework.</w:t>
      </w:r>
    </w:p>
    <w:p>
      <w:pPr>
        <w:pStyle w:val="Heading3"/>
        <w:spacing w:before="160" w:after="40"/>
      </w:pPr>
      <w:r>
        <w:rPr>
          <w:rFonts w:ascii="Arial" w:cs="Arial" w:eastAsia="Arial" w:hAnsi="Arial"/>
          <w:b/>
          <w:bCs/>
          <w:color w:val="1B3A6B"/>
          <w:sz w:val="22"/>
          <w:szCs w:val="22"/>
        </w:rPr>
        <w:t xml:space="preserve">Japan Financial Services Agency (JFSA)</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Japan implemented FRTB effective March 2024 (end of Japanese fiscal year), slightly ahead of the international January 2025 target.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Japanese banks (Mitsubishi UFJ, Mizuho, SMBC) are among the largest globally and have invested significantly in FRTB infrastructure. JFSA has been an active participant in the BCBS consultation process.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Key local issue: Japanese Government Bond (JGB) portfolios carry significant GIRR risk given Japan's zero/negative rate history and recent rate normalisation. FRTB's GIRR treatment for JPY has been closely scrutinised.</w:t>
      </w:r>
    </w:p>
    <w:p>
      <w:pPr>
        <w:pStyle w:val="Heading2"/>
        <w:pBdr>
          <w:bottom w:val="single" w:color="0E6B8A" w:sz="6" w:space="1"/>
        </w:pBdr>
        <w:spacing w:before="200" w:after="60"/>
      </w:pPr>
      <w:r>
        <w:rPr>
          <w:rFonts w:ascii="Arial" w:cs="Arial" w:eastAsia="Arial" w:hAnsi="Arial"/>
          <w:b/>
          <w:bCs/>
          <w:color w:val="0E6B8A"/>
          <w:sz w:val="26"/>
          <w:szCs w:val="26"/>
        </w:rPr>
        <w:t xml:space="preserve">Master Comparison — All Jurisdictions</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400"/>
        <w:gridCol w:w="1200"/>
        <w:gridCol w:w="1400"/>
        <w:gridCol w:w="1200"/>
        <w:gridCol w:w="1200"/>
        <w:gridCol w:w="126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Topic</w:t>
            </w:r>
          </w:p>
        </w:tc>
        <w:tc>
          <w:tcPr>
            <w:tcW w:type="dxa" w:w="18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BCBS Standard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EU (CRR3)</w:t>
            </w:r>
          </w:p>
        </w:tc>
        <w:tc>
          <w:tcPr>
            <w:tcW w:type="dxa" w:w="12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UK (PRA)</w:t>
            </w:r>
          </w:p>
        </w:tc>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US (Fed/OCC)</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MAS</w:t>
            </w:r>
          </w:p>
        </w:tc>
        <w:tc>
          <w:tcPr>
            <w:tcW w:type="dxa" w:w="12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HKMA</w:t>
            </w:r>
          </w:p>
        </w:tc>
        <w:tc>
          <w:tcPr>
            <w:tcW w:type="dxa" w:w="1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JFSA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 Implementation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TBD (deferred)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 2024</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IMA Available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 (EBA RTS pending)</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 (PRA approval)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 (if NPR finalised)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Output Floor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2026 (50%)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2026 (50%)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 2025</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Output Floor Full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2028 (72.5%)</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2030 (72.5%)</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2030 (72.5%)</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2028</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Jan 2028</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 2028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CVA NFC Exemption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 (maintained)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 (maintained)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Small Book Threshold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€50m / 5% assets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€500m (significantly higher)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~£50m (close to BCBS)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Follows BCBS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Follows BCBS</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Follows BCBS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CVA Pension Exemption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Boundary Reclassification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Supervisory approval required</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BCBS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BCBS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BCBS (proposed)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BCBS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BCBS</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BCBS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KEY DIVERGENCE SUMMARY</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three most significant jurisdictional divergences are: (1) EU/UK CVA exemptions for non-financial counterparties — a policy choice absent from BCBS; (2) US implementation delay — creating a competitive dynamic for globally active banks; (3) EU's €500m small trading book threshold versus BCBS's €50m — exempting a much larger EU bank population from full FRTB. All three have material capital and business implications.</w:t>
            </w:r>
          </w:p>
        </w:tc>
      </w:tr>
    </w:tbl>
    <w:p>
      <w:r>
        <w:br w:type="page"/>
      </w:r>
    </w:p>
    <w:p>
      <w:pPr>
        <w:pStyle w:val="Heading1"/>
        <w:spacing w:before="240" w:after="80"/>
      </w:pPr>
      <w:r>
        <w:rPr>
          <w:rFonts w:ascii="Arial" w:cs="Arial" w:eastAsia="Arial" w:hAnsi="Arial"/>
          <w:b/>
          <w:bCs/>
          <w:color w:val="1B3A6B"/>
          <w:sz w:val="32"/>
          <w:szCs w:val="32"/>
        </w:rPr>
        <w:t xml:space="preserve">Part 5: Worked Examples</w:t>
      </w:r>
    </w:p>
    <w:p>
      <w:pPr>
        <w:spacing w:before="80" w:after="60"/>
      </w:pPr>
      <w:r>
        <w:rPr>
          <w:rFonts w:ascii="Arial" w:cs="Arial" w:eastAsia="Arial" w:hAnsi="Arial"/>
          <w:b w:val="false"/>
          <w:bCs w:val="false"/>
          <w:i w:val="false"/>
          <w:iCs w:val="false"/>
          <w:color w:val="333333"/>
          <w:sz w:val="20"/>
          <w:szCs w:val="20"/>
        </w:rPr>
        <w:t xml:space="preserve">The following examples are illustrative and pedagogically simplified. All figures are standalone single-position calculations — in practice, netting, portfolio diversification, and PLAT results materially affect capital. They are designed to show how FRTB changes capital relative to Basel III, not to replicate production regulatory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IMPORTANT CAVEAT</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Capital figures shown here are standalone. In practice: (1) SA capital benefits from within-bucket and cross-bucket correlation offsets; (2) IMA capital reflects portfolio-level ES with approved model correlations; (3) CVA capital interacts with SA-CCR EAD. These examples isolate the FRTB-specific mechanics for clarity.</w:t>
            </w:r>
          </w:p>
        </w:tc>
      </w:tr>
    </w:tbl>
    <w:p>
      <w:r>
        <w:br w:type="page"/>
      </w:r>
    </w:p>
    <w:p>
      <w:pPr>
        <w:pStyle w:val="Heading2"/>
        <w:pBdr>
          <w:bottom w:val="single" w:color="0E6B8A" w:sz="6" w:space="1"/>
        </w:pBdr>
        <w:spacing w:before="200" w:after="60"/>
      </w:pPr>
      <w:r>
        <w:rPr>
          <w:rFonts w:ascii="Arial" w:cs="Arial" w:eastAsia="Arial" w:hAnsi="Arial"/>
          <w:b/>
          <w:bCs/>
          <w:color w:val="0E6B8A"/>
          <w:sz w:val="26"/>
          <w:szCs w:val="26"/>
        </w:rPr>
        <w:t xml:space="preserve">EXAMPLE 1: Plain English VaR — EUR Interest Rate Swap</w:t>
      </w:r>
    </w:p>
    <w:p>
      <w:pPr>
        <w:spacing w:before="60" w:after="60"/>
      </w:pPr>
      <w:r>
        <w:rPr>
          <w:rFonts w:ascii="Arial" w:cs="Arial" w:eastAsia="Arial" w:hAnsi="Arial"/>
          <w:b w:val="false"/>
          <w:bCs w:val="false"/>
          <w:i w:val="false"/>
          <w:iCs w:val="false"/>
          <w:color w:val="333333"/>
          <w:sz w:val="20"/>
          <w:szCs w:val="20"/>
        </w:rPr>
        <w:t xml:space="preserve">Purpose: demonstrate how VaR was calculated pre-FRTB and why it was inadequate, setting up the case for Expected Shortfall.</w:t>
      </w:r>
    </w:p>
    <w:p>
      <w:pPr>
        <w:pStyle w:val="Heading3"/>
        <w:spacing w:before="160" w:after="40"/>
      </w:pPr>
      <w:r>
        <w:rPr>
          <w:rFonts w:ascii="Arial" w:cs="Arial" w:eastAsia="Arial" w:hAnsi="Arial"/>
          <w:b/>
          <w:bCs/>
          <w:color w:val="1B3A6B"/>
          <w:sz w:val="22"/>
          <w:szCs w:val="22"/>
        </w:rPr>
        <w:t xml:space="preserve">Trade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Parameter</w:t>
            </w:r>
          </w:p>
        </w:tc>
        <w:tc>
          <w:tcPr>
            <w:tcW w:type="dxa" w:w="58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Instrument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5-year EUR fixed/floating Interest Rate Swap</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 Role</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Fixed rate payer (receives floating EURIBOR 6M)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Notional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€100,000,000</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Fixed Rate</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3.00% per annum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Counterparty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Investment-grade European bank</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DV01 (sensitivity to 1bp move in rates)</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€42,500 per basis point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Portfolio VaR context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Standalone position — no offsets shown</w:t>
            </w:r>
          </w:p>
        </w:tc>
      </w:tr>
    </w:tbl>
    <w:p>
      <w:pPr>
        <w:spacing w:before="80" w:after="40"/>
      </w:pPr>
    </w:p>
    <w:p>
      <w:pPr>
        <w:pStyle w:val="Heading3"/>
        <w:spacing w:before="160" w:after="40"/>
      </w:pPr>
      <w:r>
        <w:rPr>
          <w:rFonts w:ascii="Arial" w:cs="Arial" w:eastAsia="Arial" w:hAnsi="Arial"/>
          <w:b/>
          <w:bCs/>
          <w:color w:val="1B3A6B"/>
          <w:sz w:val="22"/>
          <w:szCs w:val="22"/>
        </w:rPr>
        <w:t xml:space="preserve">Pre-FRTB Capital Calculation (Basel III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60"/>
        <w:gridCol w:w="230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Step</w:t>
            </w:r>
          </w:p>
        </w:tc>
        <w:tc>
          <w:tcPr>
            <w:tcW w:type="dxa" w:w="52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Calculation</w:t>
            </w:r>
          </w:p>
        </w:tc>
        <w:tc>
          <w:tcPr>
            <w:tcW w:type="dxa" w:w="2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1-day 99% VaR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Assume historical daily rate moves. 99th percentile = 18bp rate shock. Loss = 18 × €42,500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€765,000</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10-day VaR (scaled)</w:t>
            </w:r>
          </w:p>
        </w:tc>
        <w:tc>
          <w:tcPr>
            <w:tcW w:type="dxa" w:w="5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€765,000 × √10 (square root of time)</w:t>
            </w:r>
          </w:p>
        </w:tc>
        <w:tc>
          <w:tcPr>
            <w:tcW w:type="dxa" w:w="2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€2,419,000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Multiplication factor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Assuming clean backtesting: 3× minimum factor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capital charge</w:t>
            </w:r>
          </w:p>
        </w:tc>
        <w:tc>
          <w:tcPr>
            <w:tcW w:type="dxa" w:w="5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 × €2,419,000</w:t>
            </w:r>
          </w:p>
        </w:tc>
        <w:tc>
          <w:tcPr>
            <w:tcW w:type="dxa" w:w="2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€7,257,000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Stressed VaR (Basel 2.5/III)</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Same calculation using 2008 crisis data. Assume 35bp daily 99th pctile: €1,487,500 × √10 × 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€14,122,000</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Total market risk capital</w:t>
            </w:r>
          </w:p>
        </w:tc>
        <w:tc>
          <w:tcPr>
            <w:tcW w:type="dxa" w:w="5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capital + SVaR capital (Basel III rule: add both)</w:t>
            </w:r>
          </w:p>
        </w:tc>
        <w:tc>
          <w:tcPr>
            <w:tcW w:type="dxa" w:w="2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€21,379,000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Capital as % of DV01</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€21.4m capital for €42,500 DV01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~503 DV01-equivalents</w:t>
            </w:r>
          </w:p>
        </w:tc>
      </w:tr>
    </w:tbl>
    <w:p>
      <w:pPr>
        <w:spacing w:before="80" w:after="40"/>
      </w:pPr>
    </w:p>
    <w:p>
      <w:pPr>
        <w:pStyle w:val="Heading3"/>
        <w:spacing w:before="160" w:after="40"/>
      </w:pPr>
      <w:r>
        <w:rPr>
          <w:rFonts w:ascii="Arial" w:cs="Arial" w:eastAsia="Arial" w:hAnsi="Arial"/>
          <w:b/>
          <w:bCs/>
          <w:color w:val="1B3A6B"/>
          <w:sz w:val="22"/>
          <w:szCs w:val="22"/>
        </w:rPr>
        <w:t xml:space="preserve">Why VaR Was Insufficient</w:t>
      </w:r>
    </w:p>
    <w:p>
      <w:pPr>
        <w:spacing w:before="60" w:after="60"/>
      </w:pPr>
      <w:r>
        <w:rPr>
          <w:rFonts w:ascii="Arial" w:cs="Arial" w:eastAsia="Arial" w:hAnsi="Arial"/>
          <w:b w:val="false"/>
          <w:bCs w:val="false"/>
          <w:i w:val="false"/>
          <w:iCs w:val="false"/>
          <w:color w:val="333333"/>
          <w:sz w:val="20"/>
          <w:szCs w:val="20"/>
        </w:rPr>
        <w:t xml:space="preserve">The €21.4m capital covers the 99th percentile daily loss over 10 days. But what if rates moved 80bp (as they did during the 2008 Lehman collapse, or during the 2022 rate shock)? A loss of 80 × €42,500 = €3,400,000 per day — €34m over 10 days — would wipe out the entire capital buffer and then some. VaR would have been exceeded on multiple consecutive days, providing no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THE ES DIFFERENCE</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Expected Shortfall at 97.5% asks: 'On the worst 2.5% of days, what is the average loss?' For this position in a 2008-calibrated stress scenario, the average tail loss might be €5–8m per day — captured by ES but invisible to VaR. Combined with a 40-day liquidity horizon for EUR IR risk, FRTB ES capital would be materially higher than the Basel III VaR figure.</w:t>
            </w:r>
          </w:p>
        </w:tc>
      </w:tr>
    </w:tbl>
    <w:p>
      <w:r>
        <w:br w:type="page"/>
      </w:r>
    </w:p>
    <w:p>
      <w:pPr>
        <w:pStyle w:val="Heading2"/>
        <w:pBdr>
          <w:bottom w:val="single" w:color="0E6B8A" w:sz="6" w:space="1"/>
        </w:pBdr>
        <w:spacing w:before="200" w:after="60"/>
      </w:pPr>
      <w:r>
        <w:rPr>
          <w:rFonts w:ascii="Arial" w:cs="Arial" w:eastAsia="Arial" w:hAnsi="Arial"/>
          <w:b/>
          <w:bCs/>
          <w:color w:val="0E6B8A"/>
          <w:sz w:val="26"/>
          <w:szCs w:val="26"/>
        </w:rPr>
        <w:t xml:space="preserve">EXAMPLE 2: Trading Book vs Banking Book — The Classification Decision</w:t>
      </w:r>
    </w:p>
    <w:p>
      <w:pPr>
        <w:spacing w:before="60" w:after="60"/>
      </w:pPr>
      <w:r>
        <w:rPr>
          <w:rFonts w:ascii="Arial" w:cs="Arial" w:eastAsia="Arial" w:hAnsi="Arial"/>
          <w:b w:val="false"/>
          <w:bCs w:val="false"/>
          <w:i w:val="false"/>
          <w:iCs w:val="false"/>
          <w:color w:val="333333"/>
          <w:sz w:val="20"/>
          <w:szCs w:val="20"/>
        </w:rPr>
        <w:t xml:space="preserve">Purpose: show how the same instrument attracts different capital depending on which book it sits in, and how FRTB tightened the boundary.</w:t>
      </w:r>
    </w:p>
    <w:p>
      <w:pPr>
        <w:pStyle w:val="Heading3"/>
        <w:spacing w:before="160" w:after="40"/>
      </w:pPr>
      <w:r>
        <w:rPr>
          <w:rFonts w:ascii="Arial" w:cs="Arial" w:eastAsia="Arial" w:hAnsi="Arial"/>
          <w:b/>
          <w:bCs/>
          <w:color w:val="1B3A6B"/>
          <w:sz w:val="22"/>
          <w:szCs w:val="22"/>
        </w:rPr>
        <w:t xml:space="preserve">The Instrument</w:t>
      </w:r>
    </w:p>
    <w:p>
      <w:pPr>
        <w:spacing w:before="60" w:after="60"/>
      </w:pPr>
      <w:r>
        <w:rPr>
          <w:rFonts w:ascii="Arial" w:cs="Arial" w:eastAsia="Arial" w:hAnsi="Arial"/>
          <w:b w:val="false"/>
          <w:bCs w:val="false"/>
          <w:i w:val="false"/>
          <w:iCs w:val="false"/>
          <w:color w:val="333333"/>
          <w:sz w:val="20"/>
          <w:szCs w:val="20"/>
        </w:rPr>
        <w:t xml:space="preserve">A €50,000,000 5-year BBB-rated corporate bond. The bank purchased it 6 months ago. The question is whether it belongs in the trading book or the banking book.</w:t>
      </w:r>
    </w:p>
    <w:p>
      <w:pPr>
        <w:pStyle w:val="Heading3"/>
        <w:spacing w:before="160" w:after="40"/>
      </w:pPr>
      <w:r>
        <w:rPr>
          <w:rFonts w:ascii="Arial" w:cs="Arial" w:eastAsia="Arial" w:hAnsi="Arial"/>
          <w:b/>
          <w:bCs/>
          <w:color w:val="1B3A6B"/>
          <w:sz w:val="22"/>
          <w:szCs w:val="22"/>
        </w:rPr>
        <w:t xml:space="preserve">Pre-FRTB World — Bank Has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Classification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Capital Treatment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Banking Book (IRB)</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Credit risk capital. BBB corporate: PD ≈ 0.20%, LGD 45%, M 4.5yr. IRB formula: ≈ 6% RWA density. Capital = €50m × 6% ×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Banking Book (SA)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SA credit risk: BBB = 100% RW. Capital = €50m × 100% × 8%</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Trading Book (VaR)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Market risk capital on credit spread volatility. Pre-crisis: IG corporate spread volatility ≈ 5bp/day. 99th pctile = 20bp. DV01 ≈ €22,000. VaR = 20 × €22k × √10 ×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Trading Book (VaR) — pre-crisis benign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Same but using 2005-06 calm period: 3bp/day. VaR = 12bp × €22k × √10 × 3</w:t>
            </w:r>
          </w:p>
        </w:tc>
      </w:tr>
    </w:tbl>
    <w:p>
      <w:pPr>
        <w:spacing w:before="80" w:after="40"/>
      </w:pPr>
    </w:p>
    <w:p>
      <w:pPr>
        <w:spacing w:before="60" w:after="60"/>
      </w:pPr>
      <w:r>
        <w:rPr>
          <w:rFonts w:ascii="Arial" w:cs="Arial" w:eastAsia="Arial" w:hAnsi="Arial"/>
          <w:b w:val="false"/>
          <w:bCs w:val="false"/>
          <w:i w:val="false"/>
          <w:iCs w:val="false"/>
          <w:color w:val="333333"/>
          <w:sz w:val="20"/>
          <w:szCs w:val="20"/>
        </w:rPr>
        <w:t xml:space="preserve">In pre-crisis conditions, the trading book VaR capital (€2.5m in benign markets) was dramatically lower than banking book SA capital (€4m), while the IRB banking book capital (€240k) reflected actual credit risk. This created the incentive to classify credit exposures as trading book — lower capital, same economic exposure.</w:t>
      </w:r>
    </w:p>
    <w:p>
      <w:pPr>
        <w:pStyle w:val="Heading3"/>
        <w:spacing w:before="160" w:after="40"/>
      </w:pPr>
      <w:r>
        <w:rPr>
          <w:rFonts w:ascii="Arial" w:cs="Arial" w:eastAsia="Arial" w:hAnsi="Arial"/>
          <w:b/>
          <w:bCs/>
          <w:color w:val="1B3A6B"/>
          <w:sz w:val="22"/>
          <w:szCs w:val="22"/>
        </w:rPr>
        <w:t xml:space="preserve">FRTB World — Presumptive List Applies</w:t>
      </w:r>
    </w:p>
    <w:p>
      <w:pPr>
        <w:spacing w:before="60" w:after="60"/>
      </w:pPr>
      <w:r>
        <w:rPr>
          <w:rFonts w:ascii="Arial" w:cs="Arial" w:eastAsia="Arial" w:hAnsi="Arial"/>
          <w:b w:val="false"/>
          <w:bCs w:val="false"/>
          <w:i w:val="false"/>
          <w:iCs w:val="false"/>
          <w:color w:val="333333"/>
          <w:sz w:val="20"/>
          <w:szCs w:val="20"/>
        </w:rPr>
        <w:t xml:space="preserve">Under FRTB, this bond's classification depends on the bank's intent and the presumptive list: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If held for market-making or short-term resale: must be trading book. FRTB SA applies — SBM credit spread charge + DRC.</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If held as an investment with no intent to trade: must be banking book. CRR3/Basel IV credit risk SA or IRB applies.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Reclassifying from trading to banking book: requires supervisory approval. Any capital relief must be recognised immediately as a loss — eliminating the arbitrage incentive.</w:t>
      </w:r>
    </w:p>
    <w:p>
      <w:pPr>
        <w:pStyle w:val="Heading3"/>
        <w:spacing w:before="160" w:after="40"/>
      </w:pPr>
      <w:r>
        <w:rPr>
          <w:rFonts w:ascii="Arial" w:cs="Arial" w:eastAsia="Arial" w:hAnsi="Arial"/>
          <w:b/>
          <w:bCs/>
          <w:color w:val="1B3A6B"/>
          <w:sz w:val="22"/>
          <w:szCs w:val="22"/>
        </w:rPr>
        <w:t xml:space="preserve">FRTB SA Capital for the Trading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Component</w:t>
            </w:r>
          </w:p>
        </w:tc>
        <w:tc>
          <w:tcPr>
            <w:tcW w:type="dxa" w:w="45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Calculation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SBM — Credit Spread (CSR)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BBB corporate, 5yr tenor. BCBS risk weight: 1.0% per year × 5yr = 5.0% × notional × DV01 scaling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€2,800,000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Default Risk Charge (DRC)</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Jump-to-default: notional × (1 - RR) × RW. BBB: RW 6%, RR 75%. €50m × 25% × 6%</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€750,000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Total FRTB SA Capital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SBM + DRC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€3,550,000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Pre-FRTB VaR Capital (benign)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For comparison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€2,500,000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Capital increase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FRTB SA vs pre-FRTB VaR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+42%</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KEY LESSON</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FRTB's SA is more expensive than pre-FRTB VaR for investment-grade credit — by design. The DRC captures the jump-to-default risk that VaR entirely missed. The combination of a stricter boundary and higher SA capital eliminates most of the pre-crisis arbitrage.</w:t>
            </w:r>
          </w:p>
        </w:tc>
      </w:tr>
    </w:tbl>
    <w:p>
      <w:r>
        <w:br w:type="page"/>
      </w:r>
    </w:p>
    <w:p>
      <w:pPr>
        <w:pStyle w:val="Heading2"/>
        <w:pBdr>
          <w:bottom w:val="single" w:color="0E6B8A" w:sz="6" w:space="1"/>
        </w:pBdr>
        <w:spacing w:before="200" w:after="60"/>
      </w:pPr>
      <w:r>
        <w:rPr>
          <w:rFonts w:ascii="Arial" w:cs="Arial" w:eastAsia="Arial" w:hAnsi="Arial"/>
          <w:b/>
          <w:bCs/>
          <w:color w:val="0E6B8A"/>
          <w:sz w:val="26"/>
          <w:szCs w:val="26"/>
        </w:rPr>
        <w:t xml:space="preserve">EXAMPLE 3: SA Capital Calculation — EUR Rates Desk</w:t>
      </w:r>
    </w:p>
    <w:p>
      <w:pPr>
        <w:spacing w:before="60" w:after="60"/>
      </w:pPr>
      <w:r>
        <w:rPr>
          <w:rFonts w:ascii="Arial" w:cs="Arial" w:eastAsia="Arial" w:hAnsi="Arial"/>
          <w:b w:val="false"/>
          <w:bCs w:val="false"/>
          <w:i w:val="false"/>
          <w:iCs w:val="false"/>
          <w:color w:val="333333"/>
          <w:sz w:val="20"/>
          <w:szCs w:val="20"/>
        </w:rPr>
        <w:t xml:space="preserve">Purpose: walk through a Sensitivity-Based Method calculation for a vanilla interest rate position, showing how FRTB SA works in practice.</w:t>
      </w:r>
    </w:p>
    <w:p>
      <w:pPr>
        <w:pStyle w:val="Heading3"/>
        <w:spacing w:before="160" w:after="40"/>
      </w:pPr>
      <w:r>
        <w:rPr>
          <w:rFonts w:ascii="Arial" w:cs="Arial" w:eastAsia="Arial" w:hAnsi="Arial"/>
          <w:b/>
          <w:bCs/>
          <w:color w:val="1B3A6B"/>
          <w:sz w:val="22"/>
          <w:szCs w:val="22"/>
        </w:rPr>
        <w:t xml:space="preserve">Trade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Parameter</w:t>
            </w:r>
          </w:p>
        </w:tc>
        <w:tc>
          <w:tcPr>
            <w:tcW w:type="dxa" w:w="58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Instrument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10-year EUR Interest Rate Swap — fixed payer</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Notional</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€200,000,000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 Class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GIRR (General Interest Rate Risk)</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Currency</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DV01 at 10yr tenor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€170,000 per basis point</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Vega exposure</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Nil (vanilla swap, no optionality)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Curvature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Nil (linear instrument)</w:t>
            </w:r>
          </w:p>
        </w:tc>
      </w:tr>
    </w:tbl>
    <w:p>
      <w:pPr>
        <w:spacing w:before="80" w:after="40"/>
      </w:pPr>
    </w:p>
    <w:p>
      <w:pPr>
        <w:pStyle w:val="Heading3"/>
        <w:spacing w:before="160" w:after="40"/>
      </w:pPr>
      <w:r>
        <w:rPr>
          <w:rFonts w:ascii="Arial" w:cs="Arial" w:eastAsia="Arial" w:hAnsi="Arial"/>
          <w:b/>
          <w:bCs/>
          <w:color w:val="1B3A6B"/>
          <w:sz w:val="22"/>
          <w:szCs w:val="22"/>
        </w:rPr>
        <w:t xml:space="preserve">Step 1 — Calculate Delta Sensitivity</w:t>
      </w:r>
    </w:p>
    <w:p>
      <w:pPr>
        <w:spacing w:before="60" w:after="60"/>
      </w:pPr>
      <w:r>
        <w:rPr>
          <w:rFonts w:ascii="Arial" w:cs="Arial" w:eastAsia="Arial" w:hAnsi="Arial"/>
          <w:b w:val="false"/>
          <w:bCs w:val="false"/>
          <w:i w:val="false"/>
          <w:iCs w:val="false"/>
          <w:color w:val="333333"/>
          <w:sz w:val="20"/>
          <w:szCs w:val="20"/>
        </w:rPr>
        <w:t xml:space="preserve">The delta sensitivity (sk) for GIRR is the DV01 × the prescribed risk weight for the tenor bucket. BCBS sets risk weights for each tenor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Tenor Bucket</w:t>
            </w:r>
          </w:p>
        </w:tc>
        <w:tc>
          <w:tcPr>
            <w:tcW w:type="dxa" w:w="28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BCBS Risk Weight</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DV01 Allocation</w:t>
            </w:r>
          </w:p>
        </w:tc>
        <w:tc>
          <w:tcPr>
            <w:tcW w:type="dxa" w:w="17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Weighted Sensitivity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€170,000 × 10,000bp = €1,700,000,000 (PV01 in notional terms)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sk = 0.013 × €1.7bn = €22,100,000</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Note</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 weight applied to PV sensitivity (delta = DV01 × 10,000)</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w:r>
          </w:p>
        </w:tc>
      </w:tr>
    </w:tbl>
    <w:p>
      <w:pPr>
        <w:spacing w:before="80" w:after="40"/>
      </w:pPr>
    </w:p>
    <w:p>
      <w:pPr>
        <w:pStyle w:val="Heading3"/>
        <w:spacing w:before="160" w:after="40"/>
      </w:pPr>
      <w:r>
        <w:rPr>
          <w:rFonts w:ascii="Arial" w:cs="Arial" w:eastAsia="Arial" w:hAnsi="Arial"/>
          <w:b/>
          <w:bCs/>
          <w:color w:val="1B3A6B"/>
          <w:sz w:val="22"/>
          <w:szCs w:val="22"/>
        </w:rPr>
        <w:t xml:space="preserve">Step 2 — Aggregate Within Bucket (Correlation Offsets)</w:t>
      </w:r>
    </w:p>
    <w:p>
      <w:pPr>
        <w:spacing w:before="60" w:after="60"/>
      </w:pPr>
      <w:r>
        <w:rPr>
          <w:rFonts w:ascii="Arial" w:cs="Arial" w:eastAsia="Arial" w:hAnsi="Arial"/>
          <w:b w:val="false"/>
          <w:bCs w:val="false"/>
          <w:i w:val="false"/>
          <w:iCs w:val="false"/>
          <w:color w:val="333333"/>
          <w:sz w:val="20"/>
          <w:szCs w:val="20"/>
        </w:rPr>
        <w:t xml:space="preserve">If the desk holds a single 10yr position (no offsets), the bucket-level capital = weighted sensitivity directly. For a desk with long and short positions at different tenors, BCBS correlation matrices allow partial netting. For this standalone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60"/>
        <w:gridCol w:w="210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Aggregation Step</w:t>
            </w:r>
          </w:p>
        </w:tc>
        <w:tc>
          <w:tcPr>
            <w:tcW w:type="dxa" w:w="42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Formula / Input</w:t>
            </w:r>
          </w:p>
        </w:tc>
        <w:tc>
          <w:tcPr>
            <w:tcW w:type="dxa" w:w="2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Single-position bucket capital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Kb = √(sk²) = sk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€22,100,000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Cross-bucket aggregation</w:t>
            </w:r>
          </w:p>
        </w:tc>
        <w:tc>
          <w:tcPr>
            <w:tcW w:type="dxa" w:w="4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Single risk class here — no cross-bucket needed</w:t>
            </w:r>
          </w:p>
        </w:tc>
        <w:tc>
          <w:tcPr>
            <w:tcW w:type="dxa" w:w="2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€22,100,000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GIRR delta capital charge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DeltaCVR_GIRR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€22,100,000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Vega / Curvature</w:t>
            </w:r>
          </w:p>
        </w:tc>
        <w:tc>
          <w:tcPr>
            <w:tcW w:type="dxa" w:w="4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Zero (vanilla linear instrument)</w:t>
            </w:r>
          </w:p>
        </w:tc>
        <w:tc>
          <w:tcPr>
            <w:tcW w:type="dxa" w:w="2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DRC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credit exposure in plain IRS (counterparty CCR handled by SA-CCR)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Total FRTB SA Capital (delta only)</w:t>
            </w:r>
          </w:p>
        </w:tc>
        <w:tc>
          <w:tcPr>
            <w:tcW w:type="dxa" w:w="4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GIRR delta capital charge</w:t>
            </w:r>
          </w:p>
        </w:tc>
        <w:tc>
          <w:tcPr>
            <w:tcW w:type="dxa" w:w="2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€22,100,000</w:t>
            </w:r>
          </w:p>
        </w:tc>
      </w:tr>
    </w:tbl>
    <w:p>
      <w:pPr>
        <w:spacing w:before="80" w:after="40"/>
      </w:pPr>
    </w:p>
    <w:p>
      <w:pPr>
        <w:pStyle w:val="Heading3"/>
        <w:spacing w:before="160" w:after="40"/>
      </w:pPr>
      <w:r>
        <w:rPr>
          <w:rFonts w:ascii="Arial" w:cs="Arial" w:eastAsia="Arial" w:hAnsi="Arial"/>
          <w:b/>
          <w:bCs/>
          <w:color w:val="1B3A6B"/>
          <w:sz w:val="22"/>
          <w:szCs w:val="22"/>
        </w:rPr>
        <w:t xml:space="preserve">Comparison: Pre-FRTB vs FRTB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Framework</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Capital Estimate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Basel III VaR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 €8–12m (normal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Basel III SVaR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 €15–20m (stressed)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FRTB SA (delta)</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 €22,100,000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FRTB IMA (ES 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 €18–25m</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FRTB SA IS DETERMINISTIC</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Unlike VaR-based capital which fluctuates with recent market volatility, FRTB SA capital is calculated from fixed risk weights and current sensitivities. In calm periods it will often exceed IMA capital — which is why IMA approval is strategically important for desks with large, liquid positions.</w:t>
            </w:r>
          </w:p>
        </w:tc>
      </w:tr>
    </w:tbl>
    <w:p>
      <w:r>
        <w:br w:type="page"/>
      </w:r>
    </w:p>
    <w:p>
      <w:pPr>
        <w:pStyle w:val="Heading2"/>
        <w:pBdr>
          <w:bottom w:val="single" w:color="0E6B8A" w:sz="6" w:space="1"/>
        </w:pBdr>
        <w:spacing w:before="200" w:after="60"/>
      </w:pPr>
      <w:r>
        <w:rPr>
          <w:rFonts w:ascii="Arial" w:cs="Arial" w:eastAsia="Arial" w:hAnsi="Arial"/>
          <w:b/>
          <w:bCs/>
          <w:color w:val="0E6B8A"/>
          <w:sz w:val="26"/>
          <w:szCs w:val="26"/>
        </w:rPr>
        <w:t xml:space="preserve">EXAMPLE 4: P&amp;L Attribution Test — Pass and Fail</w:t>
      </w:r>
    </w:p>
    <w:p>
      <w:pPr>
        <w:spacing w:before="60" w:after="60"/>
      </w:pPr>
      <w:r>
        <w:rPr>
          <w:rFonts w:ascii="Arial" w:cs="Arial" w:eastAsia="Arial" w:hAnsi="Arial"/>
          <w:b w:val="false"/>
          <w:bCs w:val="false"/>
          <w:i w:val="false"/>
          <w:iCs w:val="false"/>
          <w:color w:val="333333"/>
          <w:sz w:val="20"/>
          <w:szCs w:val="20"/>
        </w:rPr>
        <w:t xml:space="preserve">Purpose: illustrate how the PLAT works in practice, and what a passing versus failing result looks like for a rates desk.</w:t>
      </w:r>
    </w:p>
    <w:p>
      <w:pPr>
        <w:pStyle w:val="Heading3"/>
        <w:spacing w:before="160" w:after="40"/>
      </w:pPr>
      <w:r>
        <w:rPr>
          <w:rFonts w:ascii="Arial" w:cs="Arial" w:eastAsia="Arial" w:hAnsi="Arial"/>
          <w:b/>
          <w:bCs/>
          <w:color w:val="1B3A6B"/>
          <w:sz w:val="22"/>
          <w:szCs w:val="22"/>
        </w:rPr>
        <w:t xml:space="preserve">Context</w:t>
      </w:r>
    </w:p>
    <w:p>
      <w:pPr>
        <w:spacing w:before="60" w:after="60"/>
      </w:pPr>
      <w:r>
        <w:rPr>
          <w:rFonts w:ascii="Arial" w:cs="Arial" w:eastAsia="Arial" w:hAnsi="Arial"/>
          <w:b w:val="false"/>
          <w:bCs w:val="false"/>
          <w:i w:val="false"/>
          <w:iCs w:val="false"/>
          <w:color w:val="333333"/>
          <w:sz w:val="20"/>
          <w:szCs w:val="20"/>
        </w:rPr>
        <w:t xml:space="preserve">A EUR government bond trading desk runs an ES model with three risk factors: EUR yield curve (parallel shift), EUR yield curve (slope), and EUR/USD FX rate. The PLAT runs daily for 250 days.</w:t>
      </w:r>
    </w:p>
    <w:p>
      <w:pPr>
        <w:pStyle w:val="Heading3"/>
        <w:spacing w:before="160" w:after="40"/>
      </w:pPr>
      <w:r>
        <w:rPr>
          <w:rFonts w:ascii="Arial" w:cs="Arial" w:eastAsia="Arial" w:hAnsi="Arial"/>
          <w:b/>
          <w:bCs/>
          <w:color w:val="1B3A6B"/>
          <w:sz w:val="22"/>
          <w:szCs w:val="22"/>
        </w:rPr>
        <w:t xml:space="preserve">Scenario A — PLAT Pass</w:t>
      </w:r>
    </w:p>
    <w:p>
      <w:pPr>
        <w:spacing w:before="60" w:after="60"/>
      </w:pPr>
      <w:r>
        <w:rPr>
          <w:rFonts w:ascii="Arial" w:cs="Arial" w:eastAsia="Arial" w:hAnsi="Arial"/>
          <w:b w:val="false"/>
          <w:bCs w:val="false"/>
          <w:i w:val="false"/>
          <w:iCs w:val="false"/>
          <w:color w:val="333333"/>
          <w:sz w:val="20"/>
          <w:szCs w:val="20"/>
        </w:rPr>
        <w:t xml:space="preserve">The desk's positions are vanilla EUR government bonds. The risk model captures parallel shifts and slope changes well. FX exposure is minimal and well-hedged. Over 250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460"/>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PLAT Metric</w:t>
            </w:r>
          </w:p>
        </w:tc>
        <w:tc>
          <w:tcPr>
            <w:tcW w:type="dxa" w:w="22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Result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Threshold</w:t>
            </w:r>
          </w:p>
        </w:tc>
        <w:tc>
          <w:tcPr>
            <w:tcW w:type="dxa" w:w="14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Spearman Correlation (HPL vs RTPL)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0.94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0.80 (pass)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PASS</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KS Statistic p-value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0.18</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0.05 (pass)</w:t>
            </w:r>
          </w:p>
        </w:tc>
        <w:tc>
          <w:tcPr>
            <w:tcW w:type="dxa" w:w="14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Mean of HPL - RTPL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Within ±10% of HPL mean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PASS</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PLAT Result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All metrics pass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w:r>
          </w:p>
        </w:tc>
        <w:tc>
          <w:tcPr>
            <w:tcW w:type="dxa" w:w="14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IMA approved — desk uses ES capital</w:t>
            </w:r>
          </w:p>
        </w:tc>
      </w:tr>
    </w:tbl>
    <w:p>
      <w:pPr>
        <w:spacing w:before="80" w:after="40"/>
      </w:pPr>
    </w:p>
    <w:p>
      <w:pPr>
        <w:pStyle w:val="Heading3"/>
        <w:spacing w:before="160" w:after="40"/>
      </w:pPr>
      <w:r>
        <w:rPr>
          <w:rFonts w:ascii="Arial" w:cs="Arial" w:eastAsia="Arial" w:hAnsi="Arial"/>
          <w:b/>
          <w:bCs/>
          <w:color w:val="1B3A6B"/>
          <w:sz w:val="22"/>
          <w:szCs w:val="22"/>
        </w:rPr>
        <w:t xml:space="preserve">Scenario B — PLAT Failure</w:t>
      </w:r>
    </w:p>
    <w:p>
      <w:pPr>
        <w:spacing w:before="60" w:after="60"/>
      </w:pPr>
      <w:r>
        <w:rPr>
          <w:rFonts w:ascii="Arial" w:cs="Arial" w:eastAsia="Arial" w:hAnsi="Arial"/>
          <w:b w:val="false"/>
          <w:bCs w:val="false"/>
          <w:i w:val="false"/>
          <w:iCs w:val="false"/>
          <w:color w:val="333333"/>
          <w:sz w:val="20"/>
          <w:szCs w:val="20"/>
        </w:rPr>
        <w:t xml:space="preserve">The same desk adds a portfolio of EUR callable bonds — instruments with embedded options. The risk model's three factors (parallel shift, slope, FX) do not capture the volatility risk (vega) driving the option component's P&amp;L. The model's RTPL systematically fails to explain the HPL on days when implied volatility moves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460"/>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PLAT Metric</w:t>
            </w:r>
          </w:p>
        </w:tc>
        <w:tc>
          <w:tcPr>
            <w:tcW w:type="dxa" w:w="22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Result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Threshold</w:t>
            </w:r>
          </w:p>
        </w:tc>
        <w:tc>
          <w:tcPr>
            <w:tcW w:type="dxa" w:w="146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Spearman Correlation (HPL vs RTPL)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0.80 (pass)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FAIL — below threshold</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KS Statistic p-value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0.02</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0.05 (pass)</w:t>
            </w:r>
          </w:p>
        </w:tc>
        <w:tc>
          <w:tcPr>
            <w:tcW w:type="dxa" w:w="14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FAIL — distributions differ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Mean of HPL - RTPL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€520,000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Model systematically underestimates risk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FAIL</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PLAT Result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Multiple failures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w:r>
          </w:p>
        </w:tc>
        <w:tc>
          <w:tcPr>
            <w:tcW w:type="dxa" w:w="14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Desk moves to SA — capital increases materially</w:t>
            </w:r>
          </w:p>
        </w:tc>
      </w:tr>
    </w:tbl>
    <w:p>
      <w:pPr>
        <w:spacing w:before="80" w:after="40"/>
      </w:pPr>
    </w:p>
    <w:p>
      <w:pPr>
        <w:spacing w:before="60" w:after="60"/>
      </w:pPr>
      <w:r>
        <w:rPr>
          <w:rFonts w:ascii="Arial" w:cs="Arial" w:eastAsia="Arial" w:hAnsi="Arial"/>
          <w:b w:val="false"/>
          <w:bCs w:val="false"/>
          <w:i w:val="false"/>
          <w:iCs w:val="false"/>
          <w:color w:val="333333"/>
          <w:sz w:val="20"/>
          <w:szCs w:val="20"/>
        </w:rPr>
        <w:t xml:space="preserve">In Scenario B, the desk's IMA approval is revoked. It must use SA capital — which for callable bonds with vega and curvature charges will be significantly higher than the IMA ES capital the desk was using. The fix is either: (1) add vega/vol risk factors to the ES model and demonstrate they improve RTPL accuracy; or (2) remove the callable bonds from the desk and house them in a separate SA-only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OPERATIONAL IMPLICATION</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PLAT creates a continuous operational burden. Even a desk that passes at approval may subsequently fail if its book composition changes, if new risk factors emerge (e.g. a yield curve inversion creating slope sensitivity), or if model maintenance lapses. Banks need robust daily PLAT monitoring infrastructure — not just an approval-time capability.</w:t>
            </w:r>
          </w:p>
        </w:tc>
      </w:tr>
    </w:tbl>
    <w:p>
      <w:r>
        <w:br w:type="page"/>
      </w:r>
    </w:p>
    <w:p>
      <w:pPr>
        <w:pStyle w:val="Heading1"/>
        <w:spacing w:before="240" w:after="80"/>
      </w:pPr>
      <w:r>
        <w:rPr>
          <w:rFonts w:ascii="Arial" w:cs="Arial" w:eastAsia="Arial" w:hAnsi="Arial"/>
          <w:b/>
          <w:bCs/>
          <w:color w:val="1B3A6B"/>
          <w:sz w:val="32"/>
          <w:szCs w:val="32"/>
        </w:rPr>
        <w:t xml:space="preserve">Critical Review &amp; Corrections</w:t>
      </w:r>
    </w:p>
    <w:p>
      <w:pPr>
        <w:spacing w:before="80" w:after="60"/>
      </w:pPr>
      <w:r>
        <w:rPr>
          <w:rFonts w:ascii="Arial" w:cs="Arial" w:eastAsia="Arial" w:hAnsi="Arial"/>
          <w:b w:val="false"/>
          <w:bCs w:val="false"/>
          <w:i w:val="false"/>
          <w:iCs w:val="false"/>
          <w:color w:val="333333"/>
          <w:sz w:val="20"/>
          <w:szCs w:val="20"/>
        </w:rPr>
        <w:t xml:space="preserve">This section documents known limitations, simplifications, and areas of uncertainty in Module 2. Following the methodology established in Module 1, we apply the same self-review discipline.</w:t>
      </w:r>
    </w:p>
    <w:p>
      <w:pPr>
        <w:pStyle w:val="Heading2"/>
        <w:pBdr>
          <w:bottom w:val="single" w:color="0E6B8A" w:sz="6" w:space="1"/>
        </w:pBdr>
        <w:spacing w:before="200" w:after="60"/>
      </w:pPr>
      <w:r>
        <w:rPr>
          <w:rFonts w:ascii="Arial" w:cs="Arial" w:eastAsia="Arial" w:hAnsi="Arial"/>
          <w:b/>
          <w:bCs/>
          <w:color w:val="0E6B8A"/>
          <w:sz w:val="26"/>
          <w:szCs w:val="26"/>
        </w:rPr>
        <w:t xml:space="preserve">CONFIRMED SIMPLIFICATIONS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Simplification and Caveat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VaR Example (Example 1)</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√10 scaling of 1-day to 10-day VaR assumes independent and identically distributed returns. In practice, regulatory VaR may use full 10-day holding periods or overlapping windows. The illustration is pedagogically correct but not a production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 Capital (Example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SBM calculation shown uses the single-position simplified formula. In practice, within-bucket and cross-bucket correlation matrices (ρkl, γbc) produce different results for multi-position books. The single-position result equals the multi-position result only when there are no offsets.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PLAT Thresholds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Spearman and KS thresholds quoted (0.80 and 0.05) reflect the BCBS 457 specification. Individual jurisdiction implementation (particularly EU EBA RTS) may specify additional or modified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US Regulatory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US section reflects the position as of early 2025. Given the active re-proposal process, material changes to scope, calibration, and timeline should be expected. Readers should verify current NPR status.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CVA Capital Figures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No CVA capital calculations are included in the worked examples. CVA under FRTB (SA-CVA / BA-CVA) interacts with SA-CCR EAD in ways that require portfolio-level data and are beyond the scope of a standalone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Liquidity Horizons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LH assignments shown are from BCBS 457 Table 1. In practice, supervisors may require longer LHs for specific positions, and banks may apply longer LHs voluntarily for risk management purposes.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AREAS FOR PRACTITIONER VERIFICATION</w:t>
      </w:r>
    </w:p>
    <w:p>
      <w:pPr>
        <w:spacing w:before="60" w:after="60"/>
      </w:pPr>
      <w:r>
        <w:rPr>
          <w:rFonts w:ascii="Arial" w:cs="Arial" w:eastAsia="Arial" w:hAnsi="Arial"/>
          <w:b w:val="false"/>
          <w:bCs w:val="false"/>
          <w:i w:val="false"/>
          <w:iCs w:val="false"/>
          <w:color w:val="333333"/>
          <w:sz w:val="20"/>
          <w:szCs w:val="20"/>
        </w:rPr>
        <w:t xml:space="preserve">We specifically invite challenge and correction on the following from practitioners with current implementation experience:</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PLAT implementation specifics — the operational details of HPL vs RTPL construction, intraday position changes, and the treatment of new trades within a PLAT observation period.</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NMRF modellability in practice — the 24-observation test is straightforward in principle but complex to implement for bespoke or structured products. We welcome practitioner input on how banks are handling this.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EU EBA Technical Standards — at the time of writing, certain EBA RTS for IMA approval under CRR3 had not been finalised. Any corrections on final RTS content are welcome.</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US re-proposal content — the re-proposed NPR was not published as of early 2025. Corrections on the final US approach are specifically invited once the re-proposal is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PEER REVIEW INVITATION</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This is a living document. If you are a practitioner working on FRTB implementation and spot an error, an oversimplification, or a point worth debating — please comment on the LinkedIn post or reach out directly. Corrections will be incorporated and credited in subsequent versions.</w:t>
            </w:r>
          </w:p>
        </w:tc>
      </w:tr>
    </w:tbl>
    <w:p>
      <w:r>
        <w:br w:type="page"/>
      </w:r>
    </w:p>
    <w:p>
      <w:pPr>
        <w:pStyle w:val="Heading1"/>
        <w:spacing w:before="240" w:after="80"/>
      </w:pPr>
      <w:r>
        <w:rPr>
          <w:rFonts w:ascii="Arial" w:cs="Arial" w:eastAsia="Arial" w:hAnsi="Arial"/>
          <w:b/>
          <w:bCs/>
          <w:color w:val="1B3A6B"/>
          <w:sz w:val="32"/>
          <w:szCs w:val="32"/>
        </w:rPr>
        <w:t xml:space="preserve">References &amp; Further Reading</w:t>
      </w:r>
    </w:p>
    <w:p>
      <w:pPr>
        <w:pStyle w:val="Heading2"/>
        <w:pBdr>
          <w:bottom w:val="single" w:color="0E6B8A" w:sz="6" w:space="1"/>
        </w:pBdr>
        <w:spacing w:before="200" w:after="60"/>
      </w:pPr>
      <w:r>
        <w:rPr>
          <w:rFonts w:ascii="Arial" w:cs="Arial" w:eastAsia="Arial" w:hAnsi="Arial"/>
          <w:b/>
          <w:bCs/>
          <w:color w:val="0E6B8A"/>
          <w:sz w:val="26"/>
          <w:szCs w:val="26"/>
        </w:rPr>
        <w:t xml:space="preserve">PRIMARY REGULATORY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Ref.</w:t>
            </w:r>
          </w:p>
        </w:tc>
        <w:tc>
          <w:tcPr>
            <w:tcW w:type="dxa" w:w="8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Citation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(2019). 'Minimum capital requirements for market risk.' Basel: BIS. (BCBS 457 — January 2019 revised standard.)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(2016). 'Minimum capital requirements for market risk.' Basel: BIS. (BCBS 352 — January 2016 original standard.)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[3]</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(2015). 'Explanatory note on the revised minimum capital requirements for market risk.' Basel: BIS.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(2009). 'Revisions to the Basel II market risk framework (Basel 2.5).' Basel: BIS. (Updated 2011.)</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[5]</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(1996). 'Amendment to the Capital Accord to Incorporate Market Risks.' Basel: BIS. (Updated 2005.)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European Parliament &amp; Council (2024). 'Capital Requirements Regulation 3 (CRR3).' Official Journal of the EU. June 2024.</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[7]</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Prudential Regulation Authority (2024). 'Policy Statement PS17/24: Implementation of the Basel 3.1 standards.' Bank of England.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Federal Reserve / OCC / FDIC (2023). 'Basel III Endgame Notice of Proposed Rulemaking.' Federal Register. July 2023.</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[9]</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Monetary Authority of Singapore (2023). 'Consultation Paper on Proposed Amendments to MAS Notice 637.' MAS. October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(2020). 'Instructions for Basel III monitoring.' Basel: BIS. (Includes FRTB QIS methodology.)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[11]</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EBA (2024). 'Draft Regulatory Technical Standards on FRTB internal models approach.' EBA/RTS/2024/XX.</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PRACTITIONER AND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Category</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Reference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FRTB Comprehensive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Farahvash, P. (2020). 'Asset-Liability and Liquidity Management.' Wiley. Chapter on market risk capital.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Expected Shortfall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McNeil, A., Frey, R. &amp; Embrechts, P. (2015). 'Quantitative Risk Management.' 2nd ed. Princeton University Press.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Market Risk Practice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Roncalli, T. (2020). 'Handbook on Financial Risk Management.' CRC Press / Chapman &amp; Hall.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FRTB Implementation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ISDA / GFMA / IIF (2018). 'FRTB Industry Survey: Aggregate Results.' Available via isda.org.</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CVA under FRTB</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Gregory, J. (2020). 'The xVA Challenge: Counterparty Credit Risk, Funding, Collateral, Capital and Initial Margin.' 4th ed. Wiley.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Basel 2.5 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Blundell-Wignall, A. &amp; Atkinson, P. (2010). 'Thinking Beyond Basel III.' OECD Journal: Financial Market Trends.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P&amp;L Attribution</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(2019). 'Frequently Asked Questions on Market Risk Capital Requirements.' BIS. (Covers PLAT mechanics.)</w:t>
            </w:r>
          </w:p>
        </w:tc>
      </w:tr>
    </w:tbl>
    <w:p>
      <w:r>
        <w:br w:type="page"/>
      </w:r>
    </w:p>
    <w:p>
      <w:pPr>
        <w:pStyle w:val="Heading1"/>
        <w:spacing w:before="240" w:after="80"/>
      </w:pPr>
      <w:r>
        <w:rPr>
          <w:rFonts w:ascii="Arial" w:cs="Arial" w:eastAsia="Arial" w:hAnsi="Arial"/>
          <w:b/>
          <w:bCs/>
          <w:color w:val="1B3A6B"/>
          <w:sz w:val="32"/>
          <w:szCs w:val="32"/>
        </w:rPr>
        <w:t xml:space="preserve">Glossary of Key Terms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Term</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BA-CVA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Basic Approach CVA. Formula-based method for CVA capital charge under FRTB. Simpler but more conservative than SA-CVA.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Backtesting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Comparing VaR model predictions to actual P&amp;L. Regulatory requirement: models must be validated against 250 days of outcomes.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CET1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Common Equity Tier 1. Highest quality regulatory capital: ordinary shares and retained earnings. Minimum 4.5% of RWA under Basel III.</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CRR3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Capital Requirements Regulation 3. EU legislation implementing Basel IV including FRTB. In force January 2025.</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CSR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Spread Risk. One of seven FRTB risk classes in the SA. Covers bonds, CDS, and securitisations.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Correlation Trading Portfolio. Sub-class of CSR for bespoke CDO tranches and nth-to-default products.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Valuation Adjustment. Market value of counterparty default risk on a derivatives portfolio. Subject to own capital charge under FRTB.</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Default Risk Charge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DRC. Additional SA capital charge capturing jump-to-default risk for credit-sensitive instruments. 99.9% confidence, 1-year horizon.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DV01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Dollar Value of a 01. The change in position value for a 1 basis point move in interest rates. Core sensitivity input to FRTB SA GIRR calculations.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EBA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European Banking Authority. EU body responsible for publishing Regulatory Technical Standards (RTS) for CRR3 / FRTB implementation.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Expected Shortfall. FRTB's replacement for VaR. Measures the average loss in the worst 2.5% of scenarios. Captures tail severity that VaR ignores.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FRTB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Fundamental Review of the Trading Book. BCBS market risk capital framework (BCBS 457, 2019) replacing the Basel II/III VaR-based regime.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GIRR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General Interest Rate Risk. FRTB SA risk class covering yield curve risk in all currencies, inflation risk, and cross-currency basis.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HPL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Hypothetical P&amp;L. The actual daily MTM change in a desk's positions, holding the portfolio fixed. The 'truth' in the P&amp;L Attribution Test.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Internal Models Approach. FRTB's model-based capital approach. Requires desk-level approval, ES model, PLAT pass, and supervisory sign-off.</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IRC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Incremental Risk Charge. Basel 2.5 charge for default and credit migration risk. Replaced by FRTB's DRC.</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KS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Kolmogorov-Smirnov Test. Statistical test of distributional similarity used in the PLAT to compare HPL and RTPL distributions.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Liquidity Horizon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FRTB's assumed holding period by risk factor (10–250 days). Replaces the pre-FRTB uniform 10-day assumption. Longer LH = higher capital.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NMRF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Non-Modellable Risk Factor. Risk factors failing the 24-observation modellability test. Subject to punitive capital with no diversification offset.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NPR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Notice of Proposed Rulemaking. US regulatory mechanism for proposing binding capital rules. FRTB included in the 2023 Basel III Endgame NPR.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Output Floor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 rule requiring that IMA RWA cannot be less than 72.5% of SA RWA. Prevents excessive capital reduction from internal models.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PLAT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P&amp;L Attribution Test. Daily test comparing HPL and RTPL. Failing the PLAT revokes IMA approval and forces SA capital for the affected desk.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Prudential Regulation Authority. UK supervisor implementing FRTB via PS17/24. Implementation target: January 2026.</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RRAO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Residual Risk Add-On. SA capital charge for exotic instruments whose risk cannot be captured by delta, vega, and curvature sensitivities.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RTPL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Risk-Theoretical P&amp;L. P&amp;L predicted by the ES model using only the model's risk factors. Compared to HPL in the PLAT.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RWA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Risk-Weighted Assets. Denominator of the capital ratio. FRTB affects the market risk component of RWA.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Approach. FRTB's prescribed capital method — mandatory for all banks. Uses sensitivity-based method, DRC, and RRAO.</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SA-CCR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Approach for Counterparty Credit Risk. Basel IV method for measuring CCR exposure (EAD). Interacts with CVA capital.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SA-CVA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Approach CVA. Sensitivity-based CVA capital method under FRTB, aligned with SA methodology.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SBM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Sensitivity-Based Method. Core of FRTB SA. Capital based on delta, vega, and curvature sensitivities aggregated with prescribed correlations.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Spearman Correlation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Rank correlation between HPL and RTPL used in the PLAT. Must be ≥ 0.80 to avoid PLAT failure.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SVaR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Stressed VaR. Basel 2.5 / Basel III addition requiring VaR calibrated to a stress period. Added to normal VaR for total capital. Replaced by FRTB 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Trading Book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Positions held with intent to trade in the short term, subject to mark-to-market and FRTB market risk capital.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VaR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Value at Risk. Pre-FRTB primary market risk measure. 99th percentile loss over 10 days. Replaced by ES under FRTB IMA.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Vega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Sensitivity of a position's value to a change in implied volatility. Captured in FRTB SBM for options and vol-sensitive instruments.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0"/>
    </w:pPr>
    <w:r>
      <w:rPr>
        <w:rFonts w:ascii="Arial" w:cs="Arial" w:eastAsia="Arial" w:hAnsi="Arial"/>
        <w:b w:val="false"/>
        <w:bCs w:val="false"/>
        <w:i w:val="false"/>
        <w:iCs w:val="false"/>
        <w:color w:val="888888"/>
        <w:sz w:val="16"/>
        <w:szCs w:val="16"/>
      </w:rPr>
      <w:t xml:space="preserve">Authors: Sarthaka Nanda  |  Claude (Anthropic)</w:t>
    </w:r>
    <w:r>
      <w:rPr>
        <w:rFonts w:ascii="Arial" w:cs="Arial" w:eastAsia="Arial" w:hAnsi="Arial"/>
        <w:b w:val="false"/>
        <w:bCs w:val="false"/>
        <w:i w:val="false"/>
        <w:iCs w:val="false"/>
        <w:color w:val="888888"/>
        <w:sz w:val="16"/>
        <w:szCs w:val="16"/>
      </w:rPr>
      <w:t xml:space="preserve">	</w:t>
    </w:r>
    <w:r>
      <w:rPr>
        <w:rFonts w:ascii="Arial" w:cs="Arial" w:eastAsia="Arial" w:hAnsi="Arial"/>
        <w:b w:val="false"/>
        <w:bCs w:val="false"/>
        <w:i/>
        <w:iCs/>
        <w:color w:val="AAAAAA"/>
        <w:sz w:val="15"/>
        <w:szCs w:val="15"/>
      </w:rPr>
      <w:t xml:space="preserve">Practitioner expertise: Sarthaka Nanda  |  Structure, drafting &amp; formatting: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b w:val="false"/>
        <w:bCs w:val="false"/>
        <w:i w:val="false"/>
        <w:iCs w:val="false"/>
        <w:color w:val="888888"/>
        <w:sz w:val="16"/>
        <w:szCs w:val="16"/>
      </w:rPr>
      <w:t xml:space="preserve">FRTB — Fundamental Review of the Trading Book: Module 2</w:t>
    </w:r>
    <w:r>
      <w:rPr>
        <w:rFonts w:ascii="Arial" w:cs="Arial" w:eastAsia="Arial" w:hAnsi="Arial"/>
        <w:b w:val="false"/>
        <w:bCs w:val="false"/>
        <w:i w:val="false"/>
        <w:iCs w:val="false"/>
        <w:color w:val="888888"/>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80"/>
      <w:outlineLvl w:val="0"/>
    </w:pPr>
    <w:rPr>
      <w:rFonts w:ascii="Arial" w:cs="Arial" w:eastAsia="Arial" w:hAnsi="Arial"/>
      <w:b/>
      <w:bCs/>
      <w:color w:val="1B3A6B"/>
      <w:sz w:val="32"/>
      <w:szCs w:val="32"/>
    </w:rPr>
  </w:style>
  <w:style w:type="paragraph" w:styleId="Heading2">
    <w:name w:val="Heading 2"/>
    <w:basedOn w:val="Normal"/>
    <w:next w:val="Normal"/>
    <w:qFormat/>
    <w:pPr>
      <w:spacing w:before="200" w:after="60"/>
      <w:outlineLvl w:val="1"/>
    </w:pPr>
    <w:rPr>
      <w:rFonts w:ascii="Arial" w:cs="Arial" w:eastAsia="Arial" w:hAnsi="Arial"/>
      <w:b/>
      <w:bCs/>
      <w:color w:val="0E6B8A"/>
      <w:sz w:val="26"/>
      <w:szCs w:val="26"/>
    </w:rPr>
  </w:style>
  <w:style w:type="paragraph" w:styleId="Heading3">
    <w:name w:val="Heading 3"/>
    <w:basedOn w:val="Normal"/>
    <w:next w:val="Normal"/>
    <w:qFormat/>
    <w:pPr>
      <w:spacing w:before="160" w:after="4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2026-03-10T04:02:39.838Z</dcterms:created>
  <dcterms:modified xsi:type="dcterms:W3CDTF">2026-03-10T04:02:39.839Z</dcterms:modified>
</cp:coreProperties>
</file>

<file path=docProps/custom.xml><?xml version="1.0" encoding="utf-8"?>
<Properties xmlns="http://schemas.openxmlformats.org/officeDocument/2006/custom-properties" xmlns:vt="http://schemas.openxmlformats.org/officeDocument/2006/docPropsVTypes"/>
</file>