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Calibri" w:cs="Calibri" w:eastAsia="Calibri" w:hAnsi="Calibri"/>
          <w:b w:val="false"/>
          <w:bCs w:val="false"/>
          <w:i w:val="false"/>
          <w:iCs w:val="false"/>
          <w:color w:val="1A1A2E"/>
          <w:sz w:val="22"/>
          <w:szCs w:val="22"/>
        </w:rPr>
        <w:t xml:space="preserve"/>
      </w:r>
    </w:p>
    <w:p>
      <w:pPr>
        <w:spacing w:after="40" w:before="40"/>
      </w:pPr>
      <w:r>
        <w:rPr>
          <w:rFonts w:ascii="Calibri" w:cs="Calibri" w:eastAsia="Calibri" w:hAnsi="Calibri"/>
          <w:b w:val="false"/>
          <w:bCs w:val="false"/>
          <w:i w:val="false"/>
          <w:iCs w:val="false"/>
          <w:color w:val="1A1A2E"/>
          <w:sz w:val="22"/>
          <w:szCs w:val="22"/>
        </w:rPr>
        <w:t xml:space="preserve"/>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0"/>
        <w:jc w:val="center"/>
      </w:pPr>
      <w:r>
        <w:rPr>
          <w:rFonts w:ascii="Calibri" w:cs="Calibri" w:eastAsia="Calibri" w:hAnsi="Calibri"/>
          <w:b/>
          <w:bCs/>
          <w:i w:val="false"/>
          <w:iCs w:val="false"/>
          <w:color w:val="028090"/>
          <w:sz w:val="20"/>
          <w:szCs w:val="20"/>
        </w:rPr>
        <w:t xml:space="preserve">PRACTITIONER KNOWLEDGE REPOSITORY</w:t>
      </w:r>
    </w:p>
    <w:p>
      <w:pPr>
        <w:spacing w:after="80" w:before="0"/>
        <w:jc w:val="center"/>
      </w:pPr>
      <w:r>
        <w:rPr>
          <w:rFonts w:ascii="Calibri" w:cs="Calibri" w:eastAsia="Calibri" w:hAnsi="Calibri"/>
          <w:b/>
          <w:bCs/>
          <w:i w:val="false"/>
          <w:iCs w:val="false"/>
          <w:color w:val="C8953A"/>
          <w:sz w:val="28"/>
          <w:szCs w:val="28"/>
        </w:rPr>
        <w:t xml:space="preserve">MODULE 4</w:t>
      </w:r>
    </w:p>
    <w:p>
      <w:pPr>
        <w:spacing w:after="40" w:before="0"/>
        <w:jc w:val="center"/>
      </w:pPr>
      <w:r>
        <w:rPr>
          <w:rFonts w:ascii="Calibri" w:cs="Calibri" w:eastAsia="Calibri" w:hAnsi="Calibri"/>
          <w:b/>
          <w:bCs/>
          <w:i w:val="false"/>
          <w:iCs w:val="false"/>
          <w:color w:val="0D1B2A"/>
          <w:sz w:val="52"/>
          <w:szCs w:val="52"/>
        </w:rPr>
        <w:t xml:space="preserve">Funding Valuation Adjustment (FVA)</w:t>
      </w:r>
    </w:p>
    <w:p>
      <w:pPr>
        <w:spacing w:after="120" w:before="0"/>
        <w:jc w:val="center"/>
      </w:pPr>
      <w:r>
        <w:rPr>
          <w:rFonts w:ascii="Calibri" w:cs="Calibri" w:eastAsia="Calibri" w:hAnsi="Calibri"/>
          <w:b/>
          <w:bCs/>
          <w:i w:val="false"/>
          <w:iCs w:val="false"/>
          <w:color w:val="0D1B2A"/>
          <w:sz w:val="52"/>
          <w:szCs w:val="52"/>
        </w:rPr>
        <w:t xml:space="preserve">&amp; Margin Valuation Adjustment (MVA)</w:t>
      </w:r>
    </w:p>
    <w:p>
      <w:pPr>
        <w:spacing w:after="200" w:before="0"/>
        <w:jc w:val="center"/>
      </w:pPr>
      <w:r>
        <w:rPr>
          <w:rFonts w:ascii="Calibri" w:cs="Calibri" w:eastAsia="Calibri" w:hAnsi="Calibri"/>
          <w:b w:val="false"/>
          <w:bCs w:val="false"/>
          <w:i/>
          <w:iCs/>
          <w:color w:val="028090"/>
          <w:sz w:val="28"/>
          <w:szCs w:val="28"/>
        </w:rPr>
        <w:t xml:space="preserve">The Hidden Tax on Every Derivative You Trade</w:t>
      </w:r>
    </w:p>
    <w:p>
      <w:pPr>
        <w:pBdr>
          <w:bottom w:val="single" w:color="028090" w:sz="4"/>
        </w:pBdr>
        <w:spacing w:after="80" w:before="80"/>
      </w:pPr>
    </w:p>
    <w:p>
      <w:pPr>
        <w:spacing w:after="40" w:before="40"/>
      </w:pPr>
      <w:r>
        <w:rPr>
          <w:rFonts w:ascii="Calibri" w:cs="Calibri" w:eastAsia="Calibri" w:hAnsi="Calibri"/>
          <w:b w:val="false"/>
          <w:bCs w:val="false"/>
          <w:i w:val="false"/>
          <w:iCs w:val="false"/>
          <w:color w:val="1A1A2E"/>
          <w:sz w:val="22"/>
          <w:szCs w:val="22"/>
        </w:rPr>
        <w:t xml:space="preserve"/>
      </w:r>
    </w:p>
    <w:p>
      <w:pPr>
        <w:spacing w:after="40" w:before="0"/>
        <w:jc w:val="center"/>
      </w:pPr>
      <w:r>
        <w:rPr>
          <w:rFonts w:ascii="Calibri" w:cs="Calibri" w:eastAsia="Calibri" w:hAnsi="Calibri"/>
          <w:b w:val="false"/>
          <w:bCs w:val="false"/>
          <w:i w:val="false"/>
          <w:iCs w:val="false"/>
          <w:color w:val="8A9BB0"/>
          <w:sz w:val="22"/>
          <w:szCs w:val="22"/>
        </w:rPr>
        <w:t xml:space="preserve">Sarthaka Nanda  |  with Anthropic Claude</w:t>
      </w:r>
    </w:p>
    <w:p>
      <w:pPr>
        <w:spacing w:after="40" w:before="0"/>
        <w:jc w:val="center"/>
      </w:pPr>
      <w:r>
        <w:rPr>
          <w:rFonts w:ascii="Calibri" w:cs="Calibri" w:eastAsia="Calibri" w:hAnsi="Calibri"/>
          <w:b w:val="false"/>
          <w:bCs w:val="false"/>
          <w:i w:val="false"/>
          <w:iCs w:val="false"/>
          <w:color w:val="8A9BB0"/>
          <w:sz w:val="20"/>
          <w:szCs w:val="20"/>
        </w:rPr>
        <w:t xml:space="preserve">Practitioner Knowledge Repository  ·  2025  |  CC BY-NC 4.0</w:t>
      </w:r>
    </w:p>
    <w:p>
      <w:pPr>
        <w:spacing w:after="0" w:before="0"/>
      </w:pPr>
      <w:r>
        <w:br w:type="page"/>
      </w:r>
    </w:p>
    <w:p>
      <w:pPr>
        <w:pBdr>
          <w:top w:val="single" w:color="028090" w:sz="6"/>
          <w:bottom w:val="single" w:color="028090" w:sz="6"/>
        </w:pBdr>
        <w:shd w:fill="028090" w:val="clear"/>
        <w:spacing w:after="120" w:before="240"/>
        <w:ind w:left="200" w:right="200"/>
        <w:jc w:val="left"/>
      </w:pPr>
      <w:r>
        <w:rPr>
          <w:rFonts w:ascii="Calibri" w:cs="Calibri" w:eastAsia="Calibri" w:hAnsi="Calibri"/>
          <w:b/>
          <w:bCs/>
          <w:color w:val="FFFFFF"/>
          <w:sz w:val="26"/>
          <w:szCs w:val="26"/>
        </w:rPr>
        <w:t xml:space="preserve">TABLE OF CONTENTS</w:t>
      </w:r>
    </w:p>
    <w:p>
      <w:pPr>
        <w:spacing w:after="40" w:before="40"/>
      </w:pPr>
      <w:r>
        <w:rPr>
          <w:rFonts w:ascii="Calibri" w:cs="Calibri" w:eastAsia="Calibri" w:hAnsi="Calibri"/>
          <w:b w:val="false"/>
          <w:bCs w:val="false"/>
          <w:i w:val="false"/>
          <w:iCs w:val="false"/>
          <w:color w:val="1A1A2E"/>
          <w:sz w:val="22"/>
          <w:szCs w:val="22"/>
        </w:rPr>
        <w:t xml:space="preserve"/>
      </w:r>
    </w:p>
    <w:p>
      <w:pPr>
        <w:tabs>
          <w:tab w:val="right" w:pos="9360"/>
        </w:tabs>
        <w:spacing w:after="40" w:before="100"/>
      </w:pPr>
      <w:r>
        <w:rPr>
          <w:rFonts w:ascii="Calibri" w:cs="Calibri" w:eastAsia="Calibri" w:hAnsi="Calibri"/>
          <w:b/>
          <w:bCs/>
          <w:color w:val="0D1B2A"/>
          <w:sz w:val="22"/>
          <w:szCs w:val="22"/>
        </w:rPr>
        <w:t xml:space="preserve">1.  Layman Analogy — The Funding Cost Hiding Below the Waterline</w:t>
      </w:r>
      <w:r>
        <w:rPr>
          <w:rFonts w:ascii="Calibri" w:cs="Calibri" w:eastAsia="Calibri" w:hAnsi="Calibri"/>
          <w:b w:val="false"/>
          <w:bCs w:val="false"/>
          <w:color w:val="8A9BB0"/>
          <w:sz w:val="22"/>
          <w:szCs w:val="22"/>
        </w:rPr>
        <w:t xml:space="preserve">	3</w:t>
      </w:r>
    </w:p>
    <w:p>
      <w:pPr>
        <w:tabs>
          <w:tab w:val="right" w:pos="9360"/>
        </w:tabs>
        <w:spacing w:after="40" w:before="100"/>
      </w:pPr>
      <w:r>
        <w:rPr>
          <w:rFonts w:ascii="Calibri" w:cs="Calibri" w:eastAsia="Calibri" w:hAnsi="Calibri"/>
          <w:b/>
          <w:bCs/>
          <w:color w:val="0D1B2A"/>
          <w:sz w:val="22"/>
          <w:szCs w:val="22"/>
        </w:rPr>
        <w:t xml:space="preserve">2.  The Problem FVA Solves: When Risk-Neutral Pricing Breaks Down</w:t>
      </w:r>
      <w:r>
        <w:rPr>
          <w:rFonts w:ascii="Calibri" w:cs="Calibri" w:eastAsia="Calibri" w:hAnsi="Calibri"/>
          <w:b w:val="false"/>
          <w:bCs w:val="false"/>
          <w:color w:val="8A9BB0"/>
          <w:sz w:val="22"/>
          <w:szCs w:val="22"/>
        </w:rPr>
        <w:t xml:space="preserve">	4</w:t>
      </w:r>
    </w:p>
    <w:p>
      <w:pPr>
        <w:tabs>
          <w:tab w:val="right" w:pos="9360"/>
        </w:tabs>
        <w:spacing w:after="40" w:before="100"/>
      </w:pPr>
      <w:r>
        <w:rPr>
          <w:rFonts w:ascii="Calibri" w:cs="Calibri" w:eastAsia="Calibri" w:hAnsi="Calibri"/>
          <w:b/>
          <w:bCs/>
          <w:color w:val="0D1B2A"/>
          <w:sz w:val="22"/>
          <w:szCs w:val="22"/>
        </w:rPr>
        <w:t xml:space="preserve">3.  FVA &amp; MVA Defined: A Side-by-Side Introduction</w:t>
      </w:r>
      <w:r>
        <w:rPr>
          <w:rFonts w:ascii="Calibri" w:cs="Calibri" w:eastAsia="Calibri" w:hAnsi="Calibri"/>
          <w:b w:val="false"/>
          <w:bCs w:val="false"/>
          <w:color w:val="8A9BB0"/>
          <w:sz w:val="22"/>
          <w:szCs w:val="22"/>
        </w:rPr>
        <w:t xml:space="preserve">	5</w:t>
      </w:r>
    </w:p>
    <w:p>
      <w:pPr>
        <w:tabs>
          <w:tab w:val="right" w:pos="9360"/>
        </w:tabs>
        <w:spacing w:after="40" w:before="100"/>
      </w:pPr>
      <w:r>
        <w:rPr>
          <w:rFonts w:ascii="Calibri" w:cs="Calibri" w:eastAsia="Calibri" w:hAnsi="Calibri"/>
          <w:b/>
          <w:bCs/>
          <w:color w:val="0D1B2A"/>
          <w:sz w:val="22"/>
          <w:szCs w:val="22"/>
        </w:rPr>
        <w:t xml:space="preserve">4.  FVA: Formal Framework &amp; Formula Derivation</w:t>
      </w:r>
      <w:r>
        <w:rPr>
          <w:rFonts w:ascii="Calibri" w:cs="Calibri" w:eastAsia="Calibri" w:hAnsi="Calibri"/>
          <w:b w:val="false"/>
          <w:bCs w:val="false"/>
          <w:color w:val="8A9BB0"/>
          <w:sz w:val="22"/>
          <w:szCs w:val="22"/>
        </w:rPr>
        <w:t xml:space="preserve">	6</w:t>
      </w:r>
    </w:p>
    <w:p>
      <w:pPr>
        <w:tabs>
          <w:tab w:val="right" w:pos="9360"/>
        </w:tabs>
        <w:spacing w:after="20" w:before="40"/>
        <w:ind w:left="400"/>
      </w:pPr>
      <w:r>
        <w:rPr>
          <w:rFonts w:ascii="Calibri" w:cs="Calibri" w:eastAsia="Calibri" w:hAnsi="Calibri"/>
          <w:b w:val="false"/>
          <w:bCs w:val="false"/>
          <w:color w:val="1A1A2E"/>
          <w:sz w:val="20"/>
          <w:szCs w:val="20"/>
        </w:rPr>
        <w:t xml:space="preserve">4.1.  The Piterbarg Framework (2010)</w:t>
      </w:r>
      <w:r>
        <w:rPr>
          <w:rFonts w:ascii="Calibri" w:cs="Calibri" w:eastAsia="Calibri" w:hAnsi="Calibri"/>
          <w:b w:val="false"/>
          <w:bCs w:val="false"/>
          <w:color w:val="8A9BB0"/>
          <w:sz w:val="20"/>
          <w:szCs w:val="20"/>
        </w:rPr>
        <w:t xml:space="preserve">	6</w:t>
      </w:r>
    </w:p>
    <w:p>
      <w:pPr>
        <w:tabs>
          <w:tab w:val="right" w:pos="9360"/>
        </w:tabs>
        <w:spacing w:after="20" w:before="40"/>
        <w:ind w:left="400"/>
      </w:pPr>
      <w:r>
        <w:rPr>
          <w:rFonts w:ascii="Calibri" w:cs="Calibri" w:eastAsia="Calibri" w:hAnsi="Calibri"/>
          <w:b w:val="false"/>
          <w:bCs w:val="false"/>
          <w:color w:val="1A1A2E"/>
          <w:sz w:val="20"/>
          <w:szCs w:val="20"/>
        </w:rPr>
        <w:t xml:space="preserve">4.2.  FCA and FBA: The Two Components of FVA</w:t>
      </w:r>
      <w:r>
        <w:rPr>
          <w:rFonts w:ascii="Calibri" w:cs="Calibri" w:eastAsia="Calibri" w:hAnsi="Calibri"/>
          <w:b w:val="false"/>
          <w:bCs w:val="false"/>
          <w:color w:val="8A9BB0"/>
          <w:sz w:val="20"/>
          <w:szCs w:val="20"/>
        </w:rPr>
        <w:t xml:space="preserve">	6</w:t>
      </w:r>
    </w:p>
    <w:p>
      <w:pPr>
        <w:tabs>
          <w:tab w:val="right" w:pos="9360"/>
        </w:tabs>
        <w:spacing w:after="20" w:before="40"/>
        <w:ind w:left="400"/>
      </w:pPr>
      <w:r>
        <w:rPr>
          <w:rFonts w:ascii="Calibri" w:cs="Calibri" w:eastAsia="Calibri" w:hAnsi="Calibri"/>
          <w:b w:val="false"/>
          <w:bCs w:val="false"/>
          <w:color w:val="1A1A2E"/>
          <w:sz w:val="20"/>
          <w:szCs w:val="20"/>
        </w:rPr>
        <w:t xml:space="preserve">4.3.  Practical Computation</w:t>
      </w:r>
      <w:r>
        <w:rPr>
          <w:rFonts w:ascii="Calibri" w:cs="Calibri" w:eastAsia="Calibri" w:hAnsi="Calibri"/>
          <w:b w:val="false"/>
          <w:bCs w:val="false"/>
          <w:color w:val="8A9BB0"/>
          <w:sz w:val="20"/>
          <w:szCs w:val="20"/>
        </w:rPr>
        <w:t xml:space="preserve">	7</w:t>
      </w:r>
    </w:p>
    <w:p>
      <w:pPr>
        <w:tabs>
          <w:tab w:val="right" w:pos="9360"/>
        </w:tabs>
        <w:spacing w:after="40" w:before="100"/>
      </w:pPr>
      <w:r>
        <w:rPr>
          <w:rFonts w:ascii="Calibri" w:cs="Calibri" w:eastAsia="Calibri" w:hAnsi="Calibri"/>
          <w:b/>
          <w:bCs/>
          <w:color w:val="0D1B2A"/>
          <w:sz w:val="22"/>
          <w:szCs w:val="22"/>
        </w:rPr>
        <w:t xml:space="preserve">5.  The Hull-White Controversy: Should FVA Exist?</w:t>
      </w:r>
      <w:r>
        <w:rPr>
          <w:rFonts w:ascii="Calibri" w:cs="Calibri" w:eastAsia="Calibri" w:hAnsi="Calibri"/>
          <w:b w:val="false"/>
          <w:bCs w:val="false"/>
          <w:color w:val="8A9BB0"/>
          <w:sz w:val="22"/>
          <w:szCs w:val="22"/>
        </w:rPr>
        <w:t xml:space="preserve">	8</w:t>
      </w:r>
    </w:p>
    <w:p>
      <w:pPr>
        <w:tabs>
          <w:tab w:val="right" w:pos="9360"/>
        </w:tabs>
        <w:spacing w:after="40" w:before="100"/>
      </w:pPr>
      <w:r>
        <w:rPr>
          <w:rFonts w:ascii="Calibri" w:cs="Calibri" w:eastAsia="Calibri" w:hAnsi="Calibri"/>
          <w:b/>
          <w:bCs/>
          <w:color w:val="0D1B2A"/>
          <w:sz w:val="22"/>
          <w:szCs w:val="22"/>
        </w:rPr>
        <w:t xml:space="preserve">6.  DVA vs FVA: The Double-Count Problem</w:t>
      </w:r>
      <w:r>
        <w:rPr>
          <w:rFonts w:ascii="Calibri" w:cs="Calibri" w:eastAsia="Calibri" w:hAnsi="Calibri"/>
          <w:b w:val="false"/>
          <w:bCs w:val="false"/>
          <w:color w:val="8A9BB0"/>
          <w:sz w:val="22"/>
          <w:szCs w:val="22"/>
        </w:rPr>
        <w:t xml:space="preserve">	9</w:t>
      </w:r>
    </w:p>
    <w:p>
      <w:pPr>
        <w:tabs>
          <w:tab w:val="right" w:pos="9360"/>
        </w:tabs>
        <w:spacing w:after="40" w:before="100"/>
      </w:pPr>
      <w:r>
        <w:rPr>
          <w:rFonts w:ascii="Calibri" w:cs="Calibri" w:eastAsia="Calibri" w:hAnsi="Calibri"/>
          <w:b/>
          <w:bCs/>
          <w:color w:val="0D1B2A"/>
          <w:sz w:val="22"/>
          <w:szCs w:val="22"/>
        </w:rPr>
        <w:t xml:space="preserve">7.  Worked Numerical Example: FVA on an Uncollateralised IRS</w:t>
      </w:r>
      <w:r>
        <w:rPr>
          <w:rFonts w:ascii="Calibri" w:cs="Calibri" w:eastAsia="Calibri" w:hAnsi="Calibri"/>
          <w:b w:val="false"/>
          <w:bCs w:val="false"/>
          <w:color w:val="8A9BB0"/>
          <w:sz w:val="22"/>
          <w:szCs w:val="22"/>
        </w:rPr>
        <w:t xml:space="preserve">	10</w:t>
      </w:r>
    </w:p>
    <w:p>
      <w:pPr>
        <w:tabs>
          <w:tab w:val="right" w:pos="9360"/>
        </w:tabs>
        <w:spacing w:after="20" w:before="40"/>
        <w:ind w:left="400"/>
      </w:pPr>
      <w:r>
        <w:rPr>
          <w:rFonts w:ascii="Calibri" w:cs="Calibri" w:eastAsia="Calibri" w:hAnsi="Calibri"/>
          <w:b w:val="false"/>
          <w:bCs w:val="false"/>
          <w:color w:val="1A1A2E"/>
          <w:sz w:val="20"/>
          <w:szCs w:val="20"/>
        </w:rPr>
        <w:t xml:space="preserve">7B.  Desk-Level Case Studies: 10Y IRS Under Three Collateral Regimes</w:t>
      </w:r>
      <w:r>
        <w:rPr>
          <w:rFonts w:ascii="Calibri" w:cs="Calibri" w:eastAsia="Calibri" w:hAnsi="Calibri"/>
          <w:b w:val="false"/>
          <w:bCs w:val="false"/>
          <w:color w:val="8A9BB0"/>
          <w:sz w:val="20"/>
          <w:szCs w:val="20"/>
        </w:rPr>
        <w:t xml:space="preserve">	12</w:t>
      </w:r>
    </w:p>
    <w:p>
      <w:pPr>
        <w:tabs>
          <w:tab w:val="right" w:pos="9360"/>
        </w:tabs>
        <w:spacing w:after="40" w:before="100"/>
      </w:pPr>
      <w:r>
        <w:rPr>
          <w:rFonts w:ascii="Calibri" w:cs="Calibri" w:eastAsia="Calibri" w:hAnsi="Calibri"/>
          <w:b/>
          <w:bCs/>
          <w:color w:val="0D1B2A"/>
          <w:sz w:val="22"/>
          <w:szCs w:val="22"/>
        </w:rPr>
        <w:t xml:space="preserve">8.  MVA: Formal Framework &amp; Formula Derivation</w:t>
      </w:r>
      <w:r>
        <w:rPr>
          <w:rFonts w:ascii="Calibri" w:cs="Calibri" w:eastAsia="Calibri" w:hAnsi="Calibri"/>
          <w:b w:val="false"/>
          <w:bCs w:val="false"/>
          <w:color w:val="8A9BB0"/>
          <w:sz w:val="22"/>
          <w:szCs w:val="22"/>
        </w:rPr>
        <w:t xml:space="preserve">	14</w:t>
      </w:r>
    </w:p>
    <w:p>
      <w:pPr>
        <w:tabs>
          <w:tab w:val="right" w:pos="9360"/>
        </w:tabs>
        <w:spacing w:after="20" w:before="40"/>
        <w:ind w:left="400"/>
      </w:pPr>
      <w:r>
        <w:rPr>
          <w:rFonts w:ascii="Calibri" w:cs="Calibri" w:eastAsia="Calibri" w:hAnsi="Calibri"/>
          <w:b w:val="false"/>
          <w:bCs w:val="false"/>
          <w:color w:val="1A1A2E"/>
          <w:sz w:val="20"/>
          <w:szCs w:val="20"/>
        </w:rPr>
        <w:t xml:space="preserve">8.1.  Origins: The UMR Revolution</w:t>
      </w:r>
      <w:r>
        <w:rPr>
          <w:rFonts w:ascii="Calibri" w:cs="Calibri" w:eastAsia="Calibri" w:hAnsi="Calibri"/>
          <w:b w:val="false"/>
          <w:bCs w:val="false"/>
          <w:color w:val="8A9BB0"/>
          <w:sz w:val="20"/>
          <w:szCs w:val="20"/>
        </w:rPr>
        <w:t xml:space="preserve">	14</w:t>
      </w:r>
    </w:p>
    <w:p>
      <w:pPr>
        <w:tabs>
          <w:tab w:val="right" w:pos="9360"/>
        </w:tabs>
        <w:spacing w:after="20" w:before="40"/>
        <w:ind w:left="400"/>
      </w:pPr>
      <w:r>
        <w:rPr>
          <w:rFonts w:ascii="Calibri" w:cs="Calibri" w:eastAsia="Calibri" w:hAnsi="Calibri"/>
          <w:b w:val="false"/>
          <w:bCs w:val="false"/>
          <w:color w:val="1A1A2E"/>
          <w:sz w:val="20"/>
          <w:szCs w:val="20"/>
        </w:rPr>
        <w:t xml:space="preserve">8.2.  The ISDA SIMM Model</w:t>
      </w:r>
      <w:r>
        <w:rPr>
          <w:rFonts w:ascii="Calibri" w:cs="Calibri" w:eastAsia="Calibri" w:hAnsi="Calibri"/>
          <w:b w:val="false"/>
          <w:bCs w:val="false"/>
          <w:color w:val="8A9BB0"/>
          <w:sz w:val="20"/>
          <w:szCs w:val="20"/>
        </w:rPr>
        <w:t xml:space="preserve">	14</w:t>
      </w:r>
    </w:p>
    <w:p>
      <w:pPr>
        <w:tabs>
          <w:tab w:val="right" w:pos="9360"/>
        </w:tabs>
        <w:spacing w:after="20" w:before="40"/>
        <w:ind w:left="400"/>
      </w:pPr>
      <w:r>
        <w:rPr>
          <w:rFonts w:ascii="Calibri" w:cs="Calibri" w:eastAsia="Calibri" w:hAnsi="Calibri"/>
          <w:b w:val="false"/>
          <w:bCs w:val="false"/>
          <w:color w:val="1A1A2E"/>
          <w:sz w:val="20"/>
          <w:szCs w:val="20"/>
        </w:rPr>
        <w:t xml:space="preserve">8.3.  MVA Formula and Intuition</w:t>
      </w:r>
      <w:r>
        <w:rPr>
          <w:rFonts w:ascii="Calibri" w:cs="Calibri" w:eastAsia="Calibri" w:hAnsi="Calibri"/>
          <w:b w:val="false"/>
          <w:bCs w:val="false"/>
          <w:color w:val="8A9BB0"/>
          <w:sz w:val="20"/>
          <w:szCs w:val="20"/>
        </w:rPr>
        <w:t xml:space="preserve">	15</w:t>
      </w:r>
    </w:p>
    <w:p>
      <w:pPr>
        <w:tabs>
          <w:tab w:val="right" w:pos="9360"/>
        </w:tabs>
        <w:spacing w:after="40" w:before="100"/>
      </w:pPr>
      <w:r>
        <w:rPr>
          <w:rFonts w:ascii="Calibri" w:cs="Calibri" w:eastAsia="Calibri" w:hAnsi="Calibri"/>
          <w:b/>
          <w:bCs/>
          <w:color w:val="0D1B2A"/>
          <w:sz w:val="22"/>
          <w:szCs w:val="22"/>
        </w:rPr>
        <w:t xml:space="preserve">9.  Worked Numerical Example: MVA Under ISDA SIMM</w:t>
      </w:r>
      <w:r>
        <w:rPr>
          <w:rFonts w:ascii="Calibri" w:cs="Calibri" w:eastAsia="Calibri" w:hAnsi="Calibri"/>
          <w:b w:val="false"/>
          <w:bCs w:val="false"/>
          <w:color w:val="8A9BB0"/>
          <w:sz w:val="22"/>
          <w:szCs w:val="22"/>
        </w:rPr>
        <w:t xml:space="preserve">	16</w:t>
      </w:r>
    </w:p>
    <w:p>
      <w:pPr>
        <w:tabs>
          <w:tab w:val="right" w:pos="9360"/>
        </w:tabs>
        <w:spacing w:after="40" w:before="100"/>
      </w:pPr>
      <w:r>
        <w:rPr>
          <w:rFonts w:ascii="Calibri" w:cs="Calibri" w:eastAsia="Calibri" w:hAnsi="Calibri"/>
          <w:b/>
          <w:bCs/>
          <w:color w:val="0D1B2A"/>
          <w:sz w:val="22"/>
          <w:szCs w:val="22"/>
        </w:rPr>
        <w:t xml:space="preserve">10.  Regulatory Treatment: FRTB-CVA, SA-CCR &amp; UMR Interactions</w:t>
      </w:r>
      <w:r>
        <w:rPr>
          <w:rFonts w:ascii="Calibri" w:cs="Calibri" w:eastAsia="Calibri" w:hAnsi="Calibri"/>
          <w:b w:val="false"/>
          <w:bCs w:val="false"/>
          <w:color w:val="8A9BB0"/>
          <w:sz w:val="22"/>
          <w:szCs w:val="22"/>
        </w:rPr>
        <w:t xml:space="preserve">	17</w:t>
      </w:r>
    </w:p>
    <w:p>
      <w:pPr>
        <w:tabs>
          <w:tab w:val="right" w:pos="9360"/>
        </w:tabs>
        <w:spacing w:after="20" w:before="40"/>
        <w:ind w:left="400"/>
      </w:pPr>
      <w:r>
        <w:rPr>
          <w:rFonts w:ascii="Calibri" w:cs="Calibri" w:eastAsia="Calibri" w:hAnsi="Calibri"/>
          <w:b w:val="false"/>
          <w:bCs w:val="false"/>
          <w:color w:val="1A1A2E"/>
          <w:sz w:val="20"/>
          <w:szCs w:val="20"/>
        </w:rPr>
        <w:t xml:space="preserve">10B.  Stress Scenarios: Funding Spreads, CCP Margin Calls &amp; Credit Deterioration</w:t>
      </w:r>
      <w:r>
        <w:rPr>
          <w:rFonts w:ascii="Calibri" w:cs="Calibri" w:eastAsia="Calibri" w:hAnsi="Calibri"/>
          <w:b w:val="false"/>
          <w:bCs w:val="false"/>
          <w:color w:val="8A9BB0"/>
          <w:sz w:val="20"/>
          <w:szCs w:val="20"/>
        </w:rPr>
        <w:t xml:space="preserve">	19</w:t>
      </w:r>
    </w:p>
    <w:p>
      <w:pPr>
        <w:tabs>
          <w:tab w:val="right" w:pos="9360"/>
        </w:tabs>
        <w:spacing w:after="40" w:before="100"/>
      </w:pPr>
      <w:r>
        <w:rPr>
          <w:rFonts w:ascii="Calibri" w:cs="Calibri" w:eastAsia="Calibri" w:hAnsi="Calibri"/>
          <w:b/>
          <w:bCs/>
          <w:color w:val="0D1B2A"/>
          <w:sz w:val="22"/>
          <w:szCs w:val="22"/>
        </w:rPr>
        <w:t xml:space="preserve">11.  Crisis Case Studies</w:t>
      </w:r>
      <w:r>
        <w:rPr>
          <w:rFonts w:ascii="Calibri" w:cs="Calibri" w:eastAsia="Calibri" w:hAnsi="Calibri"/>
          <w:b w:val="false"/>
          <w:bCs w:val="false"/>
          <w:color w:val="8A9BB0"/>
          <w:sz w:val="22"/>
          <w:szCs w:val="22"/>
        </w:rPr>
        <w:t xml:space="preserve">	21</w:t>
      </w:r>
    </w:p>
    <w:p>
      <w:pPr>
        <w:tabs>
          <w:tab w:val="right" w:pos="9360"/>
        </w:tabs>
        <w:spacing w:after="40" w:before="100"/>
      </w:pPr>
      <w:r>
        <w:rPr>
          <w:rFonts w:ascii="Calibri" w:cs="Calibri" w:eastAsia="Calibri" w:hAnsi="Calibri"/>
          <w:b/>
          <w:bCs/>
          <w:color w:val="0D1B2A"/>
          <w:sz w:val="22"/>
          <w:szCs w:val="22"/>
        </w:rPr>
        <w:t xml:space="preserve">12.  Advanced Topics: XVA Interactions &amp; Holistic Trader’s View</w:t>
      </w:r>
      <w:r>
        <w:rPr>
          <w:rFonts w:ascii="Calibri" w:cs="Calibri" w:eastAsia="Calibri" w:hAnsi="Calibri"/>
          <w:b w:val="false"/>
          <w:bCs w:val="false"/>
          <w:color w:val="8A9BB0"/>
          <w:sz w:val="22"/>
          <w:szCs w:val="22"/>
        </w:rPr>
        <w:t xml:space="preserve">	23</w:t>
      </w:r>
    </w:p>
    <w:p>
      <w:pPr>
        <w:tabs>
          <w:tab w:val="right" w:pos="9360"/>
        </w:tabs>
        <w:spacing w:after="40" w:before="100"/>
      </w:pPr>
      <w:r>
        <w:rPr>
          <w:rFonts w:ascii="Calibri" w:cs="Calibri" w:eastAsia="Calibri" w:hAnsi="Calibri"/>
          <w:b/>
          <w:bCs/>
          <w:color w:val="0D1B2A"/>
          <w:sz w:val="22"/>
          <w:szCs w:val="22"/>
        </w:rPr>
        <w:t xml:space="preserve">13.  References</w:t>
      </w:r>
      <w:r>
        <w:rPr>
          <w:rFonts w:ascii="Calibri" w:cs="Calibri" w:eastAsia="Calibri" w:hAnsi="Calibri"/>
          <w:b w:val="false"/>
          <w:bCs w:val="false"/>
          <w:color w:val="8A9BB0"/>
          <w:sz w:val="22"/>
          <w:szCs w:val="22"/>
        </w:rPr>
        <w:t xml:space="preserve">	26</w:t>
      </w:r>
    </w:p>
    <w:p>
      <w:pPr>
        <w:tabs>
          <w:tab w:val="right" w:pos="9360"/>
        </w:tabs>
        <w:spacing w:after="40" w:before="100"/>
      </w:pPr>
      <w:r>
        <w:rPr>
          <w:rFonts w:ascii="Calibri" w:cs="Calibri" w:eastAsia="Calibri" w:hAnsi="Calibri"/>
          <w:b/>
          <w:bCs/>
          <w:color w:val="0D1B2A"/>
          <w:sz w:val="22"/>
          <w:szCs w:val="22"/>
        </w:rPr>
        <w:t xml:space="preserve">14.  Credits &amp; Methodology Note</w:t>
      </w:r>
      <w:r>
        <w:rPr>
          <w:rFonts w:ascii="Calibri" w:cs="Calibri" w:eastAsia="Calibri" w:hAnsi="Calibri"/>
          <w:b w:val="false"/>
          <w:bCs w:val="false"/>
          <w:color w:val="8A9BB0"/>
          <w:sz w:val="22"/>
          <w:szCs w:val="22"/>
        </w:rPr>
        <w:t xml:space="preserve">	27</w:t>
      </w:r>
    </w:p>
    <w:p>
      <w:pPr>
        <w:spacing w:after="40" w:before="40"/>
      </w:pPr>
      <w:r>
        <w:rPr>
          <w:rFonts w:ascii="Calibri" w:cs="Calibri" w:eastAsia="Calibri" w:hAnsi="Calibri"/>
          <w:b w:val="false"/>
          <w:bCs w:val="false"/>
          <w:i w:val="false"/>
          <w:iCs w:val="false"/>
          <w:color w:val="1A1A2E"/>
          <w:sz w:val="22"/>
          <w:szCs w:val="22"/>
        </w:rPr>
        <w:t xml:space="preserve"/>
      </w:r>
    </w:p>
    <w:p>
      <w:pPr>
        <w:spacing w:after="80" w:before="40"/>
      </w:pPr>
      <w:r>
        <w:rPr>
          <w:rFonts w:ascii="Calibri" w:cs="Calibri" w:eastAsia="Calibri" w:hAnsi="Calibri"/>
          <w:i/>
          <w:iCs/>
          <w:color w:val="8A9BB0"/>
          <w:sz w:val="17"/>
          <w:szCs w:val="17"/>
        </w:rPr>
        <w:t xml:space="preserve">Page numbers are approximate. Sections 7B, 10B and 12 contain new material added following community review.</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1. Layman Analogy — The Funding Cost Hiding Below the Waterline</w:t>
      </w:r>
    </w:p>
    <w:p>
      <w:pPr>
        <w:spacing w:after="60" w:before="60"/>
        <w:jc w:val="both"/>
      </w:pPr>
      <w:r>
        <w:rPr>
          <w:rFonts w:ascii="Calibri" w:cs="Calibri" w:eastAsia="Calibri" w:hAnsi="Calibri"/>
          <w:b w:val="false"/>
          <w:bCs w:val="false"/>
          <w:i w:val="false"/>
          <w:iCs w:val="false"/>
          <w:color w:val="1A1A2E"/>
          <w:sz w:val="22"/>
          <w:szCs w:val="22"/>
        </w:rPr>
        <w:t xml:space="preserve">Imagine you are a bank. A corporate client asks you to enter a 5-year interest rate swap — they pay fixed, you pay floating. In a textbook world, you price this at fair value using risk-neutral discounting: expected cash flows discounted at the risk-free rate. Done.</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But here is what the textbook omits: </w:t>
      </w:r>
      <w:r>
        <w:rPr>
          <w:rFonts w:ascii="Calibri" w:cs="Calibri" w:eastAsia="Calibri" w:hAnsi="Calibri"/>
          <w:b/>
          <w:bCs/>
          <w:i w:val="false"/>
          <w:iCs w:val="false"/>
          <w:color w:val="1A1A2E"/>
          <w:sz w:val="22"/>
          <w:szCs w:val="22"/>
        </w:rPr>
        <w:t xml:space="preserve">you need money to fund this position. </w:t>
      </w:r>
      <w:r>
        <w:rPr>
          <w:rFonts w:ascii="Calibri" w:cs="Calibri" w:eastAsia="Calibri" w:hAnsi="Calibri"/>
          <w:b w:val="false"/>
          <w:bCs w:val="false"/>
          <w:i w:val="false"/>
          <w:iCs w:val="false"/>
          <w:color w:val="1A1A2E"/>
          <w:sz w:val="22"/>
          <w:szCs w:val="22"/>
        </w:rPr>
        <w:t xml:space="preserve">If the swap moves in your favour you have a receivable — but you cannot borrow against it at the risk-free rate. You borrow at your own credit spread, which may be 50, 80, or 150 basis points above overnight rates. Conversely, if the swap moves against you, your counterparty will not post collateral unless a CSA (Credit Support Annex) is in place. You are funding that exposure out of your own treasury.</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Think of an iceberg. What markets see — and what traditional pricing models capture — is the tip: the mark-to-market value. Below the waterline sit the real economic costs that erode P&amp;L:</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FVA (Funding Valuation Adjustment): </w:t>
      </w:r>
      <w:r>
        <w:rPr>
          <w:rFonts w:ascii="Calibri" w:cs="Calibri" w:eastAsia="Calibri" w:hAnsi="Calibri"/>
          <w:b w:val="false"/>
          <w:bCs w:val="false"/>
          <w:i w:val="false"/>
          <w:iCs w:val="false"/>
          <w:color w:val="1A1A2E"/>
          <w:sz w:val="22"/>
          <w:szCs w:val="22"/>
        </w:rPr>
        <w:t xml:space="preserve">The cost of funding uncollateralised derivative exposures over the life of the trade.</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MVA (Margin Valuation Adjustment): </w:t>
      </w:r>
      <w:r>
        <w:rPr>
          <w:rFonts w:ascii="Calibri" w:cs="Calibri" w:eastAsia="Calibri" w:hAnsi="Calibri"/>
          <w:b w:val="false"/>
          <w:bCs w:val="false"/>
          <w:i w:val="false"/>
          <w:iCs w:val="false"/>
          <w:color w:val="1A1A2E"/>
          <w:sz w:val="22"/>
          <w:szCs w:val="22"/>
        </w:rPr>
        <w:t xml:space="preserve">The ongoing cost of posting initial margin — cash or securities locked with a custodian earning below-market returns.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CVA/DVA </w:t>
      </w:r>
      <w:r>
        <w:rPr>
          <w:rFonts w:ascii="Calibri" w:cs="Calibri" w:eastAsia="Calibri" w:hAnsi="Calibri"/>
          <w:b w:val="false"/>
          <w:bCs w:val="false"/>
          <w:i w:val="false"/>
          <w:iCs w:val="false"/>
          <w:color w:val="1A1A2E"/>
          <w:sz w:val="22"/>
          <w:szCs w:val="22"/>
        </w:rPr>
        <w:t xml:space="preserve">(Module 3): Credit valuation adjustments for counterparty default risk.</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Together, these adjustments — collectively called XVA — represent the true all-in cost of a derivative. A bank that ignores FVA and MVA is not mispricing its book; it is subsidising its clients from shareholder capital without knowing it.</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The Mortgage Analogy for FVA</w:t>
      </w:r>
    </w:p>
    <w:p>
      <w:pPr>
        <w:spacing w:after="60" w:before="60"/>
        <w:jc w:val="both"/>
      </w:pPr>
      <w:r>
        <w:rPr>
          <w:rFonts w:ascii="Calibri" w:cs="Calibri" w:eastAsia="Calibri" w:hAnsi="Calibri"/>
          <w:b w:val="false"/>
          <w:bCs w:val="false"/>
          <w:i w:val="false"/>
          <w:iCs w:val="false"/>
          <w:color w:val="1A1A2E"/>
          <w:sz w:val="22"/>
          <w:szCs w:val="22"/>
        </w:rPr>
        <w:t xml:space="preserve">Suppose you lend a friend £100 for a year. He pays you back with interest. But you borrowed that £100 from your bank at 4% to fund the loan. Even if your friend repays exactly as agreed, you still incurred a real cost of borrowing. FVA is precisely this: the cost a dealer bank incurs to fund its derivatives book when the market does not automatically return collateral to offset those positions.</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The Pension Fund Analogy for MVA</w:t>
      </w:r>
    </w:p>
    <w:p>
      <w:pPr>
        <w:spacing w:after="60" w:before="60"/>
        <w:jc w:val="both"/>
      </w:pPr>
      <w:r>
        <w:rPr>
          <w:rFonts w:ascii="Calibri" w:cs="Calibri" w:eastAsia="Calibri" w:hAnsi="Calibri"/>
          <w:b w:val="false"/>
          <w:bCs w:val="false"/>
          <w:i w:val="false"/>
          <w:iCs w:val="false"/>
          <w:color w:val="1A1A2E"/>
          <w:sz w:val="22"/>
          <w:szCs w:val="22"/>
        </w:rPr>
        <w:t xml:space="preserve">Under post-2008 regulation (EMIR, Dodd-Frank, UMR), most non-cleared derivatives now require both parties to post Initial Margin (IM) — a buffer against future potential exposure. For a pension fund or corporate, this IM must be funded: either by selling assets or borrowing cash. The return earned on posted IM (typically overnight rate) is almost always below the fund's hurdle rate. That drag over the life of the trade is MVA.</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2. The Problem FVA Solves: When Risk-Neutral Pricing Breaks Down</w:t>
      </w:r>
    </w:p>
    <w:p>
      <w:pPr>
        <w:spacing w:after="60" w:before="60"/>
        <w:jc w:val="both"/>
      </w:pPr>
      <w:r>
        <w:rPr>
          <w:rFonts w:ascii="Calibri" w:cs="Calibri" w:eastAsia="Calibri" w:hAnsi="Calibri"/>
          <w:b w:val="false"/>
          <w:bCs w:val="false"/>
          <w:i w:val="false"/>
          <w:iCs w:val="false"/>
          <w:color w:val="1A1A2E"/>
          <w:sz w:val="22"/>
          <w:szCs w:val="22"/>
        </w:rPr>
        <w:t xml:space="preserve">The classical derivative pricing framework — pioneered by Black-Scholes (1973) and extended through risk-neutral measure theory — rests on a critical assumption: perfect capital markets with costless, unlimited funding at the risk-free rate. In this world, a replicating portfolio can always be constructed without friction. Funding is free. Collateral is irrelevant. The no-arbitrage price is unique.</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The 2008 global financial crisis exposed every one of these assumptions as fiction:</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4680"/>
        <w:gridCol w:w="4680"/>
      </w:tblGrid>
      <w:tr>
        <w:tc>
          <w:tcPr>
            <w:tcW w:type="dxa" w:w="4680"/>
            <w:tcBorders>
              <w:top w:val="single" w:color="CCCCCC" w:sz="4"/>
              <w:left w:val="single" w:color="CCCCCC" w:sz="4"/>
              <w:bottom w:val="single" w:color="CCCCCC" w:sz="4"/>
              <w:right w:val="single" w:color="CCCCCC" w:sz="4"/>
            </w:tcBorders>
            <w:shd w:fill="E0F4F7" w:val="clear"/>
            <w:tcMar>
              <w:top w:type="dxa" w:w="100"/>
              <w:left w:type="dxa" w:w="160"/>
              <w:bottom w:type="dxa" w:w="100"/>
              <w:right w:type="dxa" w:w="160"/>
            </w:tcMar>
          </w:tcPr>
          <w:p>
            <w:pPr>
              <w:spacing w:after="60" w:before="40"/>
            </w:pPr>
            <w:r>
              <w:rPr>
                <w:rFonts w:ascii="Calibri" w:cs="Calibri" w:eastAsia="Calibri" w:hAnsi="Calibri"/>
                <w:b/>
                <w:bCs/>
                <w:i w:val="false"/>
                <w:iCs w:val="false"/>
                <w:color w:val="0D1B2A"/>
                <w:sz w:val="22"/>
                <w:szCs w:val="22"/>
              </w:rPr>
              <w:t xml:space="preserve">Textbook World (Pre-2008)</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Funding available at risk-free rate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Unlimited borrowing capacity</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Collateral symmetry assumed</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Single discount curve: LIBOR ≈ OIS</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Price is unique and model-independent</w:t>
            </w:r>
          </w:p>
        </w:tc>
        <w:tc>
          <w:tcPr>
            <w:tcW w:type="dxa" w:w="4680"/>
            <w:tcBorders>
              <w:top w:val="single" w:color="CCCCCC" w:sz="4"/>
              <w:left w:val="single" w:color="CCCCCC" w:sz="4"/>
              <w:bottom w:val="single" w:color="CCCCCC" w:sz="4"/>
              <w:right w:val="single" w:color="CCCCCC" w:sz="4"/>
            </w:tcBorders>
            <w:shd w:fill="FADBD8" w:val="clear"/>
            <w:tcMar>
              <w:top w:type="dxa" w:w="100"/>
              <w:left w:type="dxa" w:w="160"/>
              <w:bottom w:type="dxa" w:w="100"/>
              <w:right w:type="dxa" w:w="160"/>
            </w:tcMar>
          </w:tcPr>
          <w:p>
            <w:pPr>
              <w:spacing w:after="60" w:before="40"/>
            </w:pPr>
            <w:r>
              <w:rPr>
                <w:rFonts w:ascii="Calibri" w:cs="Calibri" w:eastAsia="Calibri" w:hAnsi="Calibri"/>
                <w:b/>
                <w:bCs/>
                <w:i w:val="false"/>
                <w:iCs w:val="false"/>
                <w:color w:val="0D1B2A"/>
                <w:sz w:val="22"/>
                <w:szCs w:val="22"/>
              </w:rPr>
              <w:t xml:space="preserve">Real World (Post-2008)</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Banks fund at OIS + credit spread (30–150 bps)</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Funding capacity is constrained</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Asymmetric CSA terms are common</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Multi-curve: OIS ≠ LIBOR ≠ funding rate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Price depends on who funds the trade</w:t>
            </w:r>
          </w:p>
        </w:tc>
      </w:tr>
    </w:tbl>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The multi-curve framework emerged first — separating OIS discounting from LIBOR projection curves. But it still did not capture the dealer's own funding cost. FVA emerged as the formal mechanism to bring that cost into pricing.</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The Funding Gap</w:t>
      </w:r>
    </w:p>
    <w:p>
      <w:pPr>
        <w:spacing w:after="60" w:before="60"/>
        <w:jc w:val="both"/>
      </w:pPr>
      <w:r>
        <w:rPr>
          <w:rFonts w:ascii="Calibri" w:cs="Calibri" w:eastAsia="Calibri" w:hAnsi="Calibri"/>
          <w:b w:val="false"/>
          <w:bCs w:val="false"/>
          <w:i w:val="false"/>
          <w:iCs w:val="false"/>
          <w:color w:val="1A1A2E"/>
          <w:sz w:val="22"/>
          <w:szCs w:val="22"/>
        </w:rPr>
        <w:t xml:space="preserve">Consider a dealer bank with a portfolio of uncollateralised OTC derivatives. At any point in time, some trades are in-the-money (assets) and some are out-of-the-money (liabilities). The net positive market value represents an economic receivable — but the bank cannot immediately realise it. To fund its operations in the interim, the bank borrows in the wholesale market at a spread above OIS. This spread — the </w:t>
      </w:r>
    </w:p>
    <w:p>
      <w:pPr>
        <w:spacing w:after="60" w:before="60"/>
        <w:jc w:val="both"/>
      </w:pPr>
      <w:r>
        <w:rPr>
          <w:rFonts w:ascii="Calibri" w:cs="Calibri" w:eastAsia="Calibri" w:hAnsi="Calibri"/>
          <w:b w:val="false"/>
          <w:bCs w:val="false"/>
          <w:i/>
          <w:iCs/>
          <w:color w:val="1A1A2E"/>
          <w:sz w:val="22"/>
          <w:szCs w:val="22"/>
        </w:rPr>
        <w:t xml:space="preserve">funding spread </w:t>
      </w:r>
      <w:r>
        <w:rPr>
          <w:rFonts w:ascii="Calibri" w:cs="Calibri" w:eastAsia="Calibri" w:hAnsi="Calibri"/>
          <w:b w:val="false"/>
          <w:bCs w:val="false"/>
          <w:i w:val="false"/>
          <w:iCs w:val="false"/>
          <w:color w:val="1A1A2E"/>
          <w:sz w:val="22"/>
          <w:szCs w:val="22"/>
        </w:rPr>
        <w:t xml:space="preserve">or </w:t>
      </w:r>
      <w:r>
        <w:rPr>
          <w:rFonts w:ascii="Calibri" w:cs="Calibri" w:eastAsia="Calibri" w:hAnsi="Calibri"/>
          <w:b w:val="false"/>
          <w:bCs w:val="false"/>
          <w:i/>
          <w:iCs/>
          <w:color w:val="1A1A2E"/>
          <w:sz w:val="22"/>
          <w:szCs w:val="22"/>
        </w:rPr>
        <w:t xml:space="preserve">treasury spread </w:t>
      </w:r>
      <w:r>
        <w:rPr>
          <w:rFonts w:ascii="Calibri" w:cs="Calibri" w:eastAsia="Calibri" w:hAnsi="Calibri"/>
          <w:b w:val="false"/>
          <w:bCs w:val="false"/>
          <w:i w:val="false"/>
          <w:iCs w:val="false"/>
          <w:color w:val="1A1A2E"/>
          <w:sz w:val="22"/>
          <w:szCs w:val="22"/>
        </w:rPr>
        <w:t xml:space="preserve">— is typically 30–150 bps depending on the bank's credit quality and market conditions.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3200"/>
        <w:gridCol w:w="3200"/>
        <w:gridCol w:w="2960"/>
      </w:tblGrid>
      <w:tr>
        <w:trPr>
          <w:tblHeader/>
        </w:trP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Market Condition</w:t>
            </w:r>
          </w:p>
        </w:tc>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Bank Funding Spread (bps over OIS)</w:t>
            </w:r>
          </w:p>
        </w:tc>
        <w:tc>
          <w:tcPr>
            <w:tcW w:type="dxa" w:w="29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FVA Impact: EUR 100M 10Y IRS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Normal (pre-stress)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30–50 bps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≈€150K–250K</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Moderate stress</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80–120 bps</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≈€400K–600K</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Crisis (2008-style)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200–400 bps</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≈€1M–2M</w:t>
            </w:r>
          </w:p>
        </w:tc>
      </w:tr>
    </w:tbl>
    <w:p>
      <w:pPr>
        <w:spacing w:after="120" w:before="40"/>
        <w:jc w:val="center"/>
      </w:pPr>
      <w:r>
        <w:rPr>
          <w:rFonts w:ascii="Calibri" w:cs="Calibri" w:eastAsia="Calibri" w:hAnsi="Calibri"/>
          <w:b w:val="false"/>
          <w:bCs w:val="false"/>
          <w:i/>
          <w:iCs/>
          <w:color w:val="8A9BB0"/>
          <w:sz w:val="18"/>
          <w:szCs w:val="18"/>
        </w:rPr>
        <w:t xml:space="preserve">Illustrative estimates for a plain vanilla EUR 100M notional 10-year IRS (uncollateralised).</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3. FVA &amp; MVA Defined: A Side-by-Side Introduction</w:t>
      </w:r>
    </w:p>
    <w:p>
      <w:pPr>
        <w:spacing w:after="60" w:before="60"/>
        <w:jc w:val="both"/>
      </w:pPr>
      <w:r>
        <w:rPr>
          <w:rFonts w:ascii="Calibri" w:cs="Calibri" w:eastAsia="Calibri" w:hAnsi="Calibri"/>
          <w:b w:val="false"/>
          <w:bCs w:val="false"/>
          <w:i w:val="false"/>
          <w:iCs w:val="false"/>
          <w:color w:val="1A1A2E"/>
          <w:sz w:val="22"/>
          <w:szCs w:val="22"/>
        </w:rPr>
        <w:t xml:space="preserve">FVA and MVA are related but distinct: both represent the cost of capital tied up in a derivative transaction, but they arise from different sources — unsecured funding gaps versus regulatory margin requirements.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4680"/>
        <w:gridCol w:w="4680"/>
      </w:tblGrid>
      <w:tr>
        <w:tc>
          <w:tcPr>
            <w:tcW w:type="dxa" w:w="4680"/>
            <w:tcBorders>
              <w:top w:val="single" w:color="CCCCCC" w:sz="4"/>
              <w:left w:val="single" w:color="CCCCCC" w:sz="4"/>
              <w:bottom w:val="single" w:color="CCCCCC" w:sz="4"/>
              <w:right w:val="single" w:color="CCCCCC" w:sz="4"/>
            </w:tcBorders>
            <w:shd w:fill="E0F4F7" w:val="clear"/>
            <w:tcMar>
              <w:top w:type="dxa" w:w="100"/>
              <w:left w:type="dxa" w:w="160"/>
              <w:bottom w:type="dxa" w:w="100"/>
              <w:right w:type="dxa" w:w="160"/>
            </w:tcMar>
          </w:tcPr>
          <w:p>
            <w:pPr>
              <w:spacing w:after="60" w:before="40"/>
            </w:pPr>
            <w:r>
              <w:rPr>
                <w:rFonts w:ascii="Calibri" w:cs="Calibri" w:eastAsia="Calibri" w:hAnsi="Calibri"/>
                <w:b/>
                <w:bCs/>
                <w:i w:val="false"/>
                <w:iCs w:val="false"/>
                <w:color w:val="0D1B2A"/>
                <w:sz w:val="22"/>
                <w:szCs w:val="22"/>
              </w:rPr>
              <w:t xml:space="preserve">FVA — Funding Valuation Adjustment</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Arises from: uncollateralised derivative exposures</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Driver: dealer funding spread above OIS (30–150 bps)</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Applies to: bilateral OTC trades without full CSA</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Direction: FCA (cost) when ITM; FBA (benefit) when OTM</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Post-2008 catalyst: multi-curve divergence &amp; funding stress</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Key debate: Hull-White (2012) — “FVA is a mistake”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Typical magnitude: 10–80 bps of notional</w:t>
            </w:r>
          </w:p>
        </w:tc>
        <w:tc>
          <w:tcPr>
            <w:tcW w:type="dxa" w:w="4680"/>
            <w:tcBorders>
              <w:top w:val="single" w:color="CCCCCC" w:sz="4"/>
              <w:left w:val="single" w:color="CCCCCC" w:sz="4"/>
              <w:bottom w:val="single" w:color="CCCCCC" w:sz="4"/>
              <w:right w:val="single" w:color="CCCCCC" w:sz="4"/>
            </w:tcBorders>
            <w:shd w:fill="F5DFA8" w:val="clear"/>
            <w:tcMar>
              <w:top w:type="dxa" w:w="100"/>
              <w:left w:type="dxa" w:w="160"/>
              <w:bottom w:type="dxa" w:w="100"/>
              <w:right w:type="dxa" w:w="160"/>
            </w:tcMar>
          </w:tcPr>
          <w:p>
            <w:pPr>
              <w:spacing w:after="60" w:before="40"/>
            </w:pPr>
            <w:r>
              <w:rPr>
                <w:rFonts w:ascii="Calibri" w:cs="Calibri" w:eastAsia="Calibri" w:hAnsi="Calibri"/>
                <w:b/>
                <w:bCs/>
                <w:i w:val="false"/>
                <w:iCs w:val="false"/>
                <w:color w:val="0D1B2A"/>
                <w:sz w:val="22"/>
                <w:szCs w:val="22"/>
              </w:rPr>
              <w:t xml:space="preserve">MVA — Margin Valuation Adjustment</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Arises from: mandatory Initial Margin (IM) under UMR</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Driver: opportunity cost of segregated posted collateral</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Applies to: bilateral &amp; cleared trades (post Phase 6, 2022)</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Direction: always negative — IM posting is always a cost</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Post-2015 catalyst: BCBS-IOSCO UMR phase-in 2016–2022</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Computed via: ISDA SIMM methodology (v2.8+2506 — see calibration note)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Typical magnitude: 5–40 bps of notional</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Quick Intuition: The Core Formulas</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bCs/>
          <w:i w:val="false"/>
          <w:iCs w:val="false"/>
          <w:color w:val="1A1A2E"/>
          <w:sz w:val="22"/>
          <w:szCs w:val="22"/>
        </w:rPr>
        <w:t xml:space="preserve">FVA — Continuous form: </w:t>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FVA = ∫₀ᵀ sᴼ(t) · [E[V⁻(t)] − E[V⁺(t)]] · B(0,t) dt</w:t>
      </w:r>
    </w:p>
    <w:p>
      <w:pPr>
        <w:spacing w:after="100" w:before="20"/>
        <w:jc w:val="center"/>
      </w:pPr>
      <w:r>
        <w:rPr>
          <w:rFonts w:ascii="Calibri" w:cs="Calibri" w:eastAsia="Calibri" w:hAnsi="Calibri"/>
          <w:i/>
          <w:iCs/>
          <w:color w:val="8A9BB0"/>
          <w:sz w:val="18"/>
          <w:szCs w:val="18"/>
        </w:rPr>
        <w:t xml:space="preserve">where: sᴼ(t) = funding spread at time t; V⁺(t) = max(V(t),0) = positive exposure (FCA cost); V⁻(t) = min(V(t),0) = negative exposure (FBA benefit); B(0,t) = OIS discount factor</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bCs/>
          <w:i w:val="false"/>
          <w:iCs w:val="false"/>
          <w:color w:val="1A1A2E"/>
          <w:sz w:val="22"/>
          <w:szCs w:val="22"/>
        </w:rPr>
        <w:t xml:space="preserve">FVA — Discrete (simulation) form: </w:t>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FVA ≈ −Σᴵₜ₀ sᴼ(Δt) · EPE(tᴵ) · B(0,tᴵ) · Δt  +  Σᴵₜ₀ sᴼ(Δt) · ENE(tᴵ) · B(0,tᴵ) · Δt</w:t>
      </w:r>
    </w:p>
    <w:p>
      <w:pPr>
        <w:spacing w:after="100" w:before="20"/>
        <w:jc w:val="center"/>
      </w:pPr>
      <w:r>
        <w:rPr>
          <w:rFonts w:ascii="Calibri" w:cs="Calibri" w:eastAsia="Calibri" w:hAnsi="Calibri"/>
          <w:i/>
          <w:iCs/>
          <w:color w:val="8A9BB0"/>
          <w:sz w:val="18"/>
          <w:szCs w:val="18"/>
        </w:rPr>
        <w:t xml:space="preserve">EPE(tᴵ) = Expected Positive Exposure at time step i = E[max(V(tᴵ),0)] (amount the dealer must fund); ENE(tᴵ) = Expected Negative Exposure = E[min(V(tᴵ),0)] (funding received from counterparty); sᴼ = bank funding rate minus risk-free/collateral rate; Δt = time step interval</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bCs/>
          <w:i w:val="false"/>
          <w:iCs w:val="false"/>
          <w:color w:val="1A1A2E"/>
          <w:sz w:val="22"/>
          <w:szCs w:val="22"/>
        </w:rPr>
        <w:t xml:space="preserve">MVA — Continuous form: </w:t>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MVA = −∫₀ᵀ sₘ(t) · E[IM(t)] · B(0,t) dt</w:t>
      </w:r>
    </w:p>
    <w:p>
      <w:pPr>
        <w:spacing w:after="100" w:before="20"/>
        <w:jc w:val="center"/>
      </w:pPr>
      <w:r>
        <w:rPr>
          <w:rFonts w:ascii="Calibri" w:cs="Calibri" w:eastAsia="Calibri" w:hAnsi="Calibri"/>
          <w:i/>
          <w:iCs/>
          <w:color w:val="8A9BB0"/>
          <w:sz w:val="18"/>
          <w:szCs w:val="18"/>
        </w:rPr>
        <w:t xml:space="preserve">where: sₘ(t) = spread between dealer funding cost and IM remuneration rate (typically OIS); E[IM(t)] = expected SIMM or CCP initial margin requirement at time t; B(0,t) = OIS discount factor</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The key insight is that both are path-dependent: they depend on the expected future profile of exposures or margin requirements, integrated over the entire life of the trade. This makes them computationally intensive — typically requiring Monte Carlo simulation of the underlying risk factors.</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Where FVA &amp; MVA Sit in the XVA Hierarchy</w:t>
      </w:r>
    </w:p>
    <w:tbl>
      <w:tblPr>
        <w:tblW w:type="dxa" w:w="9360"/>
      </w:tblPr>
      <w:tblGrid>
        <w:gridCol w:w="1400"/>
        <w:gridCol w:w="3600"/>
        <w:gridCol w:w="2600"/>
        <w:gridCol w:w="1760"/>
      </w:tblGrid>
      <w:tr>
        <w:trPr>
          <w:tblHeader/>
        </w:trPr>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Adjustment</w:t>
            </w:r>
          </w:p>
        </w:tc>
        <w:tc>
          <w:tcPr>
            <w:tcW w:type="dxa" w:w="3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What It Prices</w:t>
            </w:r>
          </w:p>
        </w:tc>
        <w:tc>
          <w:tcPr>
            <w:tcW w:type="dxa" w:w="2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Who Bears Cost</w:t>
            </w:r>
          </w:p>
        </w:tc>
        <w:tc>
          <w:tcPr>
            <w:tcW w:type="dxa" w:w="1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Module</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Counterparty default risk (expected loss)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(buyer of protection)</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Module 3</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w:t>
            </w:r>
          </w:p>
        </w:tc>
        <w:tc>
          <w:tcPr>
            <w:tcW w:type="dxa" w:w="3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Own default benefit to counterparty</w:t>
            </w:r>
          </w:p>
        </w:tc>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Counterparty</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Module 3</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Funding cost of unsecured exposure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treasury</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Module 4 ✓</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w:t>
            </w:r>
          </w:p>
        </w:tc>
        <w:tc>
          <w:tcPr>
            <w:tcW w:type="dxa" w:w="3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Cost of posting initial margin</w:t>
            </w:r>
          </w:p>
        </w:tc>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Both parties (UMR)</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Module 4 ✓</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KVA</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Return on regulatory capital consumed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Shareholders</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Module 5</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ColVA</w:t>
            </w:r>
          </w:p>
        </w:tc>
        <w:tc>
          <w:tcPr>
            <w:tcW w:type="dxa" w:w="3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Cheapest-to-deliver collateral optionality</w:t>
            </w:r>
          </w:p>
        </w:tc>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Collateral poster</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Module 6</w:t>
            </w:r>
          </w:p>
        </w:tc>
      </w:tr>
    </w:tbl>
    <w:p>
      <w:pPr>
        <w:spacing w:after="0" w:before="0"/>
      </w:pPr>
      <w:r>
        <w:br w:type="page"/>
      </w:r>
    </w:p>
    <w:p>
      <w:pPr>
        <w:pStyle w:val="Heading1"/>
        <w:spacing w:after="120" w:before="280"/>
      </w:pPr>
      <w:r>
        <w:rPr>
          <w:rFonts w:ascii="Calibri" w:cs="Calibri" w:eastAsia="Calibri" w:hAnsi="Calibri"/>
          <w:b/>
          <w:bCs/>
          <w:color w:val="0D1B2A"/>
          <w:sz w:val="36"/>
          <w:szCs w:val="36"/>
        </w:rPr>
        <w:t xml:space="preserve">4. FVA: Formal Framework &amp; Formula Derivation</w:t>
      </w:r>
    </w:p>
    <w:p>
      <w:pPr>
        <w:pStyle w:val="Heading2"/>
        <w:spacing w:after="80" w:before="220"/>
      </w:pPr>
      <w:r>
        <w:rPr>
          <w:rFonts w:ascii="Calibri" w:cs="Calibri" w:eastAsia="Calibri" w:hAnsi="Calibri"/>
          <w:b/>
          <w:bCs/>
          <w:color w:val="028090"/>
          <w:sz w:val="28"/>
          <w:szCs w:val="28"/>
        </w:rPr>
        <w:t xml:space="preserve">4.1 The Piterbarg Framework (2010)</w:t>
      </w:r>
    </w:p>
    <w:p>
      <w:pPr>
        <w:spacing w:after="60" w:before="60"/>
        <w:jc w:val="both"/>
      </w:pPr>
      <w:r>
        <w:rPr>
          <w:rFonts w:ascii="Calibri" w:cs="Calibri" w:eastAsia="Calibri" w:hAnsi="Calibri"/>
          <w:b w:val="false"/>
          <w:bCs w:val="false"/>
          <w:i w:val="false"/>
          <w:iCs w:val="false"/>
          <w:color w:val="1A1A2E"/>
          <w:sz w:val="22"/>
          <w:szCs w:val="22"/>
        </w:rPr>
        <w:t xml:space="preserve">The most influential early formalisation of funding costs in derivatives was Vladimir Piterbarg's 2010 paper “Funding Beyond Discounting: Collateral Agreements and Derivatives Pricing.” Piterbarg showed that when collateral and funding rates differ, the risk-free discount rate must be replaced by a funding-adjusted rate.</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Consider a derivative with value </w:t>
      </w:r>
      <w:r>
        <w:rPr>
          <w:rFonts w:ascii="Calibri" w:cs="Calibri" w:eastAsia="Calibri" w:hAnsi="Calibri"/>
          <w:b w:val="false"/>
          <w:bCs w:val="false"/>
          <w:i/>
          <w:iCs/>
          <w:color w:val="1A1A2E"/>
          <w:sz w:val="22"/>
          <w:szCs w:val="22"/>
        </w:rPr>
        <w:t xml:space="preserve">V(t) </w:t>
      </w:r>
      <w:r>
        <w:rPr>
          <w:rFonts w:ascii="Calibri" w:cs="Calibri" w:eastAsia="Calibri" w:hAnsi="Calibri"/>
          <w:b w:val="false"/>
          <w:bCs w:val="false"/>
          <w:i w:val="false"/>
          <w:iCs w:val="false"/>
          <w:color w:val="1A1A2E"/>
          <w:sz w:val="22"/>
          <w:szCs w:val="22"/>
        </w:rPr>
        <w:t xml:space="preserve">and a perfect CSA (full cash collateral). The collateral account earns the overnight rate </w:t>
      </w:r>
      <w:r>
        <w:rPr>
          <w:rFonts w:ascii="Calibri" w:cs="Calibri" w:eastAsia="Calibri" w:hAnsi="Calibri"/>
          <w:b w:val="false"/>
          <w:bCs w:val="false"/>
          <w:i/>
          <w:iCs/>
          <w:color w:val="1A1A2E"/>
          <w:sz w:val="22"/>
          <w:szCs w:val="22"/>
        </w:rPr>
        <w:t xml:space="preserve">rᴄ. </w:t>
      </w:r>
      <w:r>
        <w:rPr>
          <w:rFonts w:ascii="Calibri" w:cs="Calibri" w:eastAsia="Calibri" w:hAnsi="Calibri"/>
          <w:b w:val="false"/>
          <w:bCs w:val="false"/>
          <w:i w:val="false"/>
          <w:iCs w:val="false"/>
          <w:color w:val="1A1A2E"/>
          <w:sz w:val="22"/>
          <w:szCs w:val="22"/>
        </w:rPr>
        <w:t xml:space="preserve">The replication argument gives the following PDE:</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∂V/∂t + ½σ²S²(∂²V/∂S²) + rᴼ · S(∂V/∂S) − rᴄ · V = 0</w:t>
      </w:r>
    </w:p>
    <w:p>
      <w:pPr>
        <w:spacing w:after="100" w:before="20"/>
        <w:jc w:val="center"/>
      </w:pPr>
      <w:r>
        <w:rPr>
          <w:rFonts w:ascii="Calibri" w:cs="Calibri" w:eastAsia="Calibri" w:hAnsi="Calibri"/>
          <w:i/>
          <w:iCs/>
          <w:color w:val="8A9BB0"/>
          <w:sz w:val="18"/>
          <w:szCs w:val="18"/>
        </w:rPr>
        <w:t xml:space="preserve">Piterbarg PDE: rᴼ = funding rate of the replicating/hedging portfolio; rᴄ = collateral (CSA) rate; σ = volatility of underlying S</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Key result: when collateral is posted at the OIS rate </w:t>
      </w:r>
      <w:r>
        <w:rPr>
          <w:rFonts w:ascii="Calibri" w:cs="Calibri" w:eastAsia="Calibri" w:hAnsi="Calibri"/>
          <w:b w:val="false"/>
          <w:bCs w:val="false"/>
          <w:i/>
          <w:iCs/>
          <w:color w:val="1A1A2E"/>
          <w:sz w:val="22"/>
          <w:szCs w:val="22"/>
        </w:rPr>
        <w:t xml:space="preserve">rᴄ = rᵒᴵₛ, </w:t>
      </w:r>
      <w:r>
        <w:rPr>
          <w:rFonts w:ascii="Calibri" w:cs="Calibri" w:eastAsia="Calibri" w:hAnsi="Calibri"/>
          <w:b w:val="false"/>
          <w:bCs w:val="false"/>
          <w:i w:val="false"/>
          <w:iCs w:val="false"/>
          <w:color w:val="1A1A2E"/>
          <w:sz w:val="22"/>
          <w:szCs w:val="22"/>
        </w:rPr>
        <w:t xml:space="preserve">the dealer discounts at OIS regardless of its own credit. But when the position is </w:t>
      </w:r>
      <w:r>
        <w:rPr>
          <w:rFonts w:ascii="Calibri" w:cs="Calibri" w:eastAsia="Calibri" w:hAnsi="Calibri"/>
          <w:b w:val="false"/>
          <w:bCs w:val="false"/>
          <w:i/>
          <w:iCs/>
          <w:color w:val="1A1A2E"/>
          <w:sz w:val="22"/>
          <w:szCs w:val="22"/>
        </w:rPr>
        <w:t xml:space="preserve">uncollateralised, </w:t>
      </w:r>
      <w:r>
        <w:rPr>
          <w:rFonts w:ascii="Calibri" w:cs="Calibri" w:eastAsia="Calibri" w:hAnsi="Calibri"/>
          <w:b w:val="false"/>
          <w:bCs w:val="false"/>
          <w:i w:val="false"/>
          <w:iCs w:val="false"/>
          <w:color w:val="1A1A2E"/>
          <w:sz w:val="22"/>
          <w:szCs w:val="22"/>
        </w:rPr>
        <w:t xml:space="preserve">the dealer discounts at its own funding rate </w:t>
      </w:r>
      <w:r>
        <w:rPr>
          <w:rFonts w:ascii="Calibri" w:cs="Calibri" w:eastAsia="Calibri" w:hAnsi="Calibri"/>
          <w:b w:val="false"/>
          <w:bCs w:val="false"/>
          <w:i/>
          <w:iCs/>
          <w:color w:val="1A1A2E"/>
          <w:sz w:val="22"/>
          <w:szCs w:val="22"/>
        </w:rPr>
        <w:t xml:space="preserve">rᴼ = rᵒᴵₛ + sᴼ, </w:t>
      </w:r>
      <w:r>
        <w:rPr>
          <w:rFonts w:ascii="Calibri" w:cs="Calibri" w:eastAsia="Calibri" w:hAnsi="Calibri"/>
          <w:b w:val="false"/>
          <w:bCs w:val="false"/>
          <w:i w:val="false"/>
          <w:iCs w:val="false"/>
          <w:color w:val="1A1A2E"/>
          <w:sz w:val="22"/>
          <w:szCs w:val="22"/>
        </w:rPr>
        <w:t xml:space="preserve">where </w:t>
      </w:r>
      <w:r>
        <w:rPr>
          <w:rFonts w:ascii="Calibri" w:cs="Calibri" w:eastAsia="Calibri" w:hAnsi="Calibri"/>
          <w:b w:val="false"/>
          <w:bCs w:val="false"/>
          <w:i/>
          <w:iCs/>
          <w:color w:val="1A1A2E"/>
          <w:sz w:val="22"/>
          <w:szCs w:val="22"/>
        </w:rPr>
        <w:t xml:space="preserve">sᴼ </w:t>
      </w:r>
      <w:r>
        <w:rPr>
          <w:rFonts w:ascii="Calibri" w:cs="Calibri" w:eastAsia="Calibri" w:hAnsi="Calibri"/>
          <w:b w:val="false"/>
          <w:bCs w:val="false"/>
          <w:i w:val="false"/>
          <w:iCs w:val="false"/>
          <w:color w:val="1A1A2E"/>
          <w:sz w:val="22"/>
          <w:szCs w:val="22"/>
        </w:rPr>
        <w:t xml:space="preserve">is the funding spread above OIS.</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4.2 FCA and FBA: The Two Components of FVA</w:t>
      </w:r>
    </w:p>
    <w:p>
      <w:pPr>
        <w:spacing w:after="60" w:before="60"/>
        <w:jc w:val="both"/>
      </w:pPr>
      <w:r>
        <w:rPr>
          <w:rFonts w:ascii="Calibri" w:cs="Calibri" w:eastAsia="Calibri" w:hAnsi="Calibri"/>
          <w:b w:val="false"/>
          <w:bCs w:val="false"/>
          <w:i w:val="false"/>
          <w:iCs w:val="false"/>
          <w:color w:val="1A1A2E"/>
          <w:sz w:val="22"/>
          <w:szCs w:val="22"/>
        </w:rPr>
        <w:t xml:space="preserve">Burgard and Kjaer (2011) extended Piterbarg's framework to derive FVA as the sum of two components with opposite signs: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2200"/>
        <w:gridCol w:w="3500"/>
        <w:gridCol w:w="1400"/>
        <w:gridCol w:w="2260"/>
      </w:tblGrid>
      <w:tr>
        <w:trPr>
          <w:tblHeader/>
        </w:trPr>
        <w:tc>
          <w:tcPr>
            <w:tcW w:type="dxa" w:w="2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Component</w:t>
            </w:r>
          </w:p>
        </w:tc>
        <w:tc>
          <w:tcPr>
            <w:tcW w:type="dxa" w:w="3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Economic Meaning</w:t>
            </w:r>
          </w:p>
        </w:tc>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Sign</w:t>
            </w:r>
          </w:p>
        </w:tc>
        <w:tc>
          <w:tcPr>
            <w:tcW w:type="dxa" w:w="22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Discrete Formula</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FCA
(Funding Cost Adjustment)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Cost of funding positive exposures (EPE). When the trade is in-the-money, the dealer must borrow to fund the receivable at spread sᴼ above OIS.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Negative (cost)</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FCA = −Σ sᴼ(tᴵ) · EPE(tᴵ) · B(0,tᴵ) · Δt</w:t>
            </w:r>
          </w:p>
        </w:tc>
      </w:tr>
      <w:tr>
        <w:trPr>
          <w:tblHeader w:val="false"/>
        </w:trP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FBA
(Funding Benefit Adjustment)</w:t>
            </w:r>
          </w:p>
        </w:tc>
        <w:tc>
          <w:tcPr>
            <w:tcW w:type="dxa" w:w="3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Benefit from receiving funding when trade is out-of-the-money (ENE). Counterparty effectively lends to dealer; dealer saves sᴼ on that amount.</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Positive (benefit)</w:t>
            </w:r>
          </w:p>
        </w:tc>
        <w:tc>
          <w:tcPr>
            <w:tcW w:type="dxa" w:w="22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FBA = +Σ sᴼ(tᴵ) · |ENE(tᴵ)| · B(0,tᴵ) · Δt</w:t>
            </w:r>
          </w:p>
        </w:tc>
      </w:tr>
    </w:tbl>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bCs/>
          <w:i w:val="false"/>
          <w:iCs w:val="false"/>
          <w:color w:val="1A1A2E"/>
          <w:sz w:val="22"/>
          <w:szCs w:val="22"/>
        </w:rPr>
        <w:t xml:space="preserve">Combined: </w:t>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FVA = FCA + FBA = Σᴵ sᴼ(tᴵ) · [|ENE(tᴵ)| − EPE(tᴵ)] · B(0,tᴵ) · Δt</w:t>
      </w:r>
    </w:p>
    <w:p>
      <w:pPr>
        <w:spacing w:after="100" w:before="20"/>
        <w:jc w:val="center"/>
      </w:pPr>
      <w:r>
        <w:rPr>
          <w:rFonts w:ascii="Calibri" w:cs="Calibri" w:eastAsia="Calibri" w:hAnsi="Calibri"/>
          <w:i/>
          <w:iCs/>
          <w:color w:val="8A9BB0"/>
          <w:sz w:val="18"/>
          <w:szCs w:val="18"/>
        </w:rPr>
        <w:t xml:space="preserve">EPE(tᴵ) = E[max(V(tᴵ),0)] = Expected Positive Exposure; ENE(tᴵ) = E[min(V(tᴵ),0)] = Expected Negative Exposure; B(0,tᴵ) = OIS discount factor; Δt = simulation time step; sᴼ = bank unsecured funding rate minus OIS (the funding spread)</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4.3 Practical Computation</w:t>
      </w:r>
    </w:p>
    <w:p>
      <w:pPr>
        <w:spacing w:after="60" w:before="60"/>
        <w:jc w:val="both"/>
      </w:pPr>
      <w:r>
        <w:rPr>
          <w:rFonts w:ascii="Calibri" w:cs="Calibri" w:eastAsia="Calibri" w:hAnsi="Calibri"/>
          <w:b w:val="false"/>
          <w:bCs w:val="false"/>
          <w:i w:val="false"/>
          <w:iCs w:val="false"/>
          <w:color w:val="1A1A2E"/>
          <w:sz w:val="22"/>
          <w:szCs w:val="22"/>
        </w:rPr>
        <w:t xml:space="preserve">In practice, FVA is computed via Monte Carlo simulation of the underlying market risk factors (interest rates, FX, credit spreads). At each simulation path and each time step, the portfolio value is computed, split into positive (EPE) and negative (ENE) components, multiplied by the funding spread, and discounted back to today. Key inputs: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Funding spread sᴼ(t): </w:t>
      </w:r>
      <w:r>
        <w:rPr>
          <w:rFonts w:ascii="Calibri" w:cs="Calibri" w:eastAsia="Calibri" w:hAnsi="Calibri"/>
          <w:b w:val="false"/>
          <w:bCs w:val="false"/>
          <w:i w:val="false"/>
          <w:iCs w:val="false"/>
          <w:color w:val="1A1A2E"/>
          <w:sz w:val="22"/>
          <w:szCs w:val="22"/>
        </w:rPr>
        <w:t xml:space="preserve">taken from the bank's internal transfer pricing curve, often proxied by CDS spreads or unsecured bond yields minus OIS.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EPE and ENE profiles: </w:t>
      </w:r>
      <w:r>
        <w:rPr>
          <w:rFonts w:ascii="Calibri" w:cs="Calibri" w:eastAsia="Calibri" w:hAnsi="Calibri"/>
          <w:b w:val="false"/>
          <w:bCs w:val="false"/>
          <w:i w:val="false"/>
          <w:iCs w:val="false"/>
          <w:color w:val="1A1A2E"/>
          <w:sz w:val="22"/>
          <w:szCs w:val="22"/>
        </w:rPr>
        <w:t xml:space="preserve">the same Monte Carlo simulation used for CVA can be reused, reducing computational overhead significantly.</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Netting and CSA terms: </w:t>
      </w:r>
      <w:r>
        <w:rPr>
          <w:rFonts w:ascii="Calibri" w:cs="Calibri" w:eastAsia="Calibri" w:hAnsi="Calibri"/>
          <w:b w:val="false"/>
          <w:bCs w:val="false"/>
          <w:i w:val="false"/>
          <w:iCs w:val="false"/>
          <w:color w:val="1A1A2E"/>
          <w:sz w:val="22"/>
          <w:szCs w:val="22"/>
        </w:rPr>
        <w:t xml:space="preserve">FVA applies only to the uncollateralised portion of exposure. Trades under a full two-way daily-margined CSA have FVA ≈ 0.</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5. The Hull-White Controversy: Should FVA Exist?</w:t>
      </w:r>
    </w:p>
    <w:p>
      <w:pPr>
        <w:spacing w:after="60" w:before="60"/>
        <w:jc w:val="both"/>
      </w:pPr>
      <w:r>
        <w:rPr>
          <w:rFonts w:ascii="Calibri" w:cs="Calibri" w:eastAsia="Calibri" w:hAnsi="Calibri"/>
          <w:b w:val="false"/>
          <w:bCs w:val="false"/>
          <w:i w:val="false"/>
          <w:iCs w:val="false"/>
          <w:color w:val="1A1A2E"/>
          <w:sz w:val="22"/>
          <w:szCs w:val="22"/>
        </w:rPr>
        <w:t xml:space="preserve">In 2012, John Hull and Alan White published “The FVA Debate” (Risk Magazine, July 2012), arguing that FVA is a mistake — that including it in derivative pricing destroys shareholder value and represents a fundamental error in financial reasoning. Their paper sparked the most intense academic debate in derivatives since Black-Scholes.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4680"/>
        <w:gridCol w:w="4680"/>
      </w:tblGrid>
      <w:tr>
        <w:tc>
          <w:tcPr>
            <w:tcW w:type="dxa" w:w="4680"/>
            <w:tcBorders>
              <w:top w:val="single" w:color="CCCCCC" w:sz="4"/>
              <w:left w:val="single" w:color="CCCCCC" w:sz="4"/>
              <w:bottom w:val="single" w:color="CCCCCC" w:sz="4"/>
              <w:right w:val="single" w:color="CCCCCC" w:sz="4"/>
            </w:tcBorders>
            <w:shd w:fill="FADBD8" w:val="clear"/>
            <w:tcMar>
              <w:top w:type="dxa" w:w="100"/>
              <w:left w:type="dxa" w:w="160"/>
              <w:bottom w:type="dxa" w:w="100"/>
              <w:right w:type="dxa" w:w="160"/>
            </w:tcMar>
          </w:tcPr>
          <w:p>
            <w:pPr>
              <w:spacing w:after="60" w:before="40"/>
            </w:pPr>
            <w:r>
              <w:rPr>
                <w:rFonts w:ascii="Calibri" w:cs="Calibri" w:eastAsia="Calibri" w:hAnsi="Calibri"/>
                <w:b/>
                <w:bCs/>
                <w:i w:val="false"/>
                <w:iCs w:val="false"/>
                <w:color w:val="0D1B2A"/>
                <w:sz w:val="22"/>
                <w:szCs w:val="22"/>
              </w:rPr>
              <w:t xml:space="preserve">Hull-White (2012): FVA Should NOT Be Charged</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FVA is already captured in DVA (own-default benefit)</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Modigliani-Miller: funding cost irrelevant to firm value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Charging FVA destroys positive NPV trades</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Creates client-discriminatory, non-arbitrage-free pricing</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Risk-neutral framework is internally complete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FVA is a shareholder transfer, not a real economic cost</w:t>
            </w:r>
          </w:p>
        </w:tc>
        <w:tc>
          <w:tcPr>
            <w:tcW w:type="dxa" w:w="4680"/>
            <w:tcBorders>
              <w:top w:val="single" w:color="CCCCCC" w:sz="4"/>
              <w:left w:val="single" w:color="CCCCCC" w:sz="4"/>
              <w:bottom w:val="single" w:color="CCCCCC" w:sz="4"/>
              <w:right w:val="single" w:color="CCCCCC" w:sz="4"/>
            </w:tcBorders>
            <w:shd w:fill="E0F4F7" w:val="clear"/>
            <w:tcMar>
              <w:top w:type="dxa" w:w="100"/>
              <w:left w:type="dxa" w:w="160"/>
              <w:bottom w:type="dxa" w:w="100"/>
              <w:right w:type="dxa" w:w="160"/>
            </w:tcMar>
          </w:tcPr>
          <w:p>
            <w:pPr>
              <w:spacing w:after="60" w:before="40"/>
            </w:pPr>
            <w:r>
              <w:rPr>
                <w:rFonts w:ascii="Calibri" w:cs="Calibri" w:eastAsia="Calibri" w:hAnsi="Calibri"/>
                <w:b/>
                <w:bCs/>
                <w:i w:val="false"/>
                <w:iCs w:val="false"/>
                <w:color w:val="0D1B2A"/>
                <w:sz w:val="22"/>
                <w:szCs w:val="22"/>
              </w:rPr>
              <w:t xml:space="preserve">Industry Response: FVA IS a Real Cost</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M-M assumes perfect markets — violated post-2008</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DVA cannot be monetised without the bank defaulting</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Treasury charges desks real funding costs every day</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Banks with high spreads genuinely cannot compete on price</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Ignoring FVA creates systematic hidden P&amp;L drag</w:t>
            </w:r>
          </w:p>
          <w:p>
            <w:pPr>
              <w:pStyle w:val="ListParagraph"/>
              <w:numPr>
                <w:ilvl w:val="0"/>
                <w:numId w:val="2"/>
              </w:numPr>
              <w:spacing w:after="30" w:before="30"/>
            </w:pPr>
            <w:r>
              <w:rPr>
                <w:rFonts w:ascii="Calibri" w:cs="Calibri" w:eastAsia="Calibri" w:hAnsi="Calibri"/>
                <w:b w:val="false"/>
                <w:bCs w:val="false"/>
                <w:i w:val="false"/>
                <w:iCs w:val="false"/>
                <w:color w:val="1A1A2E"/>
                <w:sz w:val="20"/>
                <w:szCs w:val="20"/>
              </w:rPr>
              <w:t xml:space="preserve">Andersen-Duffie-Song (2019): FVA belongs in pricing</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The Monetisation Problem</w:t>
      </w:r>
    </w:p>
    <w:p>
      <w:pPr>
        <w:spacing w:after="60" w:before="60"/>
        <w:jc w:val="both"/>
      </w:pPr>
      <w:r>
        <w:rPr>
          <w:rFonts w:ascii="Calibri" w:cs="Calibri" w:eastAsia="Calibri" w:hAnsi="Calibri"/>
          <w:b w:val="false"/>
          <w:bCs w:val="false"/>
          <w:i w:val="false"/>
          <w:iCs w:val="false"/>
          <w:color w:val="1A1A2E"/>
          <w:sz w:val="22"/>
          <w:szCs w:val="22"/>
        </w:rPr>
        <w:t xml:space="preserve">The crux of the debate is monetisation. Hull and White argued that DVA — the benefit a bank receives from the possibility of its own default — already captures the funding benefit (FBA). Practitioners responded: DVA cannot be realised without the bank actually defaulting. A bank cannot sell its own default risk in any liquid market. By contrast, FVA represents a real, daily cash cost: treasury literally charges the derivatives desk a funding spread every day. These are economically different things.</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Andersen, Duffie and Song (2019) provided the most rigorous resolution: in a model where shareholder value maximisation is properly defined and funding markets are incomplete, FVA does belong in pricing — but only if correctly computed. The key is that FVA captures an opportunity cost to shareholders, not an accounting fiction. Most major dealers (JP Morgan, Goldman Sachs, Barclays) have since adopted FVA as a standard pricing component.</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JP Morgan's Historic FVA Recognition (January 2014)</w:t>
      </w:r>
    </w:p>
    <w:p>
      <w:pPr>
        <w:spacing w:after="60" w:before="60"/>
        <w:jc w:val="both"/>
      </w:pPr>
      <w:r>
        <w:rPr>
          <w:rFonts w:ascii="Calibri" w:cs="Calibri" w:eastAsia="Calibri" w:hAnsi="Calibri"/>
          <w:b w:val="false"/>
          <w:bCs w:val="false"/>
          <w:i w:val="false"/>
          <w:iCs w:val="false"/>
          <w:color w:val="1A1A2E"/>
          <w:sz w:val="22"/>
          <w:szCs w:val="22"/>
        </w:rPr>
        <w:t xml:space="preserve">JP Morgan became the first major bank to publicly quantify and book an FVA loss: approximately USD 1.5 billion charged against Q4 2013 earnings. This was an accounting recognition that its uncollateralised derivatives portfolio had been implicitly subsidised by the firm's funding capacity, and that cost needed to be reserved. Goldman Sachs, Bank of America, and Morgan Stanley followed within months. The announcement validated the industry's practical approach and largely ended the academic debate at the practitioner level.</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6. DVA vs FVA: The Double-Count Problem</w:t>
      </w:r>
    </w:p>
    <w:p>
      <w:pPr>
        <w:spacing w:after="60" w:before="60"/>
        <w:jc w:val="both"/>
      </w:pPr>
      <w:r>
        <w:rPr>
          <w:rFonts w:ascii="Calibri" w:cs="Calibri" w:eastAsia="Calibri" w:hAnsi="Calibri"/>
          <w:b w:val="false"/>
          <w:bCs w:val="false"/>
          <w:i w:val="false"/>
          <w:iCs w:val="false"/>
          <w:color w:val="1A1A2E"/>
          <w:sz w:val="22"/>
          <w:szCs w:val="22"/>
        </w:rPr>
        <w:t xml:space="preserve">A fundamental structural tension in XVA accounting is the potential overlap between DVA and FVA. Both involve the dealer's own creditworthiness, and naively including both can lead to double-counting.</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The Overlap</w:t>
      </w:r>
    </w:p>
    <w:p>
      <w:pPr>
        <w:spacing w:after="60" w:before="60"/>
        <w:jc w:val="both"/>
      </w:pPr>
      <w:r>
        <w:rPr>
          <w:rFonts w:ascii="Calibri" w:cs="Calibri" w:eastAsia="Calibri" w:hAnsi="Calibri"/>
          <w:b/>
          <w:bCs/>
          <w:i w:val="false"/>
          <w:iCs w:val="false"/>
          <w:color w:val="1A1A2E"/>
          <w:sz w:val="22"/>
          <w:szCs w:val="22"/>
        </w:rPr>
        <w:t xml:space="preserve">DVA </w:t>
      </w:r>
      <w:r>
        <w:rPr>
          <w:rFonts w:ascii="Calibri" w:cs="Calibri" w:eastAsia="Calibri" w:hAnsi="Calibri"/>
          <w:b w:val="false"/>
          <w:bCs w:val="false"/>
          <w:i w:val="false"/>
          <w:iCs w:val="false"/>
          <w:color w:val="1A1A2E"/>
          <w:sz w:val="22"/>
          <w:szCs w:val="22"/>
        </w:rPr>
        <w:t xml:space="preserve">arises when the dealer is out-of-the-money (net liability to counterparty): the dealer may default before paying, so the counterparty discounts future payments at a rate reflecting dealer credit risk. The dealer books a gain.</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bCs/>
          <w:i w:val="false"/>
          <w:iCs w:val="false"/>
          <w:color w:val="1A1A2E"/>
          <w:sz w:val="22"/>
          <w:szCs w:val="22"/>
        </w:rPr>
        <w:t xml:space="preserve">FBA </w:t>
      </w:r>
      <w:r>
        <w:rPr>
          <w:rFonts w:ascii="Calibri" w:cs="Calibri" w:eastAsia="Calibri" w:hAnsi="Calibri"/>
          <w:b w:val="false"/>
          <w:bCs w:val="false"/>
          <w:i w:val="false"/>
          <w:iCs w:val="false"/>
          <w:color w:val="1A1A2E"/>
          <w:sz w:val="22"/>
          <w:szCs w:val="22"/>
        </w:rPr>
        <w:t xml:space="preserve">(the beneficial component of FVA) arises in the same out-of-the-money scenario: the counterparty is effectively funding the dealer, so the dealer benefits from not paying the full funding cost. This looks structurally similar to DVA.</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2400"/>
        <w:gridCol w:w="2400"/>
        <w:gridCol w:w="2400"/>
        <w:gridCol w:w="1760"/>
      </w:tblGrid>
      <w:tr>
        <w:trPr>
          <w:tblHeader/>
        </w:trPr>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Scenario</w:t>
            </w:r>
          </w:p>
        </w:tc>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DVA Treatment</w:t>
            </w:r>
          </w:p>
        </w:tc>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FVA Treatment</w:t>
            </w:r>
          </w:p>
        </w:tc>
        <w:tc>
          <w:tcPr>
            <w:tcW w:type="dxa" w:w="1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Resolution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in-the-money (asset)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 DVA impact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FCA: dealer pays funding cost</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 overlap</w:t>
            </w:r>
          </w:p>
        </w:tc>
      </w:tr>
      <w:tr>
        <w:trPr>
          <w:tblHeader w:val="false"/>
        </w:trP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out-of-the-money (liab)</w:t>
            </w:r>
          </w:p>
        </w:tc>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 gain: own-default benefit</w:t>
            </w:r>
          </w:p>
        </w:tc>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FBA: funding benefit</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Overlap risk — decompose carefully</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Full daily-margined CSA</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 reduced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 ≈ 0 (collateralised)</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 issue</w:t>
            </w:r>
          </w:p>
        </w:tc>
      </w:tr>
      <w:tr>
        <w:trPr>
          <w:tblHeader w:val="false"/>
        </w:trP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Asymmetric CSA</w:t>
            </w:r>
          </w:p>
        </w:tc>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Partial DVA</w:t>
            </w:r>
          </w:p>
        </w:tc>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Partial FVA/FBA</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Careful scenario decomposition needed</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The Burgard-Kjaer Resolution</w:t>
      </w:r>
    </w:p>
    <w:p>
      <w:pPr>
        <w:spacing w:after="60" w:before="60"/>
        <w:jc w:val="both"/>
      </w:pPr>
      <w:r>
        <w:rPr>
          <w:rFonts w:ascii="Calibri" w:cs="Calibri" w:eastAsia="Calibri" w:hAnsi="Calibri"/>
          <w:b w:val="false"/>
          <w:bCs w:val="false"/>
          <w:i w:val="false"/>
          <w:iCs w:val="false"/>
          <w:color w:val="1A1A2E"/>
          <w:sz w:val="22"/>
          <w:szCs w:val="22"/>
        </w:rPr>
        <w:t xml:space="preserve">Burgard and Kjaer (2013) showed that the correct approach is a unified semi-replication framework that incorporates the dealer's own default explicitly. In this framework, DVA and FBA are mutually exclusive by construction: FBA applies only when the dealer is alive and funding trades; DVA applies when the dealer defaults. The unified valuation equation is:</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Vₜₒₜₐℓ = Vᴿᴼ + CVA + DVA + FCA + FBA* · (1 − Rᴰ)</w:t>
      </w:r>
    </w:p>
    <w:p>
      <w:pPr>
        <w:spacing w:after="100" w:before="20"/>
        <w:jc w:val="center"/>
      </w:pPr>
      <w:r>
        <w:rPr>
          <w:rFonts w:ascii="Calibri" w:cs="Calibri" w:eastAsia="Calibri" w:hAnsi="Calibri"/>
          <w:i/>
          <w:iCs/>
          <w:color w:val="8A9BB0"/>
          <w:sz w:val="18"/>
          <w:szCs w:val="18"/>
        </w:rPr>
        <w:t xml:space="preserve">Vᴿᴼ = risk-free value; CVA = counterparty credit adjustment (negative); DVA = dealer own-default benefit (positive); FCA = funding cost adjustment (negative); FBA* = funding benefit adjustment adjusted for dealer recovery rate Rᴰ to avoid double-count with DVA</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In practice, most dealers resolve this pragmatically: DVA is recognised for accounting purposes (IFRS 13 requires fair value to reflect own credit risk), while FVA is charged by treasury as an internal funding transfer price. The risk of double-counting is managed through careful definition of which scenarios each adjustment covers.</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7. Worked Numerical Example: FVA on an Uncollateralised IRS</w:t>
      </w:r>
    </w:p>
    <w:p>
      <w:pPr>
        <w:pStyle w:val="Heading3"/>
        <w:spacing w:after="60" w:before="160"/>
      </w:pPr>
      <w:r>
        <w:rPr>
          <w:rFonts w:ascii="Calibri" w:cs="Calibri" w:eastAsia="Calibri" w:hAnsi="Calibri"/>
          <w:b/>
          <w:bCs/>
          <w:color w:val="0D1B2A"/>
          <w:sz w:val="24"/>
          <w:szCs w:val="24"/>
        </w:rPr>
        <w:t xml:space="preserve">Trade Setup</w:t>
      </w:r>
    </w:p>
    <w:p>
      <w:pPr>
        <w:spacing w:after="60" w:before="60"/>
        <w:jc w:val="both"/>
      </w:pPr>
      <w:r>
        <w:rPr>
          <w:rFonts w:ascii="Calibri" w:cs="Calibri" w:eastAsia="Calibri" w:hAnsi="Calibri"/>
          <w:b w:val="false"/>
          <w:bCs w:val="false"/>
          <w:i w:val="false"/>
          <w:iCs w:val="false"/>
          <w:color w:val="1A1A2E"/>
          <w:sz w:val="22"/>
          <w:szCs w:val="22"/>
        </w:rPr>
        <w:t xml:space="preserve">EUR 100M notional, 5-year plain vanilla interest rate swap. Dealer pays fixed 3.50% annually and receives 6-month EURIBOR. No CSA in place (uncollateralised). Dealer internal funding spread: 80 bps above OIS.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3200"/>
        <w:gridCol w:w="3200"/>
        <w:gridCol w:w="2960"/>
      </w:tblGrid>
      <w:tr>
        <w:trPr>
          <w:tblHeader/>
        </w:trP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Parameter</w:t>
            </w:r>
          </w:p>
        </w:tc>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Value</w:t>
            </w:r>
          </w:p>
        </w:tc>
        <w:tc>
          <w:tcPr>
            <w:tcW w:type="dxa" w:w="29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Source / Assumption</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Notional</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100,000,000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Trade terms</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Maturity</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5 years</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Trade terms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Fixed rate (dealer pays)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3.50% p.a.</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At-the-money at inception</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Floating rate (dealer receives)</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6M EURIBOR</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Market rate</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OIS rate (flat)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3.20%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Market data</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funding spread sᴼ</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 bps (0.80%)</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Internal treasury curve</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All-in funding rate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4.00%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OIS + spread</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Rate volatility σᴿ</w:t>
            </w:r>
          </w:p>
        </w:tc>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 bps normal vol</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Market implied</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Step 1: EPE and ENE Profile</w:t>
      </w:r>
    </w:p>
    <w:p>
      <w:pPr>
        <w:spacing w:after="60" w:before="60"/>
        <w:jc w:val="both"/>
      </w:pPr>
      <w:r>
        <w:rPr>
          <w:rFonts w:ascii="Calibri" w:cs="Calibri" w:eastAsia="Calibri" w:hAnsi="Calibri"/>
          <w:b w:val="false"/>
          <w:bCs w:val="false"/>
          <w:i w:val="false"/>
          <w:iCs w:val="false"/>
          <w:color w:val="1A1A2E"/>
          <w:sz w:val="22"/>
          <w:szCs w:val="22"/>
        </w:rPr>
        <w:t xml:space="preserve">Using a simplified closed-form approximation for an at-the-money IRS, the </w:t>
      </w:r>
      <w:r>
        <w:rPr>
          <w:rFonts w:ascii="Calibri" w:cs="Calibri" w:eastAsia="Calibri" w:hAnsi="Calibri"/>
          <w:b/>
          <w:bCs/>
          <w:i w:val="false"/>
          <w:iCs w:val="false"/>
          <w:color w:val="1A1A2E"/>
          <w:sz w:val="22"/>
          <w:szCs w:val="22"/>
        </w:rPr>
        <w:t xml:space="preserve">Expected Positive Exposure (EPE) </w:t>
      </w:r>
      <w:r>
        <w:rPr>
          <w:rFonts w:ascii="Calibri" w:cs="Calibri" w:eastAsia="Calibri" w:hAnsi="Calibri"/>
          <w:b w:val="false"/>
          <w:bCs w:val="false"/>
          <w:i w:val="false"/>
          <w:iCs w:val="false"/>
          <w:color w:val="1A1A2E"/>
          <w:sz w:val="22"/>
          <w:szCs w:val="22"/>
        </w:rPr>
        <w:t xml:space="preserve">at time </w:t>
      </w:r>
      <w:r>
        <w:rPr>
          <w:rFonts w:ascii="Calibri" w:cs="Calibri" w:eastAsia="Calibri" w:hAnsi="Calibri"/>
          <w:b w:val="false"/>
          <w:bCs w:val="false"/>
          <w:i/>
          <w:iCs/>
          <w:color w:val="1A1A2E"/>
          <w:sz w:val="22"/>
          <w:szCs w:val="22"/>
        </w:rPr>
        <w:t xml:space="preserve">t </w:t>
      </w:r>
      <w:r>
        <w:rPr>
          <w:rFonts w:ascii="Calibri" w:cs="Calibri" w:eastAsia="Calibri" w:hAnsi="Calibri"/>
          <w:b w:val="false"/>
          <w:bCs w:val="false"/>
          <w:i w:val="false"/>
          <w:iCs w:val="false"/>
          <w:color w:val="1A1A2E"/>
          <w:sz w:val="22"/>
          <w:szCs w:val="22"/>
        </w:rPr>
        <w:t xml:space="preserve">for a receiver of floating is:</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EPE(t) ≈ N · σᴿ · √[t · (T−t) / T]</w:t>
      </w:r>
    </w:p>
    <w:p>
      <w:pPr>
        <w:spacing w:after="100" w:before="20"/>
        <w:jc w:val="center"/>
      </w:pPr>
      <w:r>
        <w:rPr>
          <w:rFonts w:ascii="Calibri" w:cs="Calibri" w:eastAsia="Calibri" w:hAnsi="Calibri"/>
          <w:i/>
          <w:iCs/>
          <w:color w:val="8A9BB0"/>
          <w:sz w:val="18"/>
          <w:szCs w:val="18"/>
        </w:rPr>
        <w:t xml:space="preserve">N = notional; σᴿ = annualised normal rate volatility (80 bps); T = maturity (5 years); t = evaluation time. ENE(t) = −EPE(t) by symmetry for at-the-money swap.</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1400"/>
        <w:gridCol w:w="1600"/>
        <w:gridCol w:w="1600"/>
        <w:gridCol w:w="1200"/>
        <w:gridCol w:w="1800"/>
        <w:gridCol w:w="1760"/>
      </w:tblGrid>
      <w:tr>
        <w:trPr>
          <w:tblHeader/>
        </w:trPr>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Time t (yrs)</w:t>
            </w:r>
          </w:p>
        </w:tc>
        <w:tc>
          <w:tcPr>
            <w:tcW w:type="dxa" w:w="1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EPE(t) EUR M</w:t>
            </w:r>
          </w:p>
        </w:tc>
        <w:tc>
          <w:tcPr>
            <w:tcW w:type="dxa" w:w="1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ENE(t) EUR M</w:t>
            </w:r>
          </w:p>
        </w:tc>
        <w:tc>
          <w:tcPr>
            <w:tcW w:type="dxa" w:w="1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B(0,t)</w:t>
            </w:r>
          </w:p>
        </w:tc>
        <w:tc>
          <w:tcPr>
            <w:tcW w:type="dxa" w:w="1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FCA contrib (EUR)</w:t>
            </w:r>
          </w:p>
        </w:tc>
        <w:tc>
          <w:tcPr>
            <w:tcW w:type="dxa" w:w="1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FBA contrib (EUR)</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1.26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−1.26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0.9841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−49,582</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+49,582</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1.0</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1.77</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−1.77</w:t>
            </w:r>
          </w:p>
        </w:tc>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0.9685</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−137,227</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+137,227</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2.13</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−2.13</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0.9531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−162,255</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+162,255</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2.0</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2.40</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−2.40</w:t>
            </w:r>
          </w:p>
        </w:tc>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0.9380</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−180,096</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+180,096</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2.60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−2.60</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0.9232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−191,922</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+191,922</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3.0</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2.71</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−2.71</w:t>
            </w:r>
          </w:p>
        </w:tc>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0.9085</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−196,856</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+196,856</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2.71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−2.71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0.8942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−193,813</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+193,813</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4.0</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2.56</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−2.56</w:t>
            </w:r>
          </w:p>
        </w:tc>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0.8800</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−179,917</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+179,917</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2.16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−2.16</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0.8661</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−149,866</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+149,866</w:t>
            </w:r>
          </w:p>
        </w:tc>
      </w:tr>
      <w:tr>
        <w:trPr>
          <w:tblHeader w:val="false"/>
        </w:trPr>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5.0</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1.41</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−1.41</w:t>
            </w:r>
          </w:p>
        </w:tc>
        <w:tc>
          <w:tcPr>
            <w:tcW w:type="dxa" w:w="1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0.8524</w:t>
            </w:r>
          </w:p>
        </w:tc>
        <w:tc>
          <w:tcPr>
            <w:tcW w:type="dxa" w:w="1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−96,119</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+96,119</w:t>
            </w:r>
          </w:p>
        </w:tc>
      </w:tr>
      <w:tr>
        <w:trPr>
          <w:tblHeader w:val="false"/>
        </w:trP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2E"/>
                <w:sz w:val="20"/>
                <w:szCs w:val="20"/>
              </w:rPr>
              <w:t xml:space="preserve">TOTAL</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C0392B"/>
                <w:sz w:val="20"/>
                <w:szCs w:val="20"/>
              </w:rPr>
              <w:t xml:space="preserve">−EUR 1,537,653</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028090"/>
                <w:sz w:val="20"/>
                <w:szCs w:val="20"/>
              </w:rPr>
              <w:t xml:space="preserve">+EUR 1,537,653</w:t>
            </w:r>
          </w:p>
        </w:tc>
      </w:tr>
    </w:tbl>
    <w:p>
      <w:pPr>
        <w:spacing w:after="80" w:before="40"/>
        <w:jc w:val="center"/>
      </w:pPr>
      <w:r>
        <w:rPr>
          <w:rFonts w:ascii="Calibri" w:cs="Calibri" w:eastAsia="Calibri" w:hAnsi="Calibri"/>
          <w:b w:val="false"/>
          <w:bCs w:val="false"/>
          <w:i/>
          <w:iCs/>
          <w:color w:val="8A9BB0"/>
          <w:sz w:val="18"/>
          <w:szCs w:val="18"/>
        </w:rPr>
        <w:t xml:space="preserve">FCA/FBA = sᴼ × EPE/ENE(t) × B(0,t) × Δt (Δt = 0.5). Each row is semi-annual.</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Step 2: Net FVA and Key Insight</w:t>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FVA (net) = FCA + FBA = −EUR 1,537,653 + EUR 1,537,653 = EUR 0</w:t>
      </w:r>
    </w:p>
    <w:p>
      <w:pPr>
        <w:spacing w:after="100" w:before="20"/>
        <w:jc w:val="center"/>
      </w:pPr>
      <w:r>
        <w:rPr>
          <w:rFonts w:ascii="Calibri" w:cs="Calibri" w:eastAsia="Calibri" w:hAnsi="Calibri"/>
          <w:i/>
          <w:iCs/>
          <w:color w:val="8A9BB0"/>
          <w:sz w:val="18"/>
          <w:szCs w:val="18"/>
        </w:rPr>
        <w:t xml:space="preserve">At-the-money at inception: EPE = |ENE| ⇒ FCA = FBA exactly ⇒ Net FVA = 0. After a 50 bp adverse rate move (trade moves €2.4M ITM): Net FVA ≈ −EUR 480,000.</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This illustrates the critical insight: FVA is zero at inception for at-the-money trades because positive and negative exposure cancel. FVA becomes material as the trade moves in- or out-of-the-money. The 80 bps funding spread on €2.4M positive exposure over the remaining life generates approximately €480,000 in FCA — a hidden cost that must be funded from treasury.</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7B. Desk-Level Case Studies: 10Y IRS Under Three Collateral Regimes</w:t>
      </w:r>
    </w:p>
    <w:p>
      <w:pPr>
        <w:spacing w:after="60" w:before="60"/>
        <w:jc w:val="both"/>
      </w:pPr>
      <w:r>
        <w:rPr>
          <w:rFonts w:ascii="Calibri" w:cs="Calibri" w:eastAsia="Calibri" w:hAnsi="Calibri"/>
          <w:b w:val="false"/>
          <w:bCs w:val="false"/>
          <w:i w:val="false"/>
          <w:iCs w:val="false"/>
          <w:color w:val="1A1A2E"/>
          <w:sz w:val="22"/>
          <w:szCs w:val="22"/>
        </w:rPr>
        <w:t xml:space="preserve">The same trade — EUR 100M notional, 10-year IRS, dealer pays fixed 3.50%, receives 6M EURIBOR, OIS 3.20%, dealer funding spread 80 bps — produces dramatically different XVA outcomes depending solely on the collateral agreement. These three cases represent the collateral spectrum a derivatives desk encounters in practice.</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Case 1: Full Two-Way Daily-Margined CSA</w:t>
      </w:r>
    </w:p>
    <w:p>
      <w:pPr>
        <w:spacing w:after="60" w:before="60"/>
        <w:jc w:val="both"/>
      </w:pPr>
      <w:r>
        <w:rPr>
          <w:rFonts w:ascii="Calibri" w:cs="Calibri" w:eastAsia="Calibri" w:hAnsi="Calibri"/>
          <w:b w:val="false"/>
          <w:bCs w:val="false"/>
          <w:i w:val="false"/>
          <w:iCs w:val="false"/>
          <w:color w:val="1A1A2E"/>
          <w:sz w:val="22"/>
          <w:szCs w:val="22"/>
        </w:rPr>
        <w:t xml:space="preserve">Both parties post VM daily in cash at OIS. The most common arrangement for dealer-to-dealer trades and institutional counterparties.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FVA: </w:t>
      </w:r>
      <w:r>
        <w:rPr>
          <w:rFonts w:ascii="Calibri" w:cs="Calibri" w:eastAsia="Calibri" w:hAnsi="Calibri"/>
          <w:b w:val="false"/>
          <w:bCs w:val="false"/>
          <w:i w:val="false"/>
          <w:iCs w:val="false"/>
          <w:color w:val="1A1A2E"/>
          <w:sz w:val="22"/>
          <w:szCs w:val="22"/>
        </w:rPr>
        <w:t xml:space="preserve">≈ EUR 0. Daily VM posting resets net exposure to near-zero each day. Funding cost is priced into the OIS discount rate itself.</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MVA: </w:t>
      </w:r>
      <w:r>
        <w:rPr>
          <w:rFonts w:ascii="Calibri" w:cs="Calibri" w:eastAsia="Calibri" w:hAnsi="Calibri"/>
          <w:b w:val="false"/>
          <w:bCs w:val="false"/>
          <w:i w:val="false"/>
          <w:iCs w:val="false"/>
          <w:color w:val="1A1A2E"/>
          <w:sz w:val="22"/>
          <w:szCs w:val="22"/>
        </w:rPr>
        <w:t xml:space="preserve">≈ −EUR 8–12K over 10 years. SIMM IM substantially reduced because Expected Future Exposure is compressed under daily margining.</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CVA: </w:t>
      </w:r>
      <w:r>
        <w:rPr>
          <w:rFonts w:ascii="Calibri" w:cs="Calibri" w:eastAsia="Calibri" w:hAnsi="Calibri"/>
          <w:b w:val="false"/>
          <w:bCs w:val="false"/>
          <w:i w:val="false"/>
          <w:iCs w:val="false"/>
          <w:color w:val="1A1A2E"/>
          <w:sz w:val="22"/>
          <w:szCs w:val="22"/>
        </w:rPr>
        <w:t xml:space="preserve">≈ −EUR 15–25K. Counterparty default risk remains for the 10-day gap between last VM call and default (MPoR).</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Net XVA: </w:t>
      </w:r>
      <w:r>
        <w:rPr>
          <w:rFonts w:ascii="Calibri" w:cs="Calibri" w:eastAsia="Calibri" w:hAnsi="Calibri"/>
          <w:b w:val="false"/>
          <w:bCs w:val="false"/>
          <w:i w:val="false"/>
          <w:iCs w:val="false"/>
          <w:color w:val="1A1A2E"/>
          <w:sz w:val="22"/>
          <w:szCs w:val="22"/>
        </w:rPr>
        <w:t xml:space="preserve">≈ −EUR 30K. The near-frictionless baseline.</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Case 2: One-Way CSA (Dealer Posts, Counterparty Does Not)</w:t>
      </w:r>
    </w:p>
    <w:p>
      <w:pPr>
        <w:spacing w:after="60" w:before="60"/>
        <w:jc w:val="both"/>
      </w:pPr>
      <w:r>
        <w:rPr>
          <w:rFonts w:ascii="Calibri" w:cs="Calibri" w:eastAsia="Calibri" w:hAnsi="Calibri"/>
          <w:b w:val="false"/>
          <w:bCs w:val="false"/>
          <w:i w:val="false"/>
          <w:iCs w:val="false"/>
          <w:color w:val="1A1A2E"/>
          <w:sz w:val="22"/>
          <w:szCs w:val="22"/>
        </w:rPr>
        <w:t xml:space="preserve">Common with sovereigns, supranationals, and certain corporates. The counterparty receives VM when the trade moves in their favour; the dealer receives nothing when the trade moves in theirs.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FVA (FCA only, FBA = 0): </w:t>
      </w:r>
      <w:r>
        <w:rPr>
          <w:rFonts w:ascii="Calibri" w:cs="Calibri" w:eastAsia="Calibri" w:hAnsi="Calibri"/>
          <w:b w:val="false"/>
          <w:bCs w:val="false"/>
          <w:i w:val="false"/>
          <w:iCs w:val="false"/>
          <w:color w:val="1A1A2E"/>
          <w:sz w:val="22"/>
          <w:szCs w:val="22"/>
        </w:rPr>
        <w:t xml:space="preserve">When the swap moves ITM for the dealer, it has a receivable but receives no collateral. It must fund that receivable at 80 bps. FCA ≈ −EUR 680K over 10 years. FBA = 0 because the dealer is always the poster, never the receiver.</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MVA: </w:t>
      </w:r>
      <w:r>
        <w:rPr>
          <w:rFonts w:ascii="Calibri" w:cs="Calibri" w:eastAsia="Calibri" w:hAnsi="Calibri"/>
          <w:b w:val="false"/>
          <w:bCs w:val="false"/>
          <w:i w:val="false"/>
          <w:iCs w:val="false"/>
          <w:color w:val="1A1A2E"/>
          <w:sz w:val="22"/>
          <w:szCs w:val="22"/>
        </w:rPr>
        <w:t xml:space="preserve">≈ −EUR 95K. IM obligations apply to the dealer’s side only; the asymmetric structure provides no SIMM reduction.</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CVA: </w:t>
      </w:r>
      <w:r>
        <w:rPr>
          <w:rFonts w:ascii="Calibri" w:cs="Calibri" w:eastAsia="Calibri" w:hAnsi="Calibri"/>
          <w:b w:val="false"/>
          <w:bCs w:val="false"/>
          <w:i w:val="false"/>
          <w:iCs w:val="false"/>
          <w:color w:val="1A1A2E"/>
          <w:sz w:val="22"/>
          <w:szCs w:val="22"/>
        </w:rPr>
        <w:t xml:space="preserve">≈ −EUR 90K. Material uncollateralised exposure. Wrong-way risk should be assessed if counterparty credit correlates with rates.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Net XVA: </w:t>
      </w:r>
      <w:r>
        <w:rPr>
          <w:rFonts w:ascii="Calibri" w:cs="Calibri" w:eastAsia="Calibri" w:hAnsi="Calibri"/>
          <w:b w:val="false"/>
          <w:bCs w:val="false"/>
          <w:i w:val="false"/>
          <w:iCs w:val="false"/>
          <w:color w:val="1A1A2E"/>
          <w:sz w:val="22"/>
          <w:szCs w:val="22"/>
        </w:rPr>
        <w:t xml:space="preserve">≈ −EUR 865K. A one-way CSA granted without pricing is a subsidy of EUR 865K on this single EUR 100M 10Y trade.</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Case 3: No CSA, No Clearing (Fully Uncollateralised)</w:t>
      </w:r>
    </w:p>
    <w:p>
      <w:pPr>
        <w:spacing w:after="60" w:before="60"/>
        <w:jc w:val="both"/>
      </w:pPr>
      <w:r>
        <w:rPr>
          <w:rFonts w:ascii="Calibri" w:cs="Calibri" w:eastAsia="Calibri" w:hAnsi="Calibri"/>
          <w:b w:val="false"/>
          <w:bCs w:val="false"/>
          <w:i w:val="false"/>
          <w:iCs w:val="false"/>
          <w:color w:val="1A1A2E"/>
          <w:sz w:val="22"/>
          <w:szCs w:val="22"/>
        </w:rPr>
        <w:t xml:space="preserve">No VM, no IM, no clearing. The full XVA stack applies. Still encountered with some corporate and EM counterparties.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FVA: </w:t>
      </w:r>
      <w:r>
        <w:rPr>
          <w:rFonts w:ascii="Calibri" w:cs="Calibri" w:eastAsia="Calibri" w:hAnsi="Calibri"/>
          <w:b w:val="false"/>
          <w:bCs w:val="false"/>
          <w:i w:val="false"/>
          <w:iCs w:val="false"/>
          <w:color w:val="1A1A2E"/>
          <w:sz w:val="22"/>
          <w:szCs w:val="22"/>
        </w:rPr>
        <w:t xml:space="preserve">At inception (ATM), net FVA ≈ 0. After a 50 bp adverse rate move (EUR 6M ITM for dealer), net FVA ≈ −EUR 1.1M as EPE dominates ENE. The 10Y tenor amplifies the profile versus the 5Y case.</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MVA: </w:t>
      </w:r>
      <w:r>
        <w:rPr>
          <w:rFonts w:ascii="Calibri" w:cs="Calibri" w:eastAsia="Calibri" w:hAnsi="Calibri"/>
          <w:b w:val="false"/>
          <w:bCs w:val="false"/>
          <w:i w:val="false"/>
          <w:iCs w:val="false"/>
          <w:color w:val="1A1A2E"/>
          <w:sz w:val="22"/>
          <w:szCs w:val="22"/>
        </w:rPr>
        <w:t xml:space="preserve">≈ −EUR 185K over 10 years. SIMM IM for a 10Y EUR IRS is higher than for 5Y — DV01 ≈ EUR 85K, IM at inception ≈ EUR 5.8M under SIMM v2.8+2506.</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CVA: </w:t>
      </w:r>
      <w:r>
        <w:rPr>
          <w:rFonts w:ascii="Calibri" w:cs="Calibri" w:eastAsia="Calibri" w:hAnsi="Calibri"/>
          <w:b w:val="false"/>
          <w:bCs w:val="false"/>
          <w:i w:val="false"/>
          <w:iCs w:val="false"/>
          <w:color w:val="1A1A2E"/>
          <w:sz w:val="22"/>
          <w:szCs w:val="22"/>
        </w:rPr>
        <w:t xml:space="preserve">≈ −EUR 165K for a BBB counterparty. Longer tenor and higher EPE significantly increase CVA versus the 5Y case.</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Net XVA: </w:t>
      </w:r>
      <w:r>
        <w:rPr>
          <w:rFonts w:ascii="Calibri" w:cs="Calibri" w:eastAsia="Calibri" w:hAnsi="Calibri"/>
          <w:b w:val="false"/>
          <w:bCs w:val="false"/>
          <w:i w:val="false"/>
          <w:iCs w:val="false"/>
          <w:color w:val="1A1A2E"/>
          <w:sz w:val="22"/>
          <w:szCs w:val="22"/>
        </w:rPr>
        <w:t xml:space="preserve">≈ −EUR 350K at inception; ≈ −EUR 1.45M after a 50 bp adverse move.</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Summary: XVA Across the Three Collateral Regimes</w:t>
      </w:r>
    </w:p>
    <w:tbl>
      <w:tblPr>
        <w:tblW w:type="dxa" w:w="9360"/>
      </w:tblPr>
      <w:tblGrid>
        <w:gridCol w:w="2800"/>
        <w:gridCol w:w="2200"/>
        <w:gridCol w:w="2200"/>
        <w:gridCol w:w="2160"/>
      </w:tblGrid>
      <w:tr>
        <w:trPr>
          <w:tblHeader/>
        </w:trPr>
        <w:tc>
          <w:tcPr>
            <w:tcW w:type="dxa" w:w="2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XVA Component</w:t>
            </w:r>
          </w:p>
        </w:tc>
        <w:tc>
          <w:tcPr>
            <w:tcW w:type="dxa" w:w="2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Case 1: Full 2-Way CSA</w:t>
            </w:r>
          </w:p>
        </w:tc>
        <w:tc>
          <w:tcPr>
            <w:tcW w:type="dxa" w:w="2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Case 2: One-Way CSA</w:t>
            </w:r>
          </w:p>
        </w:tc>
        <w:tc>
          <w:tcPr>
            <w:tcW w:type="dxa" w:w="21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Case 3: No CSA</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 (at-the-money)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EUR 0</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680K (FCA only)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EUR 0</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 (post 50bp move)</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EUR 0</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1.1M+</w:t>
            </w:r>
          </w:p>
        </w:tc>
        <w:tc>
          <w:tcPr>
            <w:tcW w:type="dxa" w:w="2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1.1M</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8–12K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95K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185K</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15–25K</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90K</w:t>
            </w:r>
          </w:p>
        </w:tc>
        <w:tc>
          <w:tcPr>
            <w:tcW w:type="dxa" w:w="2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165K</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Net XVA (inception)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−EUR 30K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−EUR 865K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−EUR 350K</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Net XVA (stressed)</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−EUR 30K</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−EUR 1.85M+</w:t>
            </w:r>
          </w:p>
        </w:tc>
        <w:tc>
          <w:tcPr>
            <w:tcW w:type="dxa" w:w="2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−EUR 1.45M</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Desk verdict</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Near-frictionless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Most expensive structure</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Manageable at inception</w:t>
            </w:r>
          </w:p>
        </w:tc>
      </w:tr>
    </w:tbl>
    <w:p>
      <w:pPr>
        <w:spacing w:after="120" w:before="40"/>
        <w:jc w:val="center"/>
      </w:pPr>
      <w:r>
        <w:rPr>
          <w:rFonts w:ascii="Calibri" w:cs="Calibri" w:eastAsia="Calibri" w:hAnsi="Calibri"/>
          <w:i/>
          <w:iCs/>
          <w:color w:val="8A9BB0"/>
          <w:sz w:val="18"/>
          <w:szCs w:val="18"/>
        </w:rPr>
        <w:t xml:space="preserve">EUR 100M 10Y EUR IRS, dealer pays fixed 3.50%, 80 bps funding spread, BBB counterparty. All figures approximate. MVA based on SIMM v2.8+2506.</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Collateral structure is not a legal nicety — it is a pricing input. A dealer that grants a one-way CSA without charging for it is subsidising the counterparty by up to EUR 865K on a EUR 100M 10Y trade. XVA desks exist precisely to make this cost explicit and recover it through pricing.</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8. MVA: Formal Framework &amp; Formula Derivation</w:t>
      </w:r>
    </w:p>
    <w:p>
      <w:pPr>
        <w:pStyle w:val="Heading2"/>
        <w:spacing w:after="80" w:before="220"/>
      </w:pPr>
      <w:r>
        <w:rPr>
          <w:rFonts w:ascii="Calibri" w:cs="Calibri" w:eastAsia="Calibri" w:hAnsi="Calibri"/>
          <w:b/>
          <w:bCs/>
          <w:color w:val="028090"/>
          <w:sz w:val="28"/>
          <w:szCs w:val="28"/>
        </w:rPr>
        <w:t xml:space="preserve">8.1 Origins: The UMR Revolution</w:t>
      </w:r>
    </w:p>
    <w:p>
      <w:pPr>
        <w:spacing w:after="60" w:before="60"/>
        <w:jc w:val="both"/>
      </w:pPr>
      <w:r>
        <w:rPr>
          <w:rFonts w:ascii="Calibri" w:cs="Calibri" w:eastAsia="Calibri" w:hAnsi="Calibri"/>
          <w:b w:val="false"/>
          <w:bCs w:val="false"/>
          <w:i w:val="false"/>
          <w:iCs w:val="false"/>
          <w:color w:val="1A1A2E"/>
          <w:sz w:val="22"/>
          <w:szCs w:val="22"/>
        </w:rPr>
        <w:t xml:space="preserve">MVA did not exist as a pricing consideration before 2015. It was created by regulation: the Uncleared Margin Rules (UMR), agreed by BCBS-IOSCO in 2015, required bilateral (non-cleared) derivatives above certain thresholds to post Initial Margin (IM) — a buffer against future potential exposure. Critically, this IM must be segregated (held by a third-party custodian) and cannot be rehypothecated. The capital is genuinely locked up.</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The phase-in ran from September 2016 (largest dealers) to September 2022 (Phase 6, covering buy-side firms with average aggregate notional above USD 8 billion). By 2023, an estimated USD 1.3 trillion in IM was being posted globally under bilateral UMR.</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8.2 The ISDA SIMM Model</w:t>
      </w:r>
    </w:p>
    <w:p>
      <w:pPr>
        <w:spacing w:after="60" w:before="60"/>
        <w:jc w:val="both"/>
      </w:pPr>
      <w:r>
        <w:rPr>
          <w:rFonts w:ascii="Calibri" w:cs="Calibri" w:eastAsia="Calibri" w:hAnsi="Calibri"/>
          <w:b w:val="false"/>
          <w:bCs w:val="false"/>
          <w:i w:val="false"/>
          <w:iCs w:val="false"/>
          <w:color w:val="1A1A2E"/>
          <w:sz w:val="22"/>
          <w:szCs w:val="22"/>
        </w:rPr>
        <w:t xml:space="preserve">The industry standard for computing bilateral IM is the ISDA Standard Initial Margin Model (SIMM), introduced in 2016. SIMM is a sensitivity-based model: it takes the first-order sensitivities (delta, vega) of the portfolio to each risk factor and applies regulatory-calibrated risk weights and a correlation structure.</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IMᴄℓₐₛₛ = √( Σᴵ Σⱼ ρᴵⱼ · WSᴵ · WSⱼ )</w:t>
      </w:r>
    </w:p>
    <w:p>
      <w:pPr>
        <w:spacing w:after="100" w:before="20"/>
        <w:jc w:val="center"/>
      </w:pPr>
      <w:r>
        <w:rPr>
          <w:rFonts w:ascii="Calibri" w:cs="Calibri" w:eastAsia="Calibri" w:hAnsi="Calibri"/>
          <w:i/>
          <w:iCs/>
          <w:color w:val="8A9BB0"/>
          <w:sz w:val="18"/>
          <w:szCs w:val="18"/>
        </w:rPr>
        <w:t xml:space="preserve">WSᴵ = weighted sensitivity = δᴵ · RWᴵ (delta times SIMM risk weight for bucket i); ρᴵⱼ = SIMM inter-bucket correlation; aggregated across risk classes (IR, Credit, Equity, FX, Commodity)</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C8953A" w:sz="6"/>
          <w:bottom w:val="single" w:color="C8953A" w:sz="6"/>
          <w:left w:val="single" w:color="C8953A" w:sz="6"/>
          <w:right w:val="single" w:color="C8953A" w:sz="6"/>
        </w:pBdr>
        <w:shd w:fill="F5DFA8" w:val="clear"/>
        <w:spacing w:after="120" w:before="80"/>
        <w:ind w:left="200" w:right="200"/>
      </w:pPr>
      <w:r>
        <w:rPr>
          <w:rFonts w:ascii="Calibri" w:cs="Calibri" w:eastAsia="Calibri" w:hAnsi="Calibri"/>
          <w:b/>
          <w:bCs/>
          <w:color w:val="C8953A"/>
          <w:sz w:val="20"/>
          <w:szCs w:val="20"/>
        </w:rPr>
        <w:t xml:space="preserve">⚠️  SIMM Calibration Note (v2.8+2506, December 2025): </w:t>
      </w:r>
      <w:r>
        <w:rPr>
          <w:rFonts w:ascii="Calibri" w:cs="Calibri" w:eastAsia="Calibri" w:hAnsi="Calibri"/>
          <w:color w:val="1A1A2E"/>
          <w:sz w:val="19"/>
          <w:szCs w:val="19"/>
        </w:rPr>
        <w:t xml:space="preserve">The IR delta risk weight for the EUR bucket remains within the 70–80 bps range under ISDA SIMM v2.8+2506, consistent with the 75 bps figure used in the worked examples in this module. Credit Qualifying weights have increased for high-yield and non-rated subsectors; Commodity weights have decreased reflecting volatility normalisation. The worked example figures in Section 9 remain representative, but practitioners must reference the current ISDA SIMM publication for live production calibration prior to deployment.</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8.3 MVA Formula and Intuition</w:t>
      </w:r>
    </w:p>
    <w:p>
      <w:pPr>
        <w:spacing w:after="60" w:before="60"/>
        <w:jc w:val="both"/>
      </w:pPr>
      <w:r>
        <w:rPr>
          <w:rFonts w:ascii="Calibri" w:cs="Calibri" w:eastAsia="Calibri" w:hAnsi="Calibri"/>
          <w:b w:val="false"/>
          <w:bCs w:val="false"/>
          <w:i w:val="false"/>
          <w:iCs w:val="false"/>
          <w:color w:val="1A1A2E"/>
          <w:sz w:val="22"/>
          <w:szCs w:val="22"/>
        </w:rPr>
        <w:t xml:space="preserve">MVA is the present value of the expected opportunity cost of posting IM over the life of the trade. Let </w:t>
      </w:r>
      <w:r>
        <w:rPr>
          <w:rFonts w:ascii="Calibri" w:cs="Calibri" w:eastAsia="Calibri" w:hAnsi="Calibri"/>
          <w:b w:val="false"/>
          <w:bCs w:val="false"/>
          <w:i/>
          <w:iCs/>
          <w:color w:val="1A1A2E"/>
          <w:sz w:val="22"/>
          <w:szCs w:val="22"/>
        </w:rPr>
        <w:t xml:space="preserve">IM(t) </w:t>
      </w:r>
      <w:r>
        <w:rPr>
          <w:rFonts w:ascii="Calibri" w:cs="Calibri" w:eastAsia="Calibri" w:hAnsi="Calibri"/>
          <w:b w:val="false"/>
          <w:bCs w:val="false"/>
          <w:i w:val="false"/>
          <w:iCs w:val="false"/>
          <w:color w:val="1A1A2E"/>
          <w:sz w:val="22"/>
          <w:szCs w:val="22"/>
        </w:rPr>
        <w:t xml:space="preserve">denote the expected IM requirement at time </w:t>
      </w:r>
      <w:r>
        <w:rPr>
          <w:rFonts w:ascii="Calibri" w:cs="Calibri" w:eastAsia="Calibri" w:hAnsi="Calibri"/>
          <w:b w:val="false"/>
          <w:bCs w:val="false"/>
          <w:i/>
          <w:iCs/>
          <w:color w:val="1A1A2E"/>
          <w:sz w:val="22"/>
          <w:szCs w:val="22"/>
        </w:rPr>
        <w:t xml:space="preserve">t </w:t>
      </w:r>
      <w:r>
        <w:rPr>
          <w:rFonts w:ascii="Calibri" w:cs="Calibri" w:eastAsia="Calibri" w:hAnsi="Calibri"/>
          <w:b w:val="false"/>
          <w:bCs w:val="false"/>
          <w:i w:val="false"/>
          <w:iCs w:val="false"/>
          <w:color w:val="1A1A2E"/>
          <w:sz w:val="22"/>
          <w:szCs w:val="22"/>
        </w:rPr>
        <w:t xml:space="preserve">(computed under SIMM), and let </w:t>
      </w:r>
      <w:r>
        <w:rPr>
          <w:rFonts w:ascii="Calibri" w:cs="Calibri" w:eastAsia="Calibri" w:hAnsi="Calibri"/>
          <w:b w:val="false"/>
          <w:bCs w:val="false"/>
          <w:i/>
          <w:iCs/>
          <w:color w:val="1A1A2E"/>
          <w:sz w:val="22"/>
          <w:szCs w:val="22"/>
        </w:rPr>
        <w:t xml:space="preserve">sₘ(t) </w:t>
      </w:r>
      <w:r>
        <w:rPr>
          <w:rFonts w:ascii="Calibri" w:cs="Calibri" w:eastAsia="Calibri" w:hAnsi="Calibri"/>
          <w:b w:val="false"/>
          <w:bCs w:val="false"/>
          <w:i w:val="false"/>
          <w:iCs w:val="false"/>
          <w:color w:val="1A1A2E"/>
          <w:sz w:val="22"/>
          <w:szCs w:val="22"/>
        </w:rPr>
        <w:t xml:space="preserve">denote the spread between the cost of funding IM and the rate earned on posted IM (typically OIS):</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MVA = −∫₀ᵀ sₘ(t) · E[IM(t)] · B(0,t) dt</w:t>
      </w:r>
    </w:p>
    <w:p>
      <w:pPr>
        <w:spacing w:after="100" w:before="20"/>
        <w:jc w:val="center"/>
      </w:pPr>
      <w:r>
        <w:rPr>
          <w:rFonts w:ascii="Calibri" w:cs="Calibri" w:eastAsia="Calibri" w:hAnsi="Calibri"/>
          <w:i/>
          <w:iCs/>
          <w:color w:val="8A9BB0"/>
          <w:sz w:val="18"/>
          <w:szCs w:val="18"/>
        </w:rPr>
        <w:t xml:space="preserve">sₘ(t) = dealer funding rate − IM remuneration rate (e.g., OIS or Fed Funds); E[IM(t)] = expected SIMM IM at time t (path-dependent, requires simulation); B(0,t) = OIS discount factor; MVA is always negative (cost to poster)</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bCs/>
          <w:i w:val="false"/>
          <w:iCs w:val="false"/>
          <w:color w:val="1A1A2E"/>
          <w:sz w:val="22"/>
          <w:szCs w:val="22"/>
        </w:rPr>
        <w:t xml:space="preserve">Discrete (simulation) form: </w:t>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MVA ≈ −Σᴵ sₘ(tᴵ) · E[IM(tᴵ)] · B(0,tᴵ) · Δt</w:t>
      </w:r>
    </w:p>
    <w:p>
      <w:pPr>
        <w:spacing w:after="100" w:before="20"/>
        <w:jc w:val="center"/>
      </w:pPr>
      <w:r>
        <w:rPr>
          <w:rFonts w:ascii="Calibri" w:cs="Calibri" w:eastAsia="Calibri" w:hAnsi="Calibri"/>
          <w:i/>
          <w:iCs/>
          <w:color w:val="8A9BB0"/>
          <w:sz w:val="18"/>
          <w:szCs w:val="18"/>
        </w:rPr>
        <w:t xml:space="preserve">E[IM(tᴵ)] = cross-sectional average of SIMM IM across Monte Carlo paths at time step i; Δt = simulation time step; sign convention: MVA &lt; 0 always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Feature</w:t>
            </w:r>
          </w:p>
        </w:tc>
        <w:tc>
          <w:tcPr>
            <w:tcW w:type="dxa" w:w="61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Detail</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IM computation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ISDA SIMM (bilateral) or CCP SPAN/TIMS (cleared)</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Remuneration rate</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OIS/ESTR typically; some CSAs specify Fed Funds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Funding spread sₘ</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Typically 20–100 bps; varies by bank rating and market conditions</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IM profile shape</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Highest at inception (high uncertainty); declines as maturity approaches</w:t>
            </w:r>
          </w:p>
        </w:tc>
      </w:tr>
      <w:tr>
        <w:trPr>
          <w:tblHeader w:val="false"/>
        </w:trP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 sign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Always negative — posting IM is always a cost to the poster</w:t>
            </w:r>
          </w:p>
        </w:tc>
      </w:tr>
      <w:tr>
        <w:trPr>
          <w:tblHeader w:val="false"/>
        </w:trP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Key driver post-2022</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Phase 6 UMR bringing mid-size buy-side firms into scope</w:t>
            </w:r>
          </w:p>
        </w:tc>
      </w:tr>
    </w:tbl>
    <w:p>
      <w:pPr>
        <w:spacing w:after="0" w:before="0"/>
      </w:pPr>
      <w:r>
        <w:br w:type="page"/>
      </w:r>
    </w:p>
    <w:p>
      <w:pPr>
        <w:pStyle w:val="Heading1"/>
        <w:spacing w:after="120" w:before="280"/>
      </w:pPr>
      <w:r>
        <w:rPr>
          <w:rFonts w:ascii="Calibri" w:cs="Calibri" w:eastAsia="Calibri" w:hAnsi="Calibri"/>
          <w:b/>
          <w:bCs/>
          <w:color w:val="0D1B2A"/>
          <w:sz w:val="36"/>
          <w:szCs w:val="36"/>
        </w:rPr>
        <w:t xml:space="preserve">9. Worked Numerical Example: MVA Under ISDA SIMM</w:t>
      </w:r>
    </w:p>
    <w:p>
      <w:pPr>
        <w:pStyle w:val="Heading3"/>
        <w:spacing w:after="60" w:before="160"/>
      </w:pPr>
      <w:r>
        <w:rPr>
          <w:rFonts w:ascii="Calibri" w:cs="Calibri" w:eastAsia="Calibri" w:hAnsi="Calibri"/>
          <w:b/>
          <w:bCs/>
          <w:color w:val="0D1B2A"/>
          <w:sz w:val="24"/>
          <w:szCs w:val="24"/>
        </w:rPr>
        <w:t xml:space="preserve">Trade Setup (same EUR 100M 5Y IRS as Section 7)</w:t>
      </w:r>
    </w:p>
    <w:p>
      <w:pPr>
        <w:spacing w:after="60" w:before="60"/>
        <w:jc w:val="both"/>
      </w:pPr>
      <w:r>
        <w:rPr>
          <w:rFonts w:ascii="Calibri" w:cs="Calibri" w:eastAsia="Calibri" w:hAnsi="Calibri"/>
          <w:b w:val="false"/>
          <w:bCs w:val="false"/>
          <w:i w:val="false"/>
          <w:iCs w:val="false"/>
          <w:color w:val="1A1A2E"/>
          <w:sz w:val="22"/>
          <w:szCs w:val="22"/>
        </w:rPr>
        <w:t xml:space="preserve">The trade is now subject to bilateral UMR (Phase 5/6). Initial Margin is computed under ISDA SIMM. Dealer funding cost: 4.00% p.a. IM remuneration rate: 3.20% (OIS). Funding spread sₘ = 80 bps.</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Step 1: SIMM IM at Inception</w:t>
      </w:r>
    </w:p>
    <w:p>
      <w:pPr>
        <w:spacing w:after="60" w:before="60"/>
        <w:jc w:val="both"/>
      </w:pPr>
      <w:r>
        <w:rPr>
          <w:rFonts w:ascii="Calibri" w:cs="Calibri" w:eastAsia="Calibri" w:hAnsi="Calibri"/>
          <w:b w:val="false"/>
          <w:bCs w:val="false"/>
          <w:i w:val="false"/>
          <w:iCs w:val="false"/>
          <w:color w:val="1A1A2E"/>
          <w:sz w:val="22"/>
          <w:szCs w:val="22"/>
        </w:rPr>
        <w:t xml:space="preserve">For an IRS under ISDA SIMM v2.8+2506, IM is driven by the IR delta risk class. The portfolio DV01 for a EUR 100M 5Y IRS is approximately EUR 45,000 per bp. Scaled to SIMM sensitivity units (</w:t>
      </w:r>
      <w:r>
        <w:rPr>
          <w:rFonts w:ascii="Calibri" w:cs="Calibri" w:eastAsia="Calibri" w:hAnsi="Calibri"/>
          <w:b w:val="false"/>
          <w:bCs w:val="false"/>
          <w:i/>
          <w:iCs/>
          <w:color w:val="1A1A2E"/>
          <w:sz w:val="22"/>
          <w:szCs w:val="22"/>
        </w:rPr>
        <w:t xml:space="preserve">δ </w:t>
      </w:r>
      <w:r>
        <w:rPr>
          <w:rFonts w:ascii="Calibri" w:cs="Calibri" w:eastAsia="Calibri" w:hAnsi="Calibri"/>
          <w:b w:val="false"/>
          <w:bCs w:val="false"/>
          <w:i w:val="false"/>
          <w:iCs w:val="false"/>
          <w:color w:val="1A1A2E"/>
          <w:sz w:val="22"/>
          <w:szCs w:val="22"/>
        </w:rPr>
        <w:t xml:space="preserve">= DV01 × 10,000 / notional × notional = EUR 4,500,000 in sensitivity units). SIMM Risk Weight for EUR 5Y bucket: RW ≈ 75 bps (v2.8+2506 confirms EUR IR delta remains within the 70–80 bps range — see calibration note in reference [3]).</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left w:val="single" w:color="028090" w:sz="4"/>
          <w:right w:val="single" w:color="028090" w:sz="4"/>
        </w:pBdr>
        <w:shd w:fill="1B2A4A" w:val="clear"/>
        <w:spacing w:after="40" w:before="40"/>
        <w:ind w:left="200" w:right="200"/>
        <w:jc w:val="center"/>
      </w:pPr>
      <w:r>
        <w:rPr>
          <w:rFonts w:ascii="Courier New" w:cs="Courier New" w:eastAsia="Courier New" w:hAnsi="Courier New"/>
          <w:b/>
          <w:bCs/>
          <w:color w:val="FFFFFF"/>
          <w:sz w:val="22"/>
          <w:szCs w:val="22"/>
        </w:rPr>
        <w:t xml:space="preserve">SIMM IM ≈ |δ| · RWᴵᴼ = EUR 4,500,000 × 75 bps = EUR 3,375,000</w:t>
      </w:r>
    </w:p>
    <w:p>
      <w:pPr>
        <w:spacing w:after="100" w:before="20"/>
        <w:jc w:val="center"/>
      </w:pPr>
      <w:r>
        <w:rPr>
          <w:rFonts w:ascii="Calibri" w:cs="Calibri" w:eastAsia="Calibri" w:hAnsi="Calibri"/>
          <w:i/>
          <w:iCs/>
          <w:color w:val="8A9BB0"/>
          <w:sz w:val="18"/>
          <w:szCs w:val="18"/>
        </w:rPr>
        <w:t xml:space="preserve">Simplified single-bucket approximation. Actual SIMM aggregates across tenor buckets with correlation matrix ρᴵⱼ, producing a lower figure due to netting. Single-bucket provides conservative upper bound.</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Step 2: IM Amortisation Profile &amp; MVA Calculation</w:t>
      </w:r>
    </w:p>
    <w:p>
      <w:pPr>
        <w:spacing w:after="60" w:before="60"/>
        <w:jc w:val="both"/>
      </w:pPr>
      <w:r>
        <w:rPr>
          <w:rFonts w:ascii="Calibri" w:cs="Calibri" w:eastAsia="Calibri" w:hAnsi="Calibri"/>
          <w:b w:val="false"/>
          <w:bCs w:val="false"/>
          <w:i w:val="false"/>
          <w:iCs w:val="false"/>
          <w:color w:val="1A1A2E"/>
          <w:sz w:val="22"/>
          <w:szCs w:val="22"/>
        </w:rPr>
        <w:t xml:space="preserve">IM declines as the trade ages and residual maturity shortens. We model linear amortisation from EUR 3.375M at inception to zero at maturity:</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1600"/>
        <w:gridCol w:w="1900"/>
        <w:gridCol w:w="1500"/>
        <w:gridCol w:w="1400"/>
        <w:gridCol w:w="2960"/>
      </w:tblGrid>
      <w:tr>
        <w:trPr>
          <w:tblHeader/>
        </w:trPr>
        <w:tc>
          <w:tcPr>
            <w:tcW w:type="dxa" w:w="1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Time t (yrs)</w:t>
            </w:r>
          </w:p>
        </w:tc>
        <w:tc>
          <w:tcPr>
            <w:tcW w:type="dxa" w:w="19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E[IM(t)] EUR M</w:t>
            </w:r>
          </w:p>
        </w:tc>
        <w:tc>
          <w:tcPr>
            <w:tcW w:type="dxa" w:w="1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sₘ (bps)</w:t>
            </w:r>
          </w:p>
        </w:tc>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B(0,t)</w:t>
            </w:r>
          </w:p>
        </w:tc>
        <w:tc>
          <w:tcPr>
            <w:tcW w:type="dxa" w:w="29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MVA contrib (EUR)</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3.038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0.9841</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−11,960</w:t>
            </w:r>
          </w:p>
        </w:tc>
      </w:tr>
      <w:tr>
        <w:trPr>
          <w:tblHeader w:val="false"/>
        </w:trPr>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1.0</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2.700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0.9685</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−20,877</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2.363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0.9531</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−18,014</w:t>
            </w:r>
          </w:p>
        </w:tc>
      </w:tr>
      <w:tr>
        <w:trPr>
          <w:tblHeader w:val="false"/>
        </w:trPr>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2.0</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2.025</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0.9380</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−15,194</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1.688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0.9232</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−12,451</w:t>
            </w:r>
          </w:p>
        </w:tc>
      </w:tr>
      <w:tr>
        <w:trPr>
          <w:tblHeader w:val="false"/>
        </w:trPr>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3.0</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1.350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0.9085</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−9,812</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1.013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0.8942</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−7,253</w:t>
            </w:r>
          </w:p>
        </w:tc>
      </w:tr>
      <w:tr>
        <w:trPr>
          <w:tblHeader w:val="false"/>
        </w:trPr>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4.0</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0.675</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0.8800</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−4,752</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4.5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0.338</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0.8661</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−2,347</w:t>
            </w:r>
          </w:p>
        </w:tc>
      </w:tr>
      <w:tr>
        <w:trPr>
          <w:tblHeader w:val="false"/>
        </w:trPr>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5.0</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0.000</w:t>
            </w:r>
          </w:p>
        </w:tc>
        <w:tc>
          <w:tcPr>
            <w:tcW w:type="dxa" w:w="1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80</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0.8524</w:t>
            </w:r>
          </w:p>
        </w:tc>
        <w:tc>
          <w:tcPr>
            <w:tcW w:type="dxa" w:w="2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0</w:t>
            </w:r>
          </w:p>
        </w:tc>
      </w:tr>
      <w:tr>
        <w:trPr>
          <w:tblHeader w:val="false"/>
        </w:trP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1A1A2E"/>
                <w:sz w:val="20"/>
                <w:szCs w:val="20"/>
              </w:rPr>
              <w:t xml:space="preserve">TOTAL MVA</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C0392B"/>
                <w:sz w:val="20"/>
                <w:szCs w:val="20"/>
              </w:rPr>
              <w:t xml:space="preserve">≈ −EUR 102,660</w:t>
            </w:r>
          </w:p>
        </w:tc>
      </w:tr>
    </w:tbl>
    <w:p>
      <w:pPr>
        <w:spacing w:after="80" w:before="40"/>
        <w:jc w:val="center"/>
      </w:pPr>
      <w:r>
        <w:rPr>
          <w:rFonts w:ascii="Calibri" w:cs="Calibri" w:eastAsia="Calibri" w:hAnsi="Calibri"/>
          <w:b w:val="false"/>
          <w:bCs w:val="false"/>
          <w:i/>
          <w:iCs/>
          <w:color w:val="8A9BB0"/>
          <w:sz w:val="18"/>
          <w:szCs w:val="18"/>
        </w:rPr>
        <w:t xml:space="preserve">MVA contrib = sₘ × E[IM(t)] × B(0,t) × Δt. Linear IM amortisation is illustrative; actual SIMM profiles are non-linear.</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Step 3: Total XVA for This Trade</w:t>
      </w:r>
    </w:p>
    <w:tbl>
      <w:tblPr>
        <w:tblW w:type="dxa" w:w="9360"/>
      </w:tblPr>
      <w:tblGrid>
        <w:gridCol w:w="2800"/>
        <w:gridCol w:w="2400"/>
        <w:gridCol w:w="4160"/>
      </w:tblGrid>
      <w:tr>
        <w:trPr>
          <w:tblHeader/>
        </w:trPr>
        <w:tc>
          <w:tcPr>
            <w:tcW w:type="dxa" w:w="2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XVA Component</w:t>
            </w:r>
          </w:p>
        </w:tc>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Amount (EUR)</w:t>
            </w:r>
          </w:p>
        </w:tc>
        <w:tc>
          <w:tcPr>
            <w:tcW w:type="dxa" w:w="41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Notes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 (Module 3)</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−€85,000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Counterparty BBB, 5Y CDS ≈ 100 bps</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 (Module 3)</w:t>
            </w:r>
          </w:p>
        </w:tc>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+€32,000</w:t>
            </w:r>
          </w:p>
        </w:tc>
        <w:tc>
          <w:tcPr>
            <w:tcW w:type="dxa" w:w="4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A-rated, 5Y CDS ≈ 50 bps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 (net, at-the-money)</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EUR 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Symmetric at inception; non-zero after rate moves</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w:t>
            </w:r>
          </w:p>
        </w:tc>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−€102,660</w:t>
            </w:r>
          </w:p>
        </w:tc>
        <w:tc>
          <w:tcPr>
            <w:tcW w:type="dxa" w:w="4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Uncleared Margin Rules bilateral IM, sₘ = 80 bps, SIMM v2.8+2506</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Total XVA Charge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−EUR 155,660</w:t>
            </w:r>
          </w:p>
        </w:tc>
        <w:tc>
          <w:tcPr>
            <w:tcW w:type="dxa" w:w="4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Added to bid-offer or charged explicitly</w:t>
            </w:r>
          </w:p>
        </w:tc>
      </w:tr>
    </w:tbl>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This illustrates why XVA desks exist: a trade that appears flat or slightly profitable on a risk-neutral basis carries approximately EUR 156K in all-in adjustments. Ignoring these costs means the trading desk books profits that the bank simultaneously pays out of treasury and regulatory capital.</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10. Regulatory Treatment: FRTB-CVA, SA-CCR &amp; UMR Interactions</w:t>
      </w:r>
    </w:p>
    <w:p>
      <w:pPr>
        <w:pStyle w:val="Heading2"/>
        <w:spacing w:after="80" w:before="220"/>
      </w:pPr>
      <w:r>
        <w:rPr>
          <w:rFonts w:ascii="Calibri" w:cs="Calibri" w:eastAsia="Calibri" w:hAnsi="Calibri"/>
          <w:b/>
          <w:bCs/>
          <w:color w:val="028090"/>
          <w:sz w:val="28"/>
          <w:szCs w:val="28"/>
        </w:rPr>
        <w:t xml:space="preserve">10.1 FVA and Regulatory Capital</w:t>
      </w:r>
    </w:p>
    <w:p>
      <w:pPr>
        <w:spacing w:after="60" w:before="60"/>
        <w:jc w:val="both"/>
      </w:pPr>
      <w:r>
        <w:rPr>
          <w:rFonts w:ascii="Calibri" w:cs="Calibri" w:eastAsia="Calibri" w:hAnsi="Calibri"/>
          <w:b w:val="false"/>
          <w:bCs w:val="false"/>
          <w:i w:val="false"/>
          <w:iCs w:val="false"/>
          <w:color w:val="1A1A2E"/>
          <w:sz w:val="22"/>
          <w:szCs w:val="22"/>
        </w:rPr>
        <w:t xml:space="preserve">FVA is a P&amp;L adjustment. It interacts with capital in several important ways: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IFRS 13 / GAAP: </w:t>
      </w:r>
      <w:r>
        <w:rPr>
          <w:rFonts w:ascii="Calibri" w:cs="Calibri" w:eastAsia="Calibri" w:hAnsi="Calibri"/>
          <w:b w:val="false"/>
          <w:bCs w:val="false"/>
          <w:i w:val="false"/>
          <w:iCs w:val="false"/>
          <w:color w:val="1A1A2E"/>
          <w:sz w:val="22"/>
          <w:szCs w:val="22"/>
        </w:rPr>
        <w:t xml:space="preserve">'Exit price' fair value effectively requires FVA inclusion for uncollateralised derivative positions.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Deferred Tax Assets: </w:t>
      </w:r>
      <w:r>
        <w:rPr>
          <w:rFonts w:ascii="Calibri" w:cs="Calibri" w:eastAsia="Calibri" w:hAnsi="Calibri"/>
          <w:b w:val="false"/>
          <w:bCs w:val="false"/>
          <w:i w:val="false"/>
          <w:iCs w:val="false"/>
          <w:color w:val="1A1A2E"/>
          <w:sz w:val="22"/>
          <w:szCs w:val="22"/>
        </w:rPr>
        <w:t xml:space="preserve">FVA reserves create DTA/DTL positions that affect CET1 capital under Basel III deduction rules.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Hedging of FVA: </w:t>
      </w:r>
      <w:r>
        <w:rPr>
          <w:rFonts w:ascii="Calibri" w:cs="Calibri" w:eastAsia="Calibri" w:hAnsi="Calibri"/>
          <w:b w:val="false"/>
          <w:bCs w:val="false"/>
          <w:i w:val="false"/>
          <w:iCs w:val="false"/>
          <w:color w:val="1A1A2E"/>
          <w:sz w:val="22"/>
          <w:szCs w:val="22"/>
        </w:rPr>
        <w:t xml:space="preserve">Banks attempt to hedge FVA risk using CDS or repo instruments. Hedge positions themselves consume market risk capital under FRTB.</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10.2 MVA and the UMR Regulatory Framework</w:t>
      </w:r>
    </w:p>
    <w:tbl>
      <w:tblPr>
        <w:tblW w:type="dxa" w:w="9360"/>
      </w:tblPr>
      <w:tblGrid>
        <w:gridCol w:w="2800"/>
        <w:gridCol w:w="1400"/>
        <w:gridCol w:w="5160"/>
      </w:tblGrid>
      <w:tr>
        <w:trPr>
          <w:tblHeader/>
        </w:trPr>
        <w:tc>
          <w:tcPr>
            <w:tcW w:type="dxa" w:w="2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Regulation</w:t>
            </w:r>
          </w:p>
        </w:tc>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Jurisdiction</w:t>
            </w:r>
          </w:p>
        </w:tc>
        <w:tc>
          <w:tcPr>
            <w:tcW w:type="dxa" w:w="51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MVA Impact</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BCBS-IOSCO UMR (2015)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Global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Creates IM requirement; primary driver of MVA</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EMIR Refit</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Phase 5/6 brings pension funds into scope; increases MVA</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Dodd-Frank / SEC Rule (2022)</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US</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Extended scope to equity derivatives; new MVA populations</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SA-CCR (Basel III)</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Global</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Higher EAD increases cleared IM requirements</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FRTB-CVA Framework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Global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 hedges NOT recognised as CVA hedges → regulatory/economic basis</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CRR III (EU, 2025)</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w:t>
            </w:r>
          </w:p>
        </w:tc>
        <w:tc>
          <w:tcPr>
            <w:tcW w:type="dxa" w:w="5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Output floor may increase RWA; indirectly raises funding costs</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10.3 FRTB-CVA Interaction</w:t>
      </w:r>
    </w:p>
    <w:p>
      <w:pPr>
        <w:spacing w:after="60" w:before="60"/>
        <w:jc w:val="both"/>
      </w:pPr>
      <w:r>
        <w:rPr>
          <w:rFonts w:ascii="Calibri" w:cs="Calibri" w:eastAsia="Calibri" w:hAnsi="Calibri"/>
          <w:b w:val="false"/>
          <w:bCs w:val="false"/>
          <w:i w:val="false"/>
          <w:iCs w:val="false"/>
          <w:color w:val="1A1A2E"/>
          <w:sz w:val="22"/>
          <w:szCs w:val="22"/>
        </w:rPr>
        <w:t xml:space="preserve">Under FRTB-CVA (SA-CVA), banks compute sensitivity-based capital charges covering the market risk of CVA itself. FVA hedges — instruments used to manage FVA risk — are not recognised as CVA hedges under FRTB-CVA, creating a basis: the bank may have economic hedges that do not reduce regulatory capital. This is a material ongoing industry concern.</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10.4 The Cleared vs Bilateral Choice</w:t>
      </w:r>
    </w:p>
    <w:tbl>
      <w:tblPr>
        <w:tblW w:type="dxa" w:w="9360"/>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Factor</w:t>
            </w:r>
          </w:p>
        </w:tc>
        <w:tc>
          <w:tcPr>
            <w:tcW w:type="dxa" w:w="34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Bilateral (OTC)</w:t>
            </w:r>
          </w:p>
        </w:tc>
        <w:tc>
          <w:tcPr>
            <w:tcW w:type="dxa" w:w="348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Cleared (CCP)</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CVA/DVA</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Applies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Zero (CCP-guaranteed)</w:t>
            </w:r>
          </w:p>
        </w:tc>
      </w:tr>
      <w:tr>
        <w:trPr>
          <w:tblHeader w:val="false"/>
        </w:trP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w:t>
            </w:r>
          </w:p>
        </w:tc>
        <w:tc>
          <w:tcPr>
            <w:tcW w:type="dxa" w:w="34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Applies if no or partial CSA</w:t>
            </w:r>
          </w:p>
        </w:tc>
        <w:tc>
          <w:tcPr>
            <w:tcW w:type="dxa" w:w="34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Near-zero (daily VM settlement)</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High (SIMM IM, segregated, no rehypo)</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Lower (CCP model, portfolio netting)</w:t>
            </w:r>
          </w:p>
        </w:tc>
      </w:tr>
      <w:tr>
        <w:trPr>
          <w:tblHeader w:val="false"/>
        </w:trP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VM settlement</w:t>
            </w:r>
          </w:p>
        </w:tc>
        <w:tc>
          <w:tcPr>
            <w:tcW w:type="dxa" w:w="34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Periodic (may not be daily)</w:t>
            </w:r>
          </w:p>
        </w:tc>
        <w:tc>
          <w:tcPr>
            <w:tcW w:type="dxa" w:w="34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Daily (CCP requirement)</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Netting benefit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Within bilateral netting set only</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Across CCP member portfolio</w:t>
            </w:r>
          </w:p>
        </w:tc>
      </w:tr>
    </w:tbl>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The choice to clear is now a quantitative optimisation: total XVA (CVA + FVA + MVA + KVA) must be computed for both routes, along with operational costs and netting benefits.</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10B. Stress Scenarios: Funding Spreads, CCP Margin Calls &amp; Credit Deterioration</w:t>
      </w:r>
    </w:p>
    <w:p>
      <w:pPr>
        <w:spacing w:after="60" w:before="60"/>
        <w:jc w:val="both"/>
      </w:pPr>
      <w:r>
        <w:rPr>
          <w:rFonts w:ascii="Calibri" w:cs="Calibri" w:eastAsia="Calibri" w:hAnsi="Calibri"/>
          <w:b w:val="false"/>
          <w:bCs w:val="false"/>
          <w:i w:val="false"/>
          <w:iCs w:val="false"/>
          <w:color w:val="1A1A2E"/>
          <w:sz w:val="22"/>
          <w:szCs w:val="22"/>
        </w:rPr>
        <w:t xml:space="preserve">XVA is not static. The same trade that carries modest FVA and MVA in normal markets can generate material losses in stress. The following three scenarios are applied to the EUR 100M 10Y IRS from Section 7B Case 3 (no CSA baseline, 50 bp adverse rate move already in place).</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Scenario 1: Funding Spread Widening (+100 bps)</w:t>
      </w:r>
    </w:p>
    <w:p>
      <w:pPr>
        <w:spacing w:after="60" w:before="60"/>
        <w:jc w:val="both"/>
      </w:pPr>
      <w:r>
        <w:rPr>
          <w:rFonts w:ascii="Calibri" w:cs="Calibri" w:eastAsia="Calibri" w:hAnsi="Calibri"/>
          <w:b w:val="false"/>
          <w:bCs w:val="false"/>
          <w:i w:val="false"/>
          <w:iCs w:val="false"/>
          <w:color w:val="1A1A2E"/>
          <w:sz w:val="22"/>
          <w:szCs w:val="22"/>
        </w:rPr>
        <w:t xml:space="preserve">Analogous to the 2008 crisis and March 2020 COVID shock. Dealer unsecured funding spread widens from 80 bps to 180 bps. Trade is 50 bps adverse (EUR 6M ITM for dealer).</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3600"/>
        <w:gridCol w:w="2000"/>
        <w:gridCol w:w="2000"/>
        <w:gridCol w:w="1760"/>
      </w:tblGrid>
      <w:tr>
        <w:trPr>
          <w:tblHeader/>
        </w:trPr>
        <w:tc>
          <w:tcPr>
            <w:tcW w:type="dxa" w:w="3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Metric</w:t>
            </w:r>
          </w:p>
        </w:tc>
        <w:tc>
          <w:tcPr>
            <w:tcW w:type="dxa" w:w="2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Base (80 bps)</w:t>
            </w:r>
          </w:p>
        </w:tc>
        <w:tc>
          <w:tcPr>
            <w:tcW w:type="dxa" w:w="2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Stress (180 bps)</w:t>
            </w:r>
          </w:p>
        </w:tc>
        <w:tc>
          <w:tcPr>
            <w:tcW w:type="dxa" w:w="17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Change</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FCA (funding cost on EPE)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1,100K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2,475K</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1,375K</w:t>
            </w:r>
          </w:p>
        </w:tc>
      </w:tr>
      <w:tr>
        <w:trPr>
          <w:tblHeader w:val="false"/>
        </w:trPr>
        <w:tc>
          <w:tcPr>
            <w:tcW w:type="dxa" w:w="3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FBA (funding benefit on ENE)</w:t>
            </w:r>
          </w:p>
        </w:tc>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420K</w:t>
            </w:r>
          </w:p>
        </w:tc>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945K</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525K</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Net FVA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680K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1,530K</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850K</w:t>
            </w:r>
          </w:p>
        </w:tc>
      </w:tr>
      <w:tr>
        <w:trPr>
          <w:tblHeader w:val="false"/>
        </w:trPr>
        <w:tc>
          <w:tcPr>
            <w:tcW w:type="dxa" w:w="3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 (unchanged IM, wider sₘ)</w:t>
            </w:r>
          </w:p>
        </w:tc>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185K</w:t>
            </w:r>
          </w:p>
        </w:tc>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416K</w:t>
            </w:r>
          </w:p>
        </w:tc>
        <w:tc>
          <w:tcPr>
            <w:tcW w:type="dxa" w:w="1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231K</w:t>
            </w:r>
          </w:p>
        </w:tc>
      </w:tr>
      <w:tr>
        <w:trPr>
          <w:tblHeader w:val="false"/>
        </w:trP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Total FVA + MVA impact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865K</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1,946K</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1,081K</w:t>
            </w:r>
          </w:p>
        </w:tc>
      </w:tr>
    </w:tbl>
    <w:p>
      <w:pPr>
        <w:spacing w:after="80" w:before="40"/>
        <w:jc w:val="center"/>
      </w:pPr>
      <w:r>
        <w:rPr>
          <w:rFonts w:ascii="Calibri" w:cs="Calibri" w:eastAsia="Calibri" w:hAnsi="Calibri"/>
          <w:i/>
          <w:iCs/>
          <w:color w:val="8A9BB0"/>
          <w:sz w:val="18"/>
          <w:szCs w:val="18"/>
        </w:rPr>
        <w:t xml:space="preserve">FCA/FBA scale linearly with sᴼ. MVA spread sₘ also widens +100 bps. CVA excluded (separate credit stress). Approximate.</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A dealer running a EUR 10B uncollateralised book with 80 bps exposure-weighted FVA faces an additional EUR 108M in funding costs if spreads widen 100 bps. This is a cash flow requirement from treasury, not a mark-to-market loss. Banks that do not reserve FVA dynamically face sudden P&amp;L hits in stress that look like trading losses but are actually funding costs.</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Scenario 2: CCP Initial Margin Call Spike (March 2020 Style)</w:t>
      </w:r>
    </w:p>
    <w:p>
      <w:pPr>
        <w:spacing w:after="60" w:before="60"/>
        <w:jc w:val="both"/>
      </w:pPr>
      <w:r>
        <w:rPr>
          <w:rFonts w:ascii="Calibri" w:cs="Calibri" w:eastAsia="Calibri" w:hAnsi="Calibri"/>
          <w:b w:val="false"/>
          <w:bCs w:val="false"/>
          <w:i w:val="false"/>
          <w:iCs w:val="false"/>
          <w:color w:val="1A1A2E"/>
          <w:sz w:val="22"/>
          <w:szCs w:val="22"/>
        </w:rPr>
        <w:t xml:space="preserve">During the March 2020 COVID shock, CCP IM requirements increased 30–60% within days as volatility spiked. For a cleared equivalent of our 10Y IRS, this generates an acute liquidity event.</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2800"/>
        <w:gridCol w:w="2100"/>
        <w:gridCol w:w="2500"/>
        <w:gridCol w:w="2060"/>
      </w:tblGrid>
      <w:tr>
        <w:trPr>
          <w:tblHeader/>
        </w:trPr>
        <w:tc>
          <w:tcPr>
            <w:tcW w:type="dxa" w:w="28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Metric</w:t>
            </w:r>
          </w:p>
        </w:tc>
        <w:tc>
          <w:tcPr>
            <w:tcW w:type="dxa" w:w="21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Base (σ=80bps)</w:t>
            </w:r>
          </w:p>
        </w:tc>
        <w:tc>
          <w:tcPr>
            <w:tcW w:type="dxa" w:w="2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Stress (σ=200bps)</w:t>
            </w:r>
          </w:p>
        </w:tc>
        <w:tc>
          <w:tcPr>
            <w:tcW w:type="dxa" w:w="20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Change</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CCP IM at inception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EUR 3.8M</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EUR 9.5M</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5.7M</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Intraday margin call</w:t>
            </w:r>
          </w:p>
        </w:tc>
        <w:tc>
          <w:tcPr>
            <w:tcW w:type="dxa" w:w="21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w:t>
            </w:r>
          </w:p>
        </w:tc>
        <w:tc>
          <w:tcPr>
            <w:tcW w:type="dxa" w:w="2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5.7M cash required same day</w:t>
            </w:r>
          </w:p>
        </w:tc>
        <w:tc>
          <w:tcPr>
            <w:tcW w:type="dxa" w:w="20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Acute liquidity event</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Annual MVA (sₘ=80bps)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185K</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462K</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277K</w:t>
            </w:r>
          </w:p>
        </w:tc>
      </w:tr>
      <w:tr>
        <w:trPr>
          <w:tblHeader w:val="false"/>
        </w:trP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Liquidity buffer required</w:t>
            </w:r>
          </w:p>
        </w:tc>
        <w:tc>
          <w:tcPr>
            <w:tcW w:type="dxa" w:w="21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Minimal</w:t>
            </w:r>
          </w:p>
        </w:tc>
        <w:tc>
          <w:tcPr>
            <w:tcW w:type="dxa" w:w="25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5.7M unencumbered cash/HQLAs</w:t>
            </w:r>
          </w:p>
        </w:tc>
        <w:tc>
          <w:tcPr>
            <w:tcW w:type="dxa" w:w="20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Balance sheet impact</w:t>
            </w:r>
          </w:p>
        </w:tc>
      </w:tr>
    </w:tbl>
    <w:p>
      <w:pPr>
        <w:spacing w:after="80" w:before="40"/>
        <w:jc w:val="center"/>
      </w:pPr>
      <w:r>
        <w:rPr>
          <w:rFonts w:ascii="Calibri" w:cs="Calibri" w:eastAsia="Calibri" w:hAnsi="Calibri"/>
          <w:i/>
          <w:iCs/>
          <w:color w:val="8A9BB0"/>
          <w:sz w:val="18"/>
          <w:szCs w:val="18"/>
        </w:rPr>
        <w:t xml:space="preserve">IM scales approximately with σ. March 2020 saw normal vol double to treble within 2 weeks. HQLA = High Quality Liquid Assets.</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The key risk is not the incremental annual MVA (EUR 277K) but the EUR 5.7M intraday cash call that must be met from unencumbered reserves or HQLA liquidation. MVA is the price of pre-positioning that liquidity — the variation margin system failed in 2008 precisely because firms could not meet intraday calls in stress. UMR was designed to pre-empt exactly this scenario.</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Scenario 3: Counterparty Credit Deterioration (BBB → BB)</w:t>
      </w:r>
    </w:p>
    <w:p>
      <w:pPr>
        <w:spacing w:after="60" w:before="60"/>
        <w:jc w:val="both"/>
      </w:pPr>
      <w:r>
        <w:rPr>
          <w:rFonts w:ascii="Calibri" w:cs="Calibri" w:eastAsia="Calibri" w:hAnsi="Calibri"/>
          <w:b w:val="false"/>
          <w:bCs w:val="false"/>
          <w:i w:val="false"/>
          <w:iCs w:val="false"/>
          <w:color w:val="1A1A2E"/>
          <w:sz w:val="22"/>
          <w:szCs w:val="22"/>
        </w:rPr>
        <w:t xml:space="preserve">The counterparty is downgraded one notch during the life of the trade. Trade is 50 bps adverse (EUR 6M ITM for dealer).</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3000"/>
        <w:gridCol w:w="2000"/>
        <w:gridCol w:w="2200"/>
        <w:gridCol w:w="2160"/>
      </w:tblGrid>
      <w:tr>
        <w:trPr>
          <w:tblHeader/>
        </w:trPr>
        <w:tc>
          <w:tcPr>
            <w:tcW w:type="dxa" w:w="3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Metric</w:t>
            </w:r>
          </w:p>
        </w:tc>
        <w:tc>
          <w:tcPr>
            <w:tcW w:type="dxa" w:w="2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Base (BBB, CDS=100bps)</w:t>
            </w:r>
          </w:p>
        </w:tc>
        <w:tc>
          <w:tcPr>
            <w:tcW w:type="dxa" w:w="2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Stress (BB, CDS=300bps)</w:t>
            </w:r>
          </w:p>
        </w:tc>
        <w:tc>
          <w:tcPr>
            <w:tcW w:type="dxa" w:w="21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Change</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 (on EUR 6M EPE)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165K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495K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330K</w:t>
            </w:r>
          </w:p>
        </w:tc>
      </w:tr>
      <w:tr>
        <w:trPr>
          <w:tblHeader w:val="false"/>
        </w:trP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w:t>
            </w:r>
          </w:p>
        </w:tc>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55K</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55K</w:t>
            </w:r>
          </w:p>
        </w:tc>
        <w:tc>
          <w:tcPr>
            <w:tcW w:type="dxa" w:w="2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Unchanged (dealer unchanged)</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680K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680K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Unchanged</w:t>
            </w:r>
          </w:p>
        </w:tc>
      </w:tr>
      <w:tr>
        <w:trPr>
          <w:tblHeader w:val="false"/>
        </w:trP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Wrong-Way Risk (WWR) adjustment</w:t>
            </w:r>
          </w:p>
        </w:tc>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None</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75K est.</w:t>
            </w:r>
          </w:p>
        </w:tc>
        <w:tc>
          <w:tcPr>
            <w:tcW w:type="dxa" w:w="2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75K</w:t>
            </w:r>
          </w:p>
        </w:tc>
      </w:tr>
      <w:tr>
        <w:trPr>
          <w:tblHeader w:val="false"/>
        </w:trP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Total CVA + DVA + FVA + WWR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790K</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1,195K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405K</w:t>
            </w:r>
          </w:p>
        </w:tc>
      </w:tr>
      <w:tr>
        <w:trPr>
          <w:tblHeader w:val="false"/>
        </w:trP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Day-1 P&amp;L reserve impact</w:t>
            </w:r>
          </w:p>
        </w:tc>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w:t>
            </w:r>
          </w:p>
        </w:tc>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405K mark</w:t>
            </w:r>
          </w:p>
        </w:tc>
        <w:tc>
          <w:tcPr>
            <w:tcW w:type="dxa" w:w="2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Immediate P&amp;L charge</w:t>
            </w:r>
          </w:p>
        </w:tc>
      </w:tr>
    </w:tbl>
    <w:p>
      <w:pPr>
        <w:spacing w:after="80" w:before="40"/>
        <w:jc w:val="center"/>
      </w:pPr>
      <w:r>
        <w:rPr>
          <w:rFonts w:ascii="Calibri" w:cs="Calibri" w:eastAsia="Calibri" w:hAnsi="Calibri"/>
          <w:i/>
          <w:iCs/>
          <w:color w:val="8A9BB0"/>
          <w:sz w:val="18"/>
          <w:szCs w:val="18"/>
        </w:rPr>
        <w:t xml:space="preserve">CVA = spread × EPE × LGD (simplified). WWR = rate/credit correlation desk estimate. LGD = 0.60 assumed. Approximate.</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A single-notch downgrade generates an immediate EUR 405K P&amp;L charge. This is why CVA desks hedge credit risk dynamically using CDS. It also illustrates the core XVA interaction: FVA is unchanged by the counterparty downgrade, but CVA triples. Managing XVA components in isolation creates blind spots.</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Stress Scenario Summary</w:t>
      </w:r>
    </w:p>
    <w:tbl>
      <w:tblPr>
        <w:tblW w:type="dxa" w:w="9360"/>
      </w:tblPr>
      <w:tblGrid>
        <w:gridCol w:w="2600"/>
        <w:gridCol w:w="1600"/>
        <w:gridCol w:w="3000"/>
        <w:gridCol w:w="2160"/>
      </w:tblGrid>
      <w:tr>
        <w:trPr>
          <w:tblHeader/>
        </w:trPr>
        <w:tc>
          <w:tcPr>
            <w:tcW w:type="dxa" w:w="2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Stress Event</w:t>
            </w:r>
          </w:p>
        </w:tc>
        <w:tc>
          <w:tcPr>
            <w:tcW w:type="dxa" w:w="1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Primary XVA</w:t>
            </w:r>
          </w:p>
        </w:tc>
        <w:tc>
          <w:tcPr>
            <w:tcW w:type="dxa" w:w="3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Approx. P&amp;L Impact</w:t>
            </w:r>
          </w:p>
        </w:tc>
        <w:tc>
          <w:tcPr>
            <w:tcW w:type="dxa" w:w="21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Primary Risk Channel</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Funding spread +100 bps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 + MVA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1.1M mark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Treasury / funding liquidity</w:t>
            </w:r>
          </w:p>
        </w:tc>
      </w:tr>
      <w:tr>
        <w:trPr>
          <w:tblHeader w:val="false"/>
        </w:trP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CCP IM spike (vol ×2.5)</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 + liquidity</w:t>
            </w:r>
          </w:p>
        </w:tc>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277K p.a. + EUR 5.7M cash call</w:t>
            </w:r>
          </w:p>
        </w:tc>
        <w:tc>
          <w:tcPr>
            <w:tcW w:type="dxa" w:w="2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Intraday liquidity</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Counterparty BB downgrade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 + WWR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405K mark</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Credit P&amp;L</w:t>
            </w:r>
          </w:p>
        </w:tc>
      </w:tr>
      <w:tr>
        <w:trPr>
          <w:tblHeader w:val="false"/>
        </w:trP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Combined stress</w:t>
            </w:r>
          </w:p>
        </w:tc>
        <w:tc>
          <w:tcPr>
            <w:tcW w:type="dxa" w:w="1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All XVA</w:t>
            </w:r>
          </w:p>
        </w:tc>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−EUR 1.8M + EUR 5.7M cash</w:t>
            </w:r>
          </w:p>
        </w:tc>
        <w:tc>
          <w:tcPr>
            <w:tcW w:type="dxa" w:w="2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Systemic / multi-factor</w:t>
            </w:r>
          </w:p>
        </w:tc>
      </w:tr>
    </w:tbl>
    <w:p>
      <w:pPr>
        <w:spacing w:after="120" w:before="40"/>
        <w:jc w:val="center"/>
      </w:pPr>
      <w:r>
        <w:rPr>
          <w:rFonts w:ascii="Calibri" w:cs="Calibri" w:eastAsia="Calibri" w:hAnsi="Calibri"/>
          <w:i/>
          <w:iCs/>
          <w:color w:val="8A9BB0"/>
          <w:sz w:val="18"/>
          <w:szCs w:val="18"/>
        </w:rPr>
        <w:t xml:space="preserve">Historical analogue: March 2020. Combined stress assumes simultaneous occurrence. All figures approximate and illustrative.</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11. Crisis Case Studies</w:t>
      </w:r>
    </w:p>
    <w:p>
      <w:pPr>
        <w:pStyle w:val="Heading2"/>
        <w:spacing w:after="80" w:before="220"/>
      </w:pPr>
      <w:r>
        <w:rPr>
          <w:rFonts w:ascii="Calibri" w:cs="Calibri" w:eastAsia="Calibri" w:hAnsi="Calibri"/>
          <w:b/>
          <w:bCs/>
          <w:color w:val="028090"/>
          <w:sz w:val="28"/>
          <w:szCs w:val="28"/>
        </w:rPr>
        <w:t xml:space="preserve">11.1 Lehman Brothers Collapse (September 2008)</w:t>
      </w:r>
    </w:p>
    <w:p>
      <w:pPr>
        <w:spacing w:after="60" w:before="60"/>
        <w:jc w:val="both"/>
      </w:pPr>
      <w:r>
        <w:rPr>
          <w:rFonts w:ascii="Calibri" w:cs="Calibri" w:eastAsia="Calibri" w:hAnsi="Calibri"/>
          <w:b w:val="false"/>
          <w:bCs w:val="false"/>
          <w:i w:val="false"/>
          <w:iCs w:val="false"/>
          <w:color w:val="1A1A2E"/>
          <w:sz w:val="22"/>
          <w:szCs w:val="22"/>
        </w:rPr>
        <w:t xml:space="preserve">When Lehman filed for Chapter 11 on 15 September 2008, it had an OTC derivatives portfolio of approximately 900,000 contracts with notional value exceeding USD 35 trillion. The resolution exposed several FVA-relevant failures: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Unsecured exposure: </w:t>
      </w:r>
      <w:r>
        <w:rPr>
          <w:rFonts w:ascii="Calibri" w:cs="Calibri" w:eastAsia="Calibri" w:hAnsi="Calibri"/>
          <w:b w:val="false"/>
          <w:bCs w:val="false"/>
          <w:i w:val="false"/>
          <w:iCs w:val="false"/>
          <w:color w:val="1A1A2E"/>
          <w:sz w:val="22"/>
          <w:szCs w:val="22"/>
        </w:rPr>
        <w:t xml:space="preserve">Many trades lacked robust CSAs. Counterparties discovered that receivables they expected to collect were now unsecured claims against the bankruptcy estate.</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Funding spiral: </w:t>
      </w:r>
      <w:r>
        <w:rPr>
          <w:rFonts w:ascii="Calibri" w:cs="Calibri" w:eastAsia="Calibri" w:hAnsi="Calibri"/>
          <w:b w:val="false"/>
          <w:bCs w:val="false"/>
          <w:i w:val="false"/>
          <w:iCs w:val="false"/>
          <w:color w:val="1A1A2E"/>
          <w:sz w:val="22"/>
          <w:szCs w:val="22"/>
        </w:rPr>
        <w:t xml:space="preserve">As Lehman's credit deteriorated in the months before default, its funding costs surged. Internal funding spreads reportedly exceeded 300 bps in August 2008 — a classic FCA squeeze.</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Repo market freeze: </w:t>
      </w:r>
      <w:r>
        <w:rPr>
          <w:rFonts w:ascii="Calibri" w:cs="Calibri" w:eastAsia="Calibri" w:hAnsi="Calibri"/>
          <w:b w:val="false"/>
          <w:bCs w:val="false"/>
          <w:i w:val="false"/>
          <w:iCs w:val="false"/>
          <w:color w:val="1A1A2E"/>
          <w:sz w:val="22"/>
          <w:szCs w:val="22"/>
        </w:rPr>
        <w:t xml:space="preserve">Lehman relied heavily on repo for short-term funding of its derivatives portfolio. When repo counterparties withdrew facilities, Lehman faced immediate liquidity failure.</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Resolution cost: </w:t>
      </w:r>
      <w:r>
        <w:rPr>
          <w:rFonts w:ascii="Calibri" w:cs="Calibri" w:eastAsia="Calibri" w:hAnsi="Calibri"/>
          <w:b w:val="false"/>
          <w:bCs w:val="false"/>
          <w:i w:val="false"/>
          <w:iCs w:val="false"/>
          <w:color w:val="1A1A2E"/>
          <w:sz w:val="22"/>
          <w:szCs w:val="22"/>
        </w:rPr>
        <w:t xml:space="preserve">Winding down the portfolio through the PwC administration took years and cost billions. Had FVA been properly charged, Lehman's pricing would have reflected the true cost of its high funding spread.</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11.2 The 2008–2009 Funding Crisis: Systemic FVA Implications</w:t>
      </w:r>
    </w:p>
    <w:p>
      <w:pPr>
        <w:spacing w:after="60" w:before="60"/>
        <w:jc w:val="both"/>
      </w:pPr>
      <w:r>
        <w:rPr>
          <w:rFonts w:ascii="Calibri" w:cs="Calibri" w:eastAsia="Calibri" w:hAnsi="Calibri"/>
          <w:b w:val="false"/>
          <w:bCs w:val="false"/>
          <w:i w:val="false"/>
          <w:iCs w:val="false"/>
          <w:color w:val="1A1A2E"/>
          <w:sz w:val="22"/>
          <w:szCs w:val="22"/>
        </w:rPr>
        <w:t xml:space="preserve">The broader 2008 crisis created the conditions that made FVA a mainstream concern. The LIBOR-OIS spread — a key measure of bank funding stress — widened from approximately 10 bps pre-crisis to over 360 bps in October 2008. This meant the difference between risk-neutral (OIS) pricing and real-world (bank funding) pricing had grown by more than 35x. Banks that had been ignoring this spread suddenly faced P&amp;L holes attributable not to trading losses but to funding losses that should have been reserved from day one.</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11.3 JP Morgan FVA Charge (January 2014)</w:t>
      </w:r>
    </w:p>
    <w:p>
      <w:pPr>
        <w:spacing w:after="60" w:before="60"/>
        <w:jc w:val="both"/>
      </w:pPr>
      <w:r>
        <w:rPr>
          <w:rFonts w:ascii="Calibri" w:cs="Calibri" w:eastAsia="Calibri" w:hAnsi="Calibri"/>
          <w:b w:val="false"/>
          <w:bCs w:val="false"/>
          <w:i w:val="false"/>
          <w:iCs w:val="false"/>
          <w:color w:val="1A1A2E"/>
          <w:sz w:val="22"/>
          <w:szCs w:val="22"/>
        </w:rPr>
        <w:t xml:space="preserve">JP Morgan's Q4 2013 earnings call included the first public quantification of FVA: a USD 1.5 billion loss booked against Q4 2013 results. Goldman Sachs, Bank of America, and Morgan Stanley followed within months, collectively booking multi-billion dollar FVA adjustments. The market interpreted this as validation that the entire industry had been systematically underpricing uncollateralised derivatives for years.</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11.4 UMR Phase 6 (September 2022): The MVA Inflection Point</w:t>
      </w:r>
    </w:p>
    <w:p>
      <w:pPr>
        <w:spacing w:after="60" w:before="60"/>
        <w:jc w:val="both"/>
      </w:pPr>
      <w:r>
        <w:rPr>
          <w:rFonts w:ascii="Calibri" w:cs="Calibri" w:eastAsia="Calibri" w:hAnsi="Calibri"/>
          <w:b w:val="false"/>
          <w:bCs w:val="false"/>
          <w:i w:val="false"/>
          <w:iCs w:val="false"/>
          <w:color w:val="1A1A2E"/>
          <w:sz w:val="22"/>
          <w:szCs w:val="22"/>
        </w:rPr>
        <w:t xml:space="preserve">Phase 6 of Uncleared Margin Rules brought mid-size asset managers, hedge funds, pension funds, and corporates with average aggregate notional above USD 8 billion into scope. Global bilateral IM under UMR reached USD 1.3 trillion by end-2022, up from USD 130 billion before Phase 1 (2016). Key consequences:</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IM amounts: </w:t>
      </w:r>
      <w:r>
        <w:rPr>
          <w:rFonts w:ascii="Calibri" w:cs="Calibri" w:eastAsia="Calibri" w:hAnsi="Calibri"/>
          <w:b w:val="false"/>
          <w:bCs w:val="false"/>
          <w:i w:val="false"/>
          <w:iCs w:val="false"/>
          <w:color w:val="1A1A2E"/>
          <w:sz w:val="22"/>
          <w:szCs w:val="22"/>
        </w:rPr>
        <w:t xml:space="preserve">USD 1.3 trillion in bilateral IM posted globally by end-2022.</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MVA impact: </w:t>
      </w:r>
      <w:r>
        <w:rPr>
          <w:rFonts w:ascii="Calibri" w:cs="Calibri" w:eastAsia="Calibri" w:hAnsi="Calibri"/>
          <w:b w:val="false"/>
          <w:bCs w:val="false"/>
          <w:i w:val="false"/>
          <w:iCs w:val="false"/>
          <w:color w:val="1A1A2E"/>
          <w:sz w:val="22"/>
          <w:szCs w:val="22"/>
        </w:rPr>
        <w:t xml:space="preserve">For a mid-size pension fund with EUR 5B in bilateral derivatives, the annual MVA cost increased by an estimated EUR 15–40M.</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Clearing incentive: </w:t>
      </w:r>
      <w:r>
        <w:rPr>
          <w:rFonts w:ascii="Calibri" w:cs="Calibri" w:eastAsia="Calibri" w:hAnsi="Calibri"/>
          <w:b w:val="false"/>
          <w:bCs w:val="false"/>
          <w:i w:val="false"/>
          <w:iCs w:val="false"/>
          <w:color w:val="1A1A2E"/>
          <w:sz w:val="22"/>
          <w:szCs w:val="22"/>
        </w:rPr>
        <w:t xml:space="preserve">Many buy-side firms moved bilateral trades to CCPs to reduce SIMM IM (which is higher than CCP IM for diversified portfolios due to model conservatism).</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Trade compression: </w:t>
      </w:r>
      <w:r>
        <w:rPr>
          <w:rFonts w:ascii="Calibri" w:cs="Calibri" w:eastAsia="Calibri" w:hAnsi="Calibri"/>
          <w:b w:val="false"/>
          <w:bCs w:val="false"/>
          <w:i w:val="false"/>
          <w:iCs w:val="false"/>
          <w:color w:val="1A1A2E"/>
          <w:sz w:val="22"/>
          <w:szCs w:val="22"/>
        </w:rPr>
        <w:t xml:space="preserve">MVA incentivised systematic portfolio compression — reducing gross notional to lower IM requirements without changing net risk.</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12. Advanced Topics: XVA Interactions &amp; Holistic Trader’s View</w:t>
      </w:r>
    </w:p>
    <w:p>
      <w:pPr>
        <w:spacing w:after="60" w:before="60"/>
        <w:jc w:val="both"/>
      </w:pPr>
      <w:r>
        <w:rPr>
          <w:rFonts w:ascii="Calibri" w:cs="Calibri" w:eastAsia="Calibri" w:hAnsi="Calibri"/>
          <w:b w:val="false"/>
          <w:bCs w:val="false"/>
          <w:i w:val="false"/>
          <w:iCs w:val="false"/>
          <w:color w:val="1A1A2E"/>
          <w:sz w:val="22"/>
          <w:szCs w:val="22"/>
        </w:rPr>
        <w:t xml:space="preserve">A derivatives desk does not manage CVA, FVA, and MVA in isolation. Every new trade affects the entire XVA stack simultaneously. This section provides three tools for practitioners: an XVA sensitivity matrix, a full P&amp;L attribution example, and a trade decision framework.</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12.1 FVA Asymmetry: Wrong-Way Risk</w:t>
      </w:r>
    </w:p>
    <w:p>
      <w:pPr>
        <w:spacing w:after="60" w:before="60"/>
        <w:jc w:val="both"/>
      </w:pPr>
      <w:r>
        <w:rPr>
          <w:rFonts w:ascii="Calibri" w:cs="Calibri" w:eastAsia="Calibri" w:hAnsi="Calibri"/>
          <w:b w:val="false"/>
          <w:bCs w:val="false"/>
          <w:i w:val="false"/>
          <w:iCs w:val="false"/>
          <w:color w:val="1A1A2E"/>
          <w:sz w:val="22"/>
          <w:szCs w:val="22"/>
        </w:rPr>
        <w:t xml:space="preserve">Standard FVA assumes sᴼ(t) is independent of V(t). In reality, significant correlation can exist: the funding spread may widen precisely when exposure also widens. This is analogous to Wrong-Way Risk in CVA.</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Wrong-way FVA: </w:t>
      </w:r>
      <w:r>
        <w:rPr>
          <w:rFonts w:ascii="Calibri" w:cs="Calibri" w:eastAsia="Calibri" w:hAnsi="Calibri"/>
          <w:b w:val="false"/>
          <w:bCs w:val="false"/>
          <w:i w:val="false"/>
          <w:iCs w:val="false"/>
          <w:color w:val="1A1A2E"/>
          <w:sz w:val="22"/>
          <w:szCs w:val="22"/>
        </w:rPr>
        <w:t xml:space="preserve">Dealer credit worsens (sᴼ widens) as trade moves ITM (EPE grows). True FVA &gt; independent calculation. Material for banks with high beta to credit markets.</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Right-way FVA: </w:t>
      </w:r>
      <w:r>
        <w:rPr>
          <w:rFonts w:ascii="Calibri" w:cs="Calibri" w:eastAsia="Calibri" w:hAnsi="Calibri"/>
          <w:b w:val="false"/>
          <w:bCs w:val="false"/>
          <w:i w:val="false"/>
          <w:iCs w:val="false"/>
          <w:color w:val="1A1A2E"/>
          <w:sz w:val="22"/>
          <w:szCs w:val="22"/>
        </w:rPr>
        <w:t xml:space="preserve">Dealer credit improves as exposure increases. FVA &lt; base case.</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Modelling: </w:t>
      </w:r>
      <w:r>
        <w:rPr>
          <w:rFonts w:ascii="Calibri" w:cs="Calibri" w:eastAsia="Calibri" w:hAnsi="Calibri"/>
          <w:b w:val="false"/>
          <w:bCs w:val="false"/>
          <w:i w:val="false"/>
          <w:iCs w:val="false"/>
          <w:color w:val="1A1A2E"/>
          <w:sz w:val="22"/>
          <w:szCs w:val="22"/>
        </w:rPr>
        <w:t xml:space="preserve">Requires joint simulation of market risk factors and dealer CDS spread — computationally intensive but increasingly required for accurate XVA at stressed conditions.</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12.2 Bilateral vs Unilateral FVA</w:t>
      </w:r>
    </w:p>
    <w:tbl>
      <w:tblPr>
        <w:tblW w:type="dxa" w:w="9360"/>
      </w:tblPr>
      <w:tblGrid>
        <w:gridCol w:w="2400"/>
        <w:gridCol w:w="3000"/>
        <w:gridCol w:w="3960"/>
      </w:tblGrid>
      <w:tr>
        <w:trPr>
          <w:tblHeader/>
        </w:trPr>
        <w:tc>
          <w:tcPr>
            <w:tcW w:type="dxa" w:w="2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Framework</w:t>
            </w:r>
          </w:p>
        </w:tc>
        <w:tc>
          <w:tcPr>
            <w:tcW w:type="dxa" w:w="3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Description</w:t>
            </w:r>
          </w:p>
        </w:tc>
        <w:tc>
          <w:tcPr>
            <w:tcW w:type="dxa" w:w="39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Implication</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Unilateral FVA</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Only the dealer's funding costs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Asymmetric: counterparty has different FVA. Price depends on who calculates.</w:t>
            </w:r>
          </w:p>
        </w:tc>
      </w:tr>
      <w:tr>
        <w:trPr>
          <w:tblHeader w:val="false"/>
        </w:trP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Bilateral FVA</w:t>
            </w:r>
          </w:p>
        </w:tc>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Both parties' funding costs averaged</w:t>
            </w:r>
          </w:p>
        </w:tc>
        <w:tc>
          <w:tcPr>
            <w:tcW w:type="dxa" w:w="3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Symmetric: both parties agree. Requires counterparty funding info.</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Semi-replication (Burgard-Kjaer)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Funding embedded in replication with own default modelled explicitly</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Theoretically consistent; avoids DVA/FVA double-count by construction.</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12.3 XVA Sensitivity Matrix</w:t>
      </w:r>
    </w:p>
    <w:p>
      <w:pPr>
        <w:spacing w:after="60" w:before="60"/>
        <w:jc w:val="both"/>
      </w:pPr>
      <w:r>
        <w:rPr>
          <w:rFonts w:ascii="Calibri" w:cs="Calibri" w:eastAsia="Calibri" w:hAnsi="Calibri"/>
          <w:b w:val="false"/>
          <w:bCs w:val="false"/>
          <w:i w:val="false"/>
          <w:iCs w:val="false"/>
          <w:color w:val="1A1A2E"/>
          <w:sz w:val="22"/>
          <w:szCs w:val="22"/>
        </w:rPr>
        <w:t xml:space="preserve">How each XVA component responds to key market variables — for a dealer with net long EPE (more ITM trades than OTM):</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2600"/>
        <w:gridCol w:w="1260"/>
        <w:gridCol w:w="1260"/>
        <w:gridCol w:w="1360"/>
        <w:gridCol w:w="1260"/>
        <w:gridCol w:w="1120"/>
      </w:tblGrid>
      <w:tr>
        <w:trPr>
          <w:tblHeader/>
        </w:trPr>
        <w:tc>
          <w:tcPr>
            <w:tcW w:type="dxa" w:w="2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Market Variable</w:t>
            </w:r>
          </w:p>
        </w:tc>
        <w:tc>
          <w:tcPr>
            <w:tcW w:type="dxa" w:w="12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CVA</w:t>
            </w:r>
          </w:p>
        </w:tc>
        <w:tc>
          <w:tcPr>
            <w:tcW w:type="dxa" w:w="12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DVA</w:t>
            </w:r>
          </w:p>
        </w:tc>
        <w:tc>
          <w:tcPr>
            <w:tcW w:type="dxa" w:w="13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FVA (FCA)</w:t>
            </w:r>
          </w:p>
        </w:tc>
        <w:tc>
          <w:tcPr>
            <w:tcW w:type="dxa" w:w="12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MVA</w:t>
            </w:r>
          </w:p>
        </w:tc>
        <w:tc>
          <w:tcPr>
            <w:tcW w:type="dxa" w:w="112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KVA</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Rates rise (dealer ITM ↑)</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 ↑ (EPE ↑)</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 ↓ (ENE ↓)</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FCA ↑ (more to fund)</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 ↑ (IM ↑)</w:t>
            </w:r>
          </w:p>
        </w:tc>
        <w:tc>
          <w:tcPr>
            <w:tcW w:type="dxa" w:w="1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KVA ↑ (RWA ↑)</w:t>
            </w:r>
          </w:p>
        </w:tc>
      </w:tr>
      <w:tr>
        <w:trPr>
          <w:tblHeader w:val="false"/>
        </w:trP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Rates fall (dealer OTM ↓)</w:t>
            </w:r>
          </w:p>
        </w:tc>
        <w:tc>
          <w:tcPr>
            <w:tcW w:type="dxa" w:w="12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 ↓ (EPE ↓)</w:t>
            </w:r>
          </w:p>
        </w:tc>
        <w:tc>
          <w:tcPr>
            <w:tcW w:type="dxa" w:w="12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 ↑ (ENE ↑)</w:t>
            </w:r>
          </w:p>
        </w:tc>
        <w:tc>
          <w:tcPr>
            <w:tcW w:type="dxa" w:w="1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FCA ↓ (less to fund)</w:t>
            </w:r>
          </w:p>
        </w:tc>
        <w:tc>
          <w:tcPr>
            <w:tcW w:type="dxa" w:w="12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 ↓ (IM ↓)</w:t>
            </w:r>
          </w:p>
        </w:tc>
        <w:tc>
          <w:tcPr>
            <w:tcW w:type="dxa" w:w="1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KVA ↓ (RWA ↓)</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Counterparty CDS widens</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 ↑ (cost ↑)</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 change</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 direct impact</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 direct impact</w:t>
            </w:r>
          </w:p>
        </w:tc>
        <w:tc>
          <w:tcPr>
            <w:tcW w:type="dxa" w:w="1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 direct impact</w:t>
            </w:r>
          </w:p>
        </w:tc>
      </w:tr>
      <w:tr>
        <w:trPr>
          <w:tblHeader w:val="false"/>
        </w:trP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Dealer CDS widens</w:t>
            </w:r>
          </w:p>
        </w:tc>
        <w:tc>
          <w:tcPr>
            <w:tcW w:type="dxa" w:w="12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 direct impact</w:t>
            </w:r>
          </w:p>
        </w:tc>
        <w:tc>
          <w:tcPr>
            <w:tcW w:type="dxa" w:w="12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 ↑ (gain ↑)</w:t>
            </w:r>
          </w:p>
        </w:tc>
        <w:tc>
          <w:tcPr>
            <w:tcW w:type="dxa" w:w="1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FCA ↑ (sᴼ widens)</w:t>
            </w:r>
          </w:p>
        </w:tc>
        <w:tc>
          <w:tcPr>
            <w:tcW w:type="dxa" w:w="12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 ↑ (sₘ widens)</w:t>
            </w:r>
          </w:p>
        </w:tc>
        <w:tc>
          <w:tcPr>
            <w:tcW w:type="dxa" w:w="1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No direct impact</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Volatility rises</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 ↑ (EPE ↑)</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 ↑ (ENE ↑)</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FCA/FBA both ↑</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 ↑ (SIMM IM ↑)</w:t>
            </w:r>
          </w:p>
        </w:tc>
        <w:tc>
          <w:tcPr>
            <w:tcW w:type="dxa" w:w="1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KVA ↑ (stressed RWA ↑)</w:t>
            </w:r>
          </w:p>
        </w:tc>
      </w:tr>
      <w:tr>
        <w:trPr>
          <w:tblHeader w:val="false"/>
        </w:trP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Netting trade added</w:t>
            </w:r>
          </w:p>
        </w:tc>
        <w:tc>
          <w:tcPr>
            <w:tcW w:type="dxa" w:w="12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 ↓ (netting)</w:t>
            </w:r>
          </w:p>
        </w:tc>
        <w:tc>
          <w:tcPr>
            <w:tcW w:type="dxa" w:w="12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 ↓ (netting)</w:t>
            </w:r>
          </w:p>
        </w:tc>
        <w:tc>
          <w:tcPr>
            <w:tcW w:type="dxa" w:w="1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 ↓ (netting)</w:t>
            </w:r>
          </w:p>
        </w:tc>
        <w:tc>
          <w:tcPr>
            <w:tcW w:type="dxa" w:w="12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 ↓ (SIMM netting)</w:t>
            </w:r>
          </w:p>
        </w:tc>
        <w:tc>
          <w:tcPr>
            <w:tcW w:type="dxa" w:w="1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KVA ↓ (lower EAD)</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Trade moves to clearing</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 → 0</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 → 0</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 → 0</w:t>
            </w:r>
          </w:p>
        </w:tc>
        <w:tc>
          <w:tcPr>
            <w:tcW w:type="dxa" w:w="1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 ↓ (CCP netting)</w:t>
            </w:r>
          </w:p>
        </w:tc>
        <w:tc>
          <w:tcPr>
            <w:tcW w:type="dxa" w:w="1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KVA ↓ (lower CCR RWA)</w:t>
            </w:r>
          </w:p>
        </w:tc>
      </w:tr>
    </w:tbl>
    <w:p>
      <w:pPr>
        <w:spacing w:after="100" w:before="40"/>
        <w:jc w:val="center"/>
      </w:pPr>
      <w:r>
        <w:rPr>
          <w:rFonts w:ascii="Calibri" w:cs="Calibri" w:eastAsia="Calibri" w:hAnsi="Calibri"/>
          <w:i/>
          <w:iCs/>
          <w:color w:val="8A9BB0"/>
          <w:sz w:val="18"/>
          <w:szCs w:val="18"/>
        </w:rPr>
        <w:t xml:space="preserve">↑ = increases; ↓ = decreases; → = moves to. Directional only. Magnitudes depend on portfolio composition.</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12.4 Full XVA P&amp;L Attribution: A Trader's Day</w:t>
      </w:r>
    </w:p>
    <w:p>
      <w:pPr>
        <w:spacing w:after="60" w:before="60"/>
        <w:jc w:val="both"/>
      </w:pPr>
      <w:r>
        <w:rPr>
          <w:rFonts w:ascii="Calibri" w:cs="Calibri" w:eastAsia="Calibri" w:hAnsi="Calibri"/>
          <w:b w:val="false"/>
          <w:bCs w:val="false"/>
          <w:i w:val="false"/>
          <w:iCs w:val="false"/>
          <w:color w:val="1A1A2E"/>
          <w:sz w:val="22"/>
          <w:szCs w:val="22"/>
        </w:rPr>
        <w:t xml:space="preserve">How a 25 bp parallel rate rise propagates through every XVA component on the EUR 100M 10Y IRS (no CSA, BBB counterparty):</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Pr>
      <w:tblGrid>
        <w:gridCol w:w="2600"/>
        <w:gridCol w:w="1900"/>
        <w:gridCol w:w="1900"/>
        <w:gridCol w:w="1400"/>
        <w:gridCol w:w="1560"/>
      </w:tblGrid>
      <w:tr>
        <w:trPr>
          <w:tblHeader/>
        </w:trPr>
        <w:tc>
          <w:tcPr>
            <w:tcW w:type="dxa" w:w="2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XVA Component</w:t>
            </w:r>
          </w:p>
        </w:tc>
        <w:tc>
          <w:tcPr>
            <w:tcW w:type="dxa" w:w="19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Before (flat rates)</w:t>
            </w:r>
          </w:p>
        </w:tc>
        <w:tc>
          <w:tcPr>
            <w:tcW w:type="dxa" w:w="19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After (+25bp)</w:t>
            </w:r>
          </w:p>
        </w:tc>
        <w:tc>
          <w:tcPr>
            <w:tcW w:type="dxa" w:w="14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Day P&amp;L</w:t>
            </w:r>
          </w:p>
        </w:tc>
        <w:tc>
          <w:tcPr>
            <w:tcW w:type="dxa" w:w="15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Driver</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Risk-neutral MtM</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0</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2,125K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2,125K</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DV01 × 25bp</w:t>
            </w:r>
          </w:p>
        </w:tc>
      </w:tr>
      <w:tr>
        <w:trPr>
          <w:tblHeader w:val="false"/>
        </w:trP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CVA</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165K</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210K</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45K</w:t>
            </w:r>
          </w:p>
        </w:tc>
        <w:tc>
          <w:tcPr>
            <w:tcW w:type="dxa" w:w="1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Higher EPE on ITM position</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DVA</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55K</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40K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15K</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Lower ENE as OTM side shrinks</w:t>
            </w:r>
          </w:p>
        </w:tc>
      </w:tr>
      <w:tr>
        <w:trPr>
          <w:tblHeader w:val="false"/>
        </w:trP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 (FCA)</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680K</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865K</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185K</w:t>
            </w:r>
          </w:p>
        </w:tc>
        <w:tc>
          <w:tcPr>
            <w:tcW w:type="dxa" w:w="1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EPE ↑ ⇒ more to fund</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FVA (FBA)</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420K</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310K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110K</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ENE ↓ ⇒ less funding received</w:t>
            </w:r>
          </w:p>
        </w:tc>
      </w:tr>
      <w:tr>
        <w:trPr>
          <w:tblHeader w:val="false"/>
        </w:trP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MVA</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185K</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200K</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15K</w:t>
            </w:r>
          </w:p>
        </w:tc>
        <w:tc>
          <w:tcPr>
            <w:tcW w:type="dxa" w:w="1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IM slightly ↑ with DV01 ↑</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KVA (est.)</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120K</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145K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25K</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RWA ↑ with EAD ↑</w:t>
            </w:r>
          </w:p>
        </w:tc>
      </w:tr>
      <w:tr>
        <w:trPr>
          <w:tblHeader w:val="false"/>
        </w:trP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Total XVA drag</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675K</w:t>
            </w:r>
          </w:p>
        </w:tc>
        <w:tc>
          <w:tcPr>
            <w:tcW w:type="dxa" w:w="19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1,070K</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395K</w:t>
            </w:r>
          </w:p>
        </w:tc>
        <w:tc>
          <w:tcPr>
            <w:tcW w:type="dxa" w:w="1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All components</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Net P&amp;L (MtM + XVA)</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1,450K</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1,055K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−EUR 395K</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XVA erodes 19% of MtM gain</w:t>
            </w:r>
          </w:p>
        </w:tc>
      </w:tr>
    </w:tbl>
    <w:p>
      <w:pPr>
        <w:spacing w:after="80" w:before="40"/>
        <w:jc w:val="center"/>
      </w:pPr>
      <w:r>
        <w:rPr>
          <w:rFonts w:ascii="Calibri" w:cs="Calibri" w:eastAsia="Calibri" w:hAnsi="Calibri"/>
          <w:i/>
          <w:iCs/>
          <w:color w:val="8A9BB0"/>
          <w:sz w:val="18"/>
          <w:szCs w:val="18"/>
        </w:rPr>
        <w:t xml:space="preserve">EUR 100M 10Y IRS, 80 bps funding spread, BBB counterparty (CDS 100 bps). KVA estimated at 15% CET1 cost of capital on SA-CCR EAD. Approximate.</w:t>
      </w:r>
    </w:p>
    <w:p>
      <w:pPr>
        <w:spacing w:after="40" w:before="40"/>
      </w:pPr>
      <w:r>
        <w:rPr>
          <w:rFonts w:ascii="Calibri" w:cs="Calibri" w:eastAsia="Calibri" w:hAnsi="Calibri"/>
          <w:b w:val="false"/>
          <w:bCs w:val="false"/>
          <w:i w:val="false"/>
          <w:iCs w:val="false"/>
          <w:color w:val="1A1A2E"/>
          <w:sz w:val="22"/>
          <w:szCs w:val="22"/>
        </w:rPr>
        <w:t xml:space="preserve"/>
      </w:r>
    </w:p>
    <w:p>
      <w:pPr>
        <w:spacing w:after="60" w:before="60"/>
        <w:jc w:val="both"/>
      </w:pPr>
      <w:r>
        <w:rPr>
          <w:rFonts w:ascii="Calibri" w:cs="Calibri" w:eastAsia="Calibri" w:hAnsi="Calibri"/>
          <w:b w:val="false"/>
          <w:bCs w:val="false"/>
          <w:i w:val="false"/>
          <w:iCs w:val="false"/>
          <w:color w:val="1A1A2E"/>
          <w:sz w:val="22"/>
          <w:szCs w:val="22"/>
        </w:rPr>
        <w:t xml:space="preserve">A 25 bp rate move generates a </w:t>
      </w:r>
      <w:r>
        <w:rPr>
          <w:rFonts w:ascii="Calibri" w:cs="Calibri" w:eastAsia="Calibri" w:hAnsi="Calibri"/>
          <w:b/>
          <w:bCs/>
          <w:i w:val="false"/>
          <w:iCs w:val="false"/>
          <w:color w:val="1A1A2E"/>
          <w:sz w:val="22"/>
          <w:szCs w:val="22"/>
        </w:rPr>
        <w:t xml:space="preserve">+EUR 2,125K risk-neutral P&amp;L gain, </w:t>
      </w:r>
      <w:r>
        <w:rPr>
          <w:rFonts w:ascii="Calibri" w:cs="Calibri" w:eastAsia="Calibri" w:hAnsi="Calibri"/>
          <w:b w:val="false"/>
          <w:bCs w:val="false"/>
          <w:i w:val="false"/>
          <w:iCs w:val="false"/>
          <w:color w:val="1A1A2E"/>
          <w:sz w:val="22"/>
          <w:szCs w:val="22"/>
        </w:rPr>
        <w:t xml:space="preserve">but the XVA desk simultaneously books a </w:t>
      </w:r>
      <w:r>
        <w:rPr>
          <w:rFonts w:ascii="Calibri" w:cs="Calibri" w:eastAsia="Calibri" w:hAnsi="Calibri"/>
          <w:b/>
          <w:bCs/>
          <w:i w:val="false"/>
          <w:iCs w:val="false"/>
          <w:color w:val="1A1A2E"/>
          <w:sz w:val="22"/>
          <w:szCs w:val="22"/>
        </w:rPr>
        <w:t xml:space="preserve">−EUR 395K XVA charge </w:t>
      </w:r>
      <w:r>
        <w:rPr>
          <w:rFonts w:ascii="Calibri" w:cs="Calibri" w:eastAsia="Calibri" w:hAnsi="Calibri"/>
          <w:b w:val="false"/>
          <w:bCs w:val="false"/>
          <w:i w:val="false"/>
          <w:iCs w:val="false"/>
          <w:color w:val="1A1A2E"/>
          <w:sz w:val="22"/>
          <w:szCs w:val="22"/>
        </w:rPr>
        <w:t xml:space="preserve">— wiping out 19% of the MtM gain before it reaches the trading book P&amp;L. XVA desks are not a compliance function — they are a core component of derivatives P&amp;L.</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12.5 Trade Decision Framework: When Does a New Trade Help or Hurt Total XVA?</w:t>
      </w:r>
    </w:p>
    <w:tbl>
      <w:tblPr>
        <w:tblW w:type="dxa" w:w="9360"/>
      </w:tblPr>
      <w:tblGrid>
        <w:gridCol w:w="2600"/>
        <w:gridCol w:w="1300"/>
        <w:gridCol w:w="1300"/>
        <w:gridCol w:w="1300"/>
        <w:gridCol w:w="1300"/>
        <w:gridCol w:w="1560"/>
      </w:tblGrid>
      <w:tr>
        <w:trPr>
          <w:tblHeader/>
        </w:trPr>
        <w:tc>
          <w:tcPr>
            <w:tcW w:type="dxa" w:w="26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Trade Type</w:t>
            </w:r>
          </w:p>
        </w:tc>
        <w:tc>
          <w:tcPr>
            <w:tcW w:type="dxa" w:w="13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CVA</w:t>
            </w:r>
          </w:p>
        </w:tc>
        <w:tc>
          <w:tcPr>
            <w:tcW w:type="dxa" w:w="13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FVA</w:t>
            </w:r>
          </w:p>
        </w:tc>
        <w:tc>
          <w:tcPr>
            <w:tcW w:type="dxa" w:w="13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MVA</w:t>
            </w:r>
          </w:p>
        </w:tc>
        <w:tc>
          <w:tcPr>
            <w:tcW w:type="dxa" w:w="13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KVA</w:t>
            </w:r>
          </w:p>
        </w:tc>
        <w:tc>
          <w:tcPr>
            <w:tcW w:type="dxa" w:w="156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vAlign w:val="center"/>
          </w:tcPr>
          <w:p>
            <w:pPr>
              <w:spacing w:after="0" w:before="0"/>
              <w:jc w:val="left"/>
            </w:pPr>
            <w:r>
              <w:rPr>
                <w:rFonts w:ascii="Calibri" w:cs="Calibri" w:eastAsia="Calibri" w:hAnsi="Calibri"/>
                <w:b/>
                <w:bCs/>
                <w:i w:val="false"/>
                <w:iCs w:val="false"/>
                <w:color w:val="FFFFFF"/>
                <w:sz w:val="20"/>
                <w:szCs w:val="20"/>
              </w:rPr>
              <w:t xml:space="preserve">Verdict</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Offsetting trade, same netting set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EPE offset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FCA offset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SIMM netting</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EAD offset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Reduces XVA — execute</w:t>
            </w:r>
          </w:p>
        </w:tc>
      </w:tr>
      <w:tr>
        <w:trPr>
          <w:tblHeader w:val="false"/>
        </w:trP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New counterparty, no CSA</w:t>
            </w:r>
          </w:p>
        </w:tc>
        <w:tc>
          <w:tcPr>
            <w:tcW w:type="dxa" w:w="13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new CVA</w:t>
            </w:r>
          </w:p>
        </w:tc>
        <w:tc>
          <w:tcPr>
            <w:tcW w:type="dxa" w:w="13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new FCA</w:t>
            </w:r>
          </w:p>
        </w:tc>
        <w:tc>
          <w:tcPr>
            <w:tcW w:type="dxa" w:w="13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new IM</w:t>
            </w:r>
          </w:p>
        </w:tc>
        <w:tc>
          <w:tcPr>
            <w:tcW w:type="dxa" w:w="13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new EAD</w:t>
            </w:r>
          </w:p>
        </w:tc>
        <w:tc>
          <w:tcPr>
            <w:tcW w:type="dxa" w:w="1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Full stack — price carefully</w:t>
            </w:r>
          </w:p>
        </w:tc>
      </w:tr>
      <w:tr>
        <w:trPr>
          <w:tblHeader w:val="false"/>
        </w:trP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Cleared trade (same risk)</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CCP netting</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CCR RWA lower</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Reduces vs bilateral</w:t>
            </w:r>
          </w:p>
        </w:tc>
      </w:tr>
      <w:tr>
        <w:trPr>
          <w:tblHeader w:val="false"/>
        </w:trP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Same cp, same direction</w:t>
            </w:r>
          </w:p>
        </w:tc>
        <w:tc>
          <w:tcPr>
            <w:tcW w:type="dxa" w:w="13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EPE adds</w:t>
            </w:r>
          </w:p>
        </w:tc>
        <w:tc>
          <w:tcPr>
            <w:tcW w:type="dxa" w:w="13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FCA adds</w:t>
            </w:r>
          </w:p>
        </w:tc>
        <w:tc>
          <w:tcPr>
            <w:tcW w:type="dxa" w:w="13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IM adds</w:t>
            </w:r>
          </w:p>
        </w:tc>
        <w:tc>
          <w:tcPr>
            <w:tcW w:type="dxa" w:w="13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EAD adds</w:t>
            </w:r>
          </w:p>
        </w:tc>
        <w:tc>
          <w:tcPr>
            <w:tcW w:type="dxa" w:w="1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vAlign w:val="center"/>
          </w:tcPr>
          <w:p>
            <w:pPr>
              <w:spacing w:after="0" w:before="0"/>
              <w:jc w:val="left"/>
            </w:pPr>
            <w:r>
              <w:rPr>
                <w:rFonts w:ascii="Calibri" w:cs="Calibri" w:eastAsia="Calibri" w:hAnsi="Calibri"/>
                <w:b w:val="false"/>
                <w:bCs w:val="false"/>
                <w:i w:val="false"/>
                <w:iCs w:val="false"/>
                <w:color w:val="1A1A2E"/>
                <w:sz w:val="20"/>
                <w:szCs w:val="20"/>
              </w:rPr>
              <w:t xml:space="preserve">⚠ Compounds — charge incremental</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80" w:before="220"/>
      </w:pPr>
      <w:r>
        <w:rPr>
          <w:rFonts w:ascii="Calibri" w:cs="Calibri" w:eastAsia="Calibri" w:hAnsi="Calibri"/>
          <w:b/>
          <w:bCs/>
          <w:color w:val="028090"/>
          <w:sz w:val="28"/>
          <w:szCs w:val="28"/>
        </w:rPr>
        <w:t xml:space="preserve">12.6 ColVA — Preview of Module 6</w:t>
      </w:r>
    </w:p>
    <w:p>
      <w:pPr>
        <w:spacing w:after="60" w:before="60"/>
        <w:jc w:val="both"/>
      </w:pPr>
      <w:r>
        <w:rPr>
          <w:rFonts w:ascii="Calibri" w:cs="Calibri" w:eastAsia="Calibri" w:hAnsi="Calibri"/>
          <w:b w:val="false"/>
          <w:bCs w:val="false"/>
          <w:i w:val="false"/>
          <w:iCs w:val="false"/>
          <w:color w:val="1A1A2E"/>
          <w:sz w:val="22"/>
          <w:szCs w:val="22"/>
        </w:rPr>
        <w:t xml:space="preserve">Collateral Valuation Adjustment (ColVA) arises from the optionality embedded in collateral agreements. A CSA typically allows the poster to deliver any eligible security from an approved schedule. The poster will rationally deliver the cheapest-to-deliver asset. The value of this optionality is ColVA. Module 6 will cover ISDA netting, CSA architecture, and ColVA in full.</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13. References</w:t>
      </w:r>
    </w:p>
    <w:p>
      <w:pPr>
        <w:pStyle w:val="Heading3"/>
        <w:spacing w:after="60" w:before="160"/>
      </w:pPr>
      <w:r>
        <w:rPr>
          <w:rFonts w:ascii="Calibri" w:cs="Calibri" w:eastAsia="Calibri" w:hAnsi="Calibri"/>
          <w:b/>
          <w:bCs/>
          <w:color w:val="0D1B2A"/>
          <w:sz w:val="24"/>
          <w:szCs w:val="24"/>
        </w:rPr>
        <w:t xml:space="preserve">Regulatory &amp; Official Documents</w:t>
      </w:r>
    </w:p>
    <w:p>
      <w:pPr>
        <w:spacing w:after="60" w:before="60"/>
        <w:jc w:val="both"/>
      </w:pPr>
      <w:r>
        <w:rPr>
          <w:rFonts w:ascii="Calibri" w:cs="Calibri" w:eastAsia="Calibri" w:hAnsi="Calibri"/>
          <w:b w:val="false"/>
          <w:bCs w:val="false"/>
          <w:i w:val="false"/>
          <w:iCs w:val="false"/>
          <w:color w:val="8A9BB0"/>
          <w:sz w:val="19"/>
          <w:szCs w:val="19"/>
        </w:rPr>
        <w:t xml:space="preserve">[1] BCBS-IOSCO (2015). Margin requirements for non-centrally cleared derivatives. Bank for International Settlements.</w:t>
      </w:r>
    </w:p>
    <w:p>
      <w:pPr>
        <w:spacing w:after="60" w:before="60"/>
        <w:jc w:val="both"/>
      </w:pPr>
      <w:r>
        <w:rPr>
          <w:rFonts w:ascii="Calibri" w:cs="Calibri" w:eastAsia="Calibri" w:hAnsi="Calibri"/>
          <w:b w:val="false"/>
          <w:bCs w:val="false"/>
          <w:i w:val="false"/>
          <w:iCs w:val="false"/>
          <w:color w:val="8A9BB0"/>
          <w:sz w:val="19"/>
          <w:szCs w:val="19"/>
        </w:rPr>
        <w:t xml:space="preserve">[2] European Market Infrastructure Regulation (EMIR) — Regulation (EU) No 648/2012 and Refit amendments (2019).</w:t>
      </w:r>
    </w:p>
    <w:p>
      <w:pPr>
        <w:spacing w:after="60" w:before="60"/>
        <w:jc w:val="both"/>
      </w:pPr>
      <w:r>
        <w:rPr>
          <w:rFonts w:ascii="Calibri" w:cs="Calibri" w:eastAsia="Calibri" w:hAnsi="Calibri"/>
          <w:b w:val="false"/>
          <w:bCs w:val="false"/>
          <w:i w:val="false"/>
          <w:iCs w:val="false"/>
          <w:color w:val="8A9BB0"/>
          <w:sz w:val="19"/>
          <w:szCs w:val="19"/>
        </w:rPr>
        <w:t xml:space="preserve">[3] ISDA (2025). ISDA SIMM Methodology, version 2.8+2506 (December 2025). International Swaps and Derivatives Association. Note: IR delta risk weight for EUR bucket remains within the 70–80 bps range consistent with the v2.6 figure (75 bps) used in the worked examples in this module. Readers should consult the current ISDA SIMM publication for live calibration figures prior to use in production systems.</w:t>
      </w:r>
    </w:p>
    <w:p>
      <w:pPr>
        <w:spacing w:after="60" w:before="60"/>
        <w:jc w:val="both"/>
      </w:pPr>
      <w:r>
        <w:rPr>
          <w:rFonts w:ascii="Calibri" w:cs="Calibri" w:eastAsia="Calibri" w:hAnsi="Calibri"/>
          <w:b w:val="false"/>
          <w:bCs w:val="false"/>
          <w:i w:val="false"/>
          <w:iCs w:val="false"/>
          <w:color w:val="8A9BB0"/>
          <w:sz w:val="19"/>
          <w:szCs w:val="19"/>
        </w:rPr>
        <w:t xml:space="preserve">[4] BCBS (2020). Minimum capital requirements for market risk (FRTB). Bank for International Settlements.</w:t>
      </w:r>
    </w:p>
    <w:p>
      <w:pPr>
        <w:spacing w:after="60" w:before="60"/>
        <w:jc w:val="both"/>
      </w:pPr>
      <w:r>
        <w:rPr>
          <w:rFonts w:ascii="Calibri" w:cs="Calibri" w:eastAsia="Calibri" w:hAnsi="Calibri"/>
          <w:b w:val="false"/>
          <w:bCs w:val="false"/>
          <w:i w:val="false"/>
          <w:iCs w:val="false"/>
          <w:color w:val="8A9BB0"/>
          <w:sz w:val="19"/>
          <w:szCs w:val="19"/>
        </w:rPr>
        <w:t xml:space="preserve">[5] SEC (2022). Security-Based Swap Margin and Segregation Requirements — Final Rule.</w:t>
      </w:r>
    </w:p>
    <w:p>
      <w:pPr>
        <w:spacing w:after="60" w:before="60"/>
        <w:jc w:val="both"/>
      </w:pPr>
      <w:r>
        <w:rPr>
          <w:rFonts w:ascii="Calibri" w:cs="Calibri" w:eastAsia="Calibri" w:hAnsi="Calibri"/>
          <w:b w:val="false"/>
          <w:bCs w:val="false"/>
          <w:i w:val="false"/>
          <w:iCs w:val="false"/>
          <w:color w:val="8A9BB0"/>
          <w:sz w:val="19"/>
          <w:szCs w:val="19"/>
        </w:rPr>
        <w:t xml:space="preserve">[6] European Commission (2023). Capital Requirements Regulation III (CRR III) — Basel IV implementation in the EU.</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Academic Papers</w:t>
      </w:r>
    </w:p>
    <w:p>
      <w:pPr>
        <w:spacing w:after="60" w:before="60"/>
        <w:jc w:val="both"/>
      </w:pPr>
      <w:r>
        <w:rPr>
          <w:rFonts w:ascii="Calibri" w:cs="Calibri" w:eastAsia="Calibri" w:hAnsi="Calibri"/>
          <w:b w:val="false"/>
          <w:bCs w:val="false"/>
          <w:i w:val="false"/>
          <w:iCs w:val="false"/>
          <w:color w:val="8A9BB0"/>
          <w:sz w:val="19"/>
          <w:szCs w:val="19"/>
        </w:rPr>
        <w:t xml:space="preserve">[7] Piterbarg, V. (2010). Funding beyond discounting: Collateral agreements and derivatives pricing. Risk, February 2010.</w:t>
      </w:r>
    </w:p>
    <w:p>
      <w:pPr>
        <w:spacing w:after="60" w:before="60"/>
        <w:jc w:val="both"/>
      </w:pPr>
      <w:r>
        <w:rPr>
          <w:rFonts w:ascii="Calibri" w:cs="Calibri" w:eastAsia="Calibri" w:hAnsi="Calibri"/>
          <w:b w:val="false"/>
          <w:bCs w:val="false"/>
          <w:i w:val="false"/>
          <w:iCs w:val="false"/>
          <w:color w:val="8A9BB0"/>
          <w:sz w:val="19"/>
          <w:szCs w:val="19"/>
        </w:rPr>
        <w:t xml:space="preserve">[8] Burgard, C. and Kjaer, M. (2011). Partial differential equation representations of derivatives with bilateral counterparty risk and funding costs. Journal of Credit Risk, 7(3).</w:t>
      </w:r>
    </w:p>
    <w:p>
      <w:pPr>
        <w:spacing w:after="60" w:before="60"/>
        <w:jc w:val="both"/>
      </w:pPr>
      <w:r>
        <w:rPr>
          <w:rFonts w:ascii="Calibri" w:cs="Calibri" w:eastAsia="Calibri" w:hAnsi="Calibri"/>
          <w:b w:val="false"/>
          <w:bCs w:val="false"/>
          <w:i w:val="false"/>
          <w:iCs w:val="false"/>
          <w:color w:val="8A9BB0"/>
          <w:sz w:val="19"/>
          <w:szCs w:val="19"/>
        </w:rPr>
        <w:t xml:space="preserve">[9] Hull, J. and White, A. (2012). The FVA debate. Risk, July 2012.</w:t>
      </w:r>
    </w:p>
    <w:p>
      <w:pPr>
        <w:spacing w:after="60" w:before="60"/>
        <w:jc w:val="both"/>
      </w:pPr>
      <w:r>
        <w:rPr>
          <w:rFonts w:ascii="Calibri" w:cs="Calibri" w:eastAsia="Calibri" w:hAnsi="Calibri"/>
          <w:b w:val="false"/>
          <w:bCs w:val="false"/>
          <w:i w:val="false"/>
          <w:iCs w:val="false"/>
          <w:color w:val="8A9BB0"/>
          <w:sz w:val="19"/>
          <w:szCs w:val="19"/>
        </w:rPr>
        <w:t xml:space="preserve">[10] Burgard, C. and Kjaer, M. (2013). Funding costs, funding strategies. Risk, December 2013.</w:t>
      </w:r>
    </w:p>
    <w:p>
      <w:pPr>
        <w:spacing w:after="60" w:before="60"/>
        <w:jc w:val="both"/>
      </w:pPr>
      <w:r>
        <w:rPr>
          <w:rFonts w:ascii="Calibri" w:cs="Calibri" w:eastAsia="Calibri" w:hAnsi="Calibri"/>
          <w:b w:val="false"/>
          <w:bCs w:val="false"/>
          <w:i w:val="false"/>
          <w:iCs w:val="false"/>
          <w:color w:val="8A9BB0"/>
          <w:sz w:val="19"/>
          <w:szCs w:val="19"/>
        </w:rPr>
        <w:t xml:space="preserve">[11] Andersen, L., Duffie, D. and Song, Y. (2019). Funding value adjustments. Journal of Finance, 74(1), 145–192.</w:t>
      </w:r>
    </w:p>
    <w:p>
      <w:pPr>
        <w:spacing w:after="60" w:before="60"/>
        <w:jc w:val="both"/>
      </w:pPr>
      <w:r>
        <w:rPr>
          <w:rFonts w:ascii="Calibri" w:cs="Calibri" w:eastAsia="Calibri" w:hAnsi="Calibri"/>
          <w:b w:val="false"/>
          <w:bCs w:val="false"/>
          <w:i w:val="false"/>
          <w:iCs w:val="false"/>
          <w:color w:val="8A9BB0"/>
          <w:sz w:val="19"/>
          <w:szCs w:val="19"/>
        </w:rPr>
        <w:t xml:space="preserve">[12] Green, A. (2015). XVA: Credit, Funding and Capital Valuation Adjustments. Wiley Finance.</w:t>
      </w:r>
    </w:p>
    <w:p>
      <w:pPr>
        <w:spacing w:after="60" w:before="60"/>
        <w:jc w:val="both"/>
      </w:pPr>
      <w:r>
        <w:rPr>
          <w:rFonts w:ascii="Calibri" w:cs="Calibri" w:eastAsia="Calibri" w:hAnsi="Calibri"/>
          <w:b w:val="false"/>
          <w:bCs w:val="false"/>
          <w:i w:val="false"/>
          <w:iCs w:val="false"/>
          <w:color w:val="8A9BB0"/>
          <w:sz w:val="19"/>
          <w:szCs w:val="19"/>
        </w:rPr>
        <w:t xml:space="preserve">[13] Albanese, C. and Andersen, L. (2014). Accounting for OTC derivatives: Funding adjustments and the re-hypothecation option. SSRN Working Paper.</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Accounting &amp; Valuation Standards</w:t>
      </w:r>
    </w:p>
    <w:p>
      <w:pPr>
        <w:spacing w:after="60" w:before="60"/>
        <w:jc w:val="both"/>
      </w:pPr>
      <w:r>
        <w:rPr>
          <w:rFonts w:ascii="Calibri" w:cs="Calibri" w:eastAsia="Calibri" w:hAnsi="Calibri"/>
          <w:b w:val="false"/>
          <w:bCs w:val="false"/>
          <w:i w:val="false"/>
          <w:iCs w:val="false"/>
          <w:color w:val="8A9BB0"/>
          <w:sz w:val="19"/>
          <w:szCs w:val="19"/>
        </w:rPr>
        <w:t xml:space="preserve">[14] IFRS 13 — Fair Value Measurement. International Accounting Standards Board, 2011.</w:t>
      </w:r>
    </w:p>
    <w:p>
      <w:pPr>
        <w:spacing w:after="60" w:before="60"/>
        <w:jc w:val="both"/>
      </w:pPr>
      <w:r>
        <w:rPr>
          <w:rFonts w:ascii="Calibri" w:cs="Calibri" w:eastAsia="Calibri" w:hAnsi="Calibri"/>
          <w:b w:val="false"/>
          <w:bCs w:val="false"/>
          <w:i w:val="false"/>
          <w:iCs w:val="false"/>
          <w:color w:val="8A9BB0"/>
          <w:sz w:val="19"/>
          <w:szCs w:val="19"/>
        </w:rPr>
        <w:t xml:space="preserve">[15] ASC 820 — Fair Value Measurement. Financial Accounting Standards Board (US GAAP).</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Market &amp; Industry Sources</w:t>
      </w:r>
    </w:p>
    <w:p>
      <w:pPr>
        <w:spacing w:after="60" w:before="60"/>
        <w:jc w:val="both"/>
      </w:pPr>
      <w:r>
        <w:rPr>
          <w:rFonts w:ascii="Calibri" w:cs="Calibri" w:eastAsia="Calibri" w:hAnsi="Calibri"/>
          <w:b w:val="false"/>
          <w:bCs w:val="false"/>
          <w:i w:val="false"/>
          <w:iCs w:val="false"/>
          <w:color w:val="8A9BB0"/>
          <w:sz w:val="19"/>
          <w:szCs w:val="19"/>
        </w:rPr>
        <w:t xml:space="preserve">[16] JP Morgan Chase (2014). Q4 2013 Earnings Release, January 14, 2014 — FVA charge disclosure.</w:t>
      </w:r>
    </w:p>
    <w:p>
      <w:pPr>
        <w:spacing w:after="60" w:before="60"/>
        <w:jc w:val="both"/>
      </w:pPr>
      <w:r>
        <w:rPr>
          <w:rFonts w:ascii="Calibri" w:cs="Calibri" w:eastAsia="Calibri" w:hAnsi="Calibri"/>
          <w:b w:val="false"/>
          <w:bCs w:val="false"/>
          <w:i w:val="false"/>
          <w:iCs w:val="false"/>
          <w:color w:val="8A9BB0"/>
          <w:sz w:val="19"/>
          <w:szCs w:val="19"/>
        </w:rPr>
        <w:t xml:space="preserve">[17] ISDA (2023). Global Derivatives Statistics — Margin Survey 2023.</w:t>
      </w:r>
    </w:p>
    <w:p>
      <w:pPr>
        <w:spacing w:after="60" w:before="60"/>
        <w:jc w:val="both"/>
      </w:pPr>
      <w:r>
        <w:rPr>
          <w:rFonts w:ascii="Calibri" w:cs="Calibri" w:eastAsia="Calibri" w:hAnsi="Calibri"/>
          <w:b w:val="false"/>
          <w:bCs w:val="false"/>
          <w:i w:val="false"/>
          <w:iCs w:val="false"/>
          <w:color w:val="8A9BB0"/>
          <w:sz w:val="19"/>
          <w:szCs w:val="19"/>
        </w:rPr>
        <w:t xml:space="preserve">[18] Deloitte (2022). Uncleared Margin Rules Phase 6: Readiness and Implementation Guide.</w:t>
      </w:r>
    </w:p>
    <w:p>
      <w:pPr>
        <w:spacing w:after="0" w:before="0"/>
      </w:pPr>
      <w:r>
        <w:br w:type="page"/>
      </w:r>
    </w:p>
    <w:p>
      <w:pPr>
        <w:pStyle w:val="Heading1"/>
        <w:spacing w:after="120" w:before="280"/>
      </w:pPr>
      <w:r>
        <w:rPr>
          <w:rFonts w:ascii="Calibri" w:cs="Calibri" w:eastAsia="Calibri" w:hAnsi="Calibri"/>
          <w:b/>
          <w:bCs/>
          <w:color w:val="0D1B2A"/>
          <w:sz w:val="36"/>
          <w:szCs w:val="36"/>
        </w:rPr>
        <w:t xml:space="preserve">14. Credits &amp; Methodology Note</w:t>
      </w:r>
    </w:p>
    <w:p>
      <w:pPr>
        <w:pStyle w:val="Heading3"/>
        <w:spacing w:after="60" w:before="160"/>
      </w:pPr>
      <w:r>
        <w:rPr>
          <w:rFonts w:ascii="Calibri" w:cs="Calibri" w:eastAsia="Calibri" w:hAnsi="Calibri"/>
          <w:b/>
          <w:bCs/>
          <w:color w:val="0D1B2A"/>
          <w:sz w:val="24"/>
          <w:szCs w:val="24"/>
        </w:rPr>
        <w:t xml:space="preserve">Author</w:t>
      </w:r>
    </w:p>
    <w:p>
      <w:pPr>
        <w:spacing w:after="60" w:before="60"/>
        <w:jc w:val="both"/>
      </w:pPr>
      <w:r>
        <w:rPr>
          <w:rFonts w:ascii="Calibri" w:cs="Calibri" w:eastAsia="Calibri" w:hAnsi="Calibri"/>
          <w:b w:val="false"/>
          <w:bCs w:val="false"/>
          <w:i w:val="false"/>
          <w:iCs w:val="false"/>
          <w:color w:val="1A1A2E"/>
          <w:sz w:val="22"/>
          <w:szCs w:val="22"/>
        </w:rPr>
        <w:t xml:space="preserve">Sarthaka Nanda</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AI Collaboration</w:t>
      </w:r>
    </w:p>
    <w:p>
      <w:pPr>
        <w:spacing w:after="60" w:before="60"/>
        <w:jc w:val="both"/>
      </w:pPr>
      <w:r>
        <w:rPr>
          <w:rFonts w:ascii="Calibri" w:cs="Calibri" w:eastAsia="Calibri" w:hAnsi="Calibri"/>
          <w:b w:val="false"/>
          <w:bCs w:val="false"/>
          <w:i w:val="false"/>
          <w:iCs w:val="false"/>
          <w:color w:val="1A1A2E"/>
          <w:sz w:val="22"/>
          <w:szCs w:val="22"/>
        </w:rPr>
        <w:t xml:space="preserve">This module was produced in collaboration with Anthropic Claude as part of the Practitioner Knowledge Repository on Banking Regulation and Risk Management. The collaboration follows the 20-60-20 principle:</w:t>
      </w:r>
    </w:p>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20% Human prompting &amp; instruction: </w:t>
      </w:r>
      <w:r>
        <w:rPr>
          <w:rFonts w:ascii="Calibri" w:cs="Calibri" w:eastAsia="Calibri" w:hAnsi="Calibri"/>
          <w:b w:val="false"/>
          <w:bCs w:val="false"/>
          <w:i w:val="false"/>
          <w:iCs w:val="false"/>
          <w:color w:val="1A1A2E"/>
          <w:sz w:val="22"/>
          <w:szCs w:val="22"/>
        </w:rPr>
        <w:t xml:space="preserve">Topic selection, structural design, strategic framing, worked example parameters, and quality direction.</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60% AI generation: </w:t>
      </w:r>
      <w:r>
        <w:rPr>
          <w:rFonts w:ascii="Calibri" w:cs="Calibri" w:eastAsia="Calibri" w:hAnsi="Calibri"/>
          <w:b w:val="false"/>
          <w:bCs w:val="false"/>
          <w:i w:val="false"/>
          <w:iCs w:val="false"/>
          <w:color w:val="1A1A2E"/>
          <w:sz w:val="22"/>
          <w:szCs w:val="22"/>
        </w:rPr>
        <w:t xml:space="preserve">Technical content drafting, formula derivation, table construction, regulatory mapping, and case study research.</w:t>
      </w:r>
    </w:p>
    <w:p>
      <w:pPr>
        <w:pStyle w:val="ListParagraph"/>
        <w:numPr>
          <w:ilvl w:val="0"/>
          <w:numId w:val="2"/>
        </w:numPr>
        <w:spacing w:after="40" w:before="40"/>
      </w:pPr>
      <w:r>
        <w:rPr>
          <w:rFonts w:ascii="Calibri" w:cs="Calibri" w:eastAsia="Calibri" w:hAnsi="Calibri"/>
          <w:b/>
          <w:bCs/>
          <w:i w:val="false"/>
          <w:iCs w:val="false"/>
          <w:color w:val="1A1A2E"/>
          <w:sz w:val="22"/>
          <w:szCs w:val="22"/>
        </w:rPr>
        <w:t xml:space="preserve">20% Human review &amp; editing: </w:t>
      </w:r>
      <w:r>
        <w:rPr>
          <w:rFonts w:ascii="Calibri" w:cs="Calibri" w:eastAsia="Calibri" w:hAnsi="Calibri"/>
          <w:b w:val="false"/>
          <w:bCs w:val="false"/>
          <w:i w:val="false"/>
          <w:iCs w:val="false"/>
          <w:color w:val="1A1A2E"/>
          <w:sz w:val="22"/>
          <w:szCs w:val="22"/>
        </w:rPr>
        <w:t xml:space="preserve">Mandatory review for accuracy, consistency, professional standards, and editorial judgment before publication.</w:t>
      </w:r>
    </w:p>
    <w:p>
      <w:pPr>
        <w:spacing w:after="40" w:before="40"/>
      </w:pPr>
      <w:r>
        <w:rPr>
          <w:rFonts w:ascii="Calibri" w:cs="Calibri" w:eastAsia="Calibri" w:hAnsi="Calibri"/>
          <w:b w:val="false"/>
          <w:bCs w:val="false"/>
          <w:i w:val="false"/>
          <w:iCs w:val="false"/>
          <w:color w:val="1A1A2E"/>
          <w:sz w:val="22"/>
          <w:szCs w:val="22"/>
        </w:rPr>
        <w:t xml:space="preserve"/>
      </w:r>
    </w:p>
    <w:p>
      <w:pPr>
        <w:pBdr>
          <w:top w:val="single" w:color="028090" w:sz="4"/>
          <w:bottom w:val="single" w:color="028090" w:sz="4"/>
        </w:pBdr>
        <w:spacing w:after="80" w:before="80"/>
        <w:jc w:val="center"/>
      </w:pPr>
      <w:r>
        <w:rPr>
          <w:rFonts w:ascii="Calibri" w:cs="Calibri" w:eastAsia="Calibri" w:hAnsi="Calibri"/>
          <w:b w:val="false"/>
          <w:bCs w:val="false"/>
          <w:i/>
          <w:iCs/>
          <w:color w:val="028090"/>
          <w:sz w:val="22"/>
          <w:szCs w:val="22"/>
        </w:rPr>
        <w:t xml:space="preserve">AI-generated content without mandatory human review is not professional-grade content — it is a liability.</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Series</w:t>
      </w:r>
    </w:p>
    <w:p>
      <w:pPr>
        <w:spacing w:after="60" w:before="60"/>
        <w:jc w:val="both"/>
      </w:pPr>
      <w:r>
        <w:rPr>
          <w:rFonts w:ascii="Calibri" w:cs="Calibri" w:eastAsia="Calibri" w:hAnsi="Calibri"/>
          <w:b w:val="false"/>
          <w:bCs w:val="false"/>
          <w:i w:val="false"/>
          <w:iCs w:val="false"/>
          <w:color w:val="1A1A2E"/>
          <w:sz w:val="22"/>
          <w:szCs w:val="22"/>
        </w:rPr>
        <w:t xml:space="preserve">Module 1: Basel Accord Evolution  |  Module 2: FRTB  |  Module 3: CVA, DVA &amp; CCR  |  Module 4: FVA &amp; MVA  |  Module 5: KVA &amp; Capital Costs (forthcoming)  |  Module 6: ISDA, Netting &amp; ColVA (forthcoming)</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60" w:before="160"/>
      </w:pPr>
      <w:r>
        <w:rPr>
          <w:rFonts w:ascii="Calibri" w:cs="Calibri" w:eastAsia="Calibri" w:hAnsi="Calibri"/>
          <w:b/>
          <w:bCs/>
          <w:color w:val="0D1B2A"/>
          <w:sz w:val="24"/>
          <w:szCs w:val="24"/>
        </w:rPr>
        <w:t xml:space="preserve">Licence</w:t>
      </w:r>
    </w:p>
    <w:p>
      <w:pPr>
        <w:spacing w:after="60" w:before="60"/>
        <w:jc w:val="both"/>
      </w:pPr>
      <w:r>
        <w:rPr>
          <w:rFonts w:ascii="Calibri" w:cs="Calibri" w:eastAsia="Calibri" w:hAnsi="Calibri"/>
          <w:b w:val="false"/>
          <w:bCs w:val="false"/>
          <w:i w:val="false"/>
          <w:iCs w:val="false"/>
          <w:color w:val="1A1A2E"/>
          <w:sz w:val="22"/>
          <w:szCs w:val="22"/>
        </w:rPr>
        <w:t xml:space="preserve">Creative Commons Attribution-NonCommercial 4.0 International (CC BY-NC 4.0). Free to share and adapt for non-commercial purposes with attribution.</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090" w:sz="4"/>
      </w:pBdr>
      <w:spacing w:before="60"/>
    </w:pPr>
    <w:r>
      <w:rPr>
        <w:rFonts w:ascii="Calibri" w:cs="Calibri" w:eastAsia="Calibri" w:hAnsi="Calibri"/>
        <w:b w:val="false"/>
        <w:bCs w:val="false"/>
        <w:i w:val="false"/>
        <w:iCs w:val="false"/>
        <w:color w:val="8A9BB0"/>
        <w:sz w:val="16"/>
        <w:szCs w:val="16"/>
      </w:rPr>
      <w:t xml:space="preserve">© 2025 Sarthaka Nanda  |  CC BY-NC 4.0  |  Page </w:t>
    </w:r>
    <w:r>
      <w:rPr>
        <w:rFonts w:ascii="Calibri" w:cs="Calibri" w:eastAsia="Calibri" w:hAnsi="Calibri"/>
        <w:color w:val="8A9B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090" w:sz="4"/>
      </w:pBdr>
      <w:spacing w:after="60"/>
    </w:pPr>
    <w:r>
      <w:rPr>
        <w:rFonts w:ascii="Calibri" w:cs="Calibri" w:eastAsia="Calibri" w:hAnsi="Calibri"/>
        <w:b/>
        <w:bCs/>
        <w:i w:val="false"/>
        <w:iCs w:val="false"/>
        <w:color w:val="028090"/>
        <w:sz w:val="16"/>
        <w:szCs w:val="16"/>
      </w:rPr>
      <w:t xml:space="preserve">MODULE 4: FVA &amp; MVA  |  Practitioner Knowledge Repository</w:t>
    </w:r>
    <w:r>
      <w:rPr>
        <w:rFonts w:ascii="Calibri" w:cs="Calibri" w:eastAsia="Calibri" w:hAnsi="Calibri"/>
        <w:b w:val="false"/>
        <w:bCs w:val="false"/>
        <w:i w:val="false"/>
        <w:iCs w:val="false"/>
        <w:color w:val="8A9BB0"/>
        <w:sz w:val="16"/>
        <w:szCs w:val="16"/>
      </w:rPr>
      <w:t xml:space="preserve">   Sarthaka Nanda (with Anthropic Claude)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0D1B2A"/>
      <w:sz w:val="36"/>
      <w:szCs w:val="36"/>
    </w:rPr>
  </w:style>
  <w:style w:type="paragraph" w:styleId="Heading2">
    <w:name w:val="Heading 2"/>
    <w:basedOn w:val="Normal"/>
    <w:next w:val="Normal"/>
    <w:qFormat/>
    <w:pPr>
      <w:spacing w:after="80" w:before="200"/>
      <w:outlineLvl w:val="1"/>
    </w:pPr>
    <w:rPr>
      <w:rFonts w:ascii="Calibri" w:cs="Calibri" w:eastAsia="Calibri" w:hAnsi="Calibri"/>
      <w:b/>
      <w:bCs/>
      <w:color w:val="028090"/>
      <w:sz w:val="28"/>
      <w:szCs w:val="28"/>
    </w:rPr>
  </w:style>
  <w:style w:type="paragraph" w:styleId="Heading3">
    <w:name w:val="Heading 3"/>
    <w:basedOn w:val="Normal"/>
    <w:next w:val="Normal"/>
    <w:qFormat/>
    <w:pPr>
      <w:spacing w:after="60" w:before="160"/>
      <w:outlineLvl w:val="2"/>
    </w:pPr>
    <w:rPr>
      <w:rFonts w:ascii="Calibri" w:cs="Calibri" w:eastAsia="Calibri" w:hAnsi="Calibri"/>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2026-04-19T01:13:59.389Z</dcterms:created>
  <dcterms:modified xsi:type="dcterms:W3CDTF">2026-04-19T01:13:59.390Z</dcterms:modified>
</cp:coreProperties>
</file>

<file path=docProps/custom.xml><?xml version="1.0" encoding="utf-8"?>
<Properties xmlns="http://schemas.openxmlformats.org/officeDocument/2006/custom-properties" xmlns:vt="http://schemas.openxmlformats.org/officeDocument/2006/docPropsVTypes"/>
</file>