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400"/>
              <w:left w:type="dxa" w:w="400"/>
              <w:bottom w:type="dxa" w:w="80"/>
              <w:right w:type="dxa" w:w="400"/>
            </w:tcMar>
          </w:tcPr>
          <w:p>
            <w:pPr>
              <w:jc w:val="left"/>
            </w:pPr>
            <w:r>
              <w:rPr>
                <w:rFonts w:ascii="Calibri" w:cs="Calibri" w:eastAsia="Calibri" w:hAnsi="Calibri"/>
                <w:b/>
                <w:bCs/>
                <w:caps/>
                <w:color w:val="8A9BB0"/>
                <w:sz w:val="18"/>
                <w:szCs w:val="18"/>
              </w:rPr>
              <w:t xml:space="preserve">PRACTITIONER KNOWLEDGE REPOSITORY</w:t>
            </w:r>
          </w:p>
          <w:p>
            <w:pPr>
              <w:jc w:val="left"/>
            </w:pPr>
            <w:r>
              <w:rPr>
                <w:rFonts w:ascii="Calibri" w:cs="Calibri" w:eastAsia="Calibri" w:hAnsi="Calibri"/>
                <w:i/>
                <w:iCs/>
                <w:color w:val="8A9BB0"/>
                <w:sz w:val="18"/>
                <w:szCs w:val="18"/>
              </w:rPr>
              <w:t xml:space="preserve">on Banking Regulation and Risk Management</w:t>
            </w:r>
          </w:p>
        </w:tc>
      </w:tr>
    </w:tbl>
    <w:tbl>
      <w:tblPr>
        <w:tblW w:type="dxa" w:w="9360"/>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
              <w:left w:type="dxa" w:w="400"/>
              <w:bottom w:type="dxa" w:w="80"/>
              <w:right w:type="dxa" w:w="400"/>
            </w:tcMar>
          </w:tcPr>
          <w:p>
            <w:pPr>
              <w:jc w:val="left"/>
            </w:pPr>
            <w:r>
              <w:rPr>
                <w:rFonts w:ascii="Calibri" w:cs="Calibri" w:eastAsia="Calibri" w:hAnsi="Calibri"/>
                <w:b/>
                <w:bCs/>
                <w:caps/>
                <w:color w:val="C8953A"/>
                <w:sz w:val="36"/>
                <w:szCs w:val="36"/>
              </w:rPr>
              <w:t xml:space="preserve">MODULE 5</w:t>
            </w:r>
          </w:p>
        </w:tc>
      </w:tr>
    </w:tbl>
    <w:tbl>
      <w:tblPr>
        <w:tblW w:type="dxa" w:w="9360"/>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
              <w:left w:type="dxa" w:w="400"/>
              <w:bottom w:type="dxa" w:w="80"/>
              <w:right w:type="dxa" w:w="400"/>
            </w:tcMar>
          </w:tcPr>
          <w:p>
            <w:pPr>
              <w:jc w:val="left"/>
            </w:pPr>
            <w:r>
              <w:rPr>
                <w:rFonts w:ascii="Calibri" w:cs="Calibri" w:eastAsia="Calibri" w:hAnsi="Calibri"/>
                <w:b/>
                <w:bCs/>
                <w:color w:val="FFFFFF"/>
                <w:sz w:val="64"/>
                <w:szCs w:val="64"/>
              </w:rPr>
              <w:t xml:space="preserve">ISDA, Netting &amp; Collateral</w:t>
            </w:r>
          </w:p>
        </w:tc>
      </w:tr>
    </w:tbl>
    <w:tbl>
      <w:tblPr>
        <w:tblW w:type="dxa" w:w="9360"/>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
              <w:left w:type="dxa" w:w="400"/>
              <w:bottom w:type="dxa" w:w="80"/>
              <w:right w:type="dxa" w:w="400"/>
            </w:tcMar>
          </w:tcPr>
          <w:p>
            <w:pPr>
              <w:jc w:val="left"/>
            </w:pPr>
            <w:r>
              <w:rPr>
                <w:rFonts w:ascii="Calibri" w:cs="Calibri" w:eastAsia="Calibri" w:hAnsi="Calibri"/>
                <w:i/>
                <w:iCs/>
                <w:color w:val="028090"/>
                <w:sz w:val="32"/>
                <w:szCs w:val="32"/>
              </w:rPr>
              <w:t xml:space="preserve">The Legal Architecture of Derivative Markets</w:t>
            </w:r>
          </w:p>
        </w:tc>
      </w:tr>
    </w:tbl>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028090" w:val="clear"/>
            <w:tcMar>
              <w:top w:type="dxa" w:w="200"/>
              <w:left w:type="dxa" w:w="400"/>
              <w:bottom w:type="dxa" w:w="200"/>
              <w:right w:type="dxa" w:w="200"/>
            </w:tcMar>
          </w:tcPr>
          <w:p>
            <w:r>
              <w:t xml:space="preserve"/>
            </w:r>
          </w:p>
        </w:tc>
        <w:tc>
          <w:tcPr>
            <w:tcW w:type="dxa" w:w="7920"/>
            <w:tcBorders>
              <w:top w:val="none" w:color="FFFFFF" w:sz="0"/>
              <w:left w:val="none" w:color="FFFFFF" w:sz="0"/>
              <w:bottom w:val="none" w:color="FFFFFF" w:sz="0"/>
              <w:right w:val="none" w:color="FFFFFF" w:sz="0"/>
            </w:tcBorders>
            <w:shd w:fill="0D1B2A" w:val="clear"/>
            <w:tcMar>
              <w:top w:type="dxa" w:w="200"/>
              <w:left w:type="dxa" w:w="200"/>
              <w:bottom w:type="dxa" w:w="200"/>
              <w:right w:type="dxa" w:w="400"/>
            </w:tcMar>
          </w:tcPr>
          <w:p>
            <w:pPr>
              <w:jc w:val="left"/>
            </w:pPr>
            <w:r>
              <w:rPr>
                <w:rFonts w:ascii="Calibri" w:cs="Calibri" w:eastAsia="Calibri" w:hAnsi="Calibri"/>
                <w:b/>
                <w:bCs/>
                <w:color w:val="C8953A"/>
                <w:sz w:val="22"/>
                <w:szCs w:val="22"/>
              </w:rPr>
              <w:t xml:space="preserve">The Blueprint Analogy</w:t>
            </w:r>
          </w:p>
          <w:p>
            <w:pPr>
              <w:jc w:val="both"/>
            </w:pPr>
            <w:r>
              <w:rPr>
                <w:rFonts w:ascii="Calibri" w:cs="Calibri" w:eastAsia="Calibri" w:hAnsi="Calibri"/>
                <w:i/>
                <w:iCs/>
                <w:color w:val="F4F6F8"/>
                <w:sz w:val="20"/>
                <w:szCs w:val="20"/>
              </w:rPr>
              <w:t xml:space="preserve">A derivative contract without an ISDA Master Agreement is like a building without foundations — the superstructure may look solid until stress is applied. The Master Agreement is the foundation; the Schedule configures the walls; the CSA is the roof. Each layer is load-bearing only if the layer beneath exists. This module maps that architecture, traces its evolution across three decades, and shows how netting and collateral transform bilateral risk into manageable exposure.</w:t>
            </w:r>
          </w:p>
        </w:tc>
      </w:tr>
    </w:tbl>
    <w:tbl>
      <w:tblPr>
        <w:tblW w:type="dxa" w:w="9360"/>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240"/>
              <w:left w:type="dxa" w:w="400"/>
              <w:bottom w:type="dxa" w:w="240"/>
              <w:right w:type="dxa" w:w="400"/>
            </w:tcMar>
          </w:tcPr>
          <w:p>
            <w:pPr>
              <w:jc w:val="left"/>
            </w:pPr>
            <w:r>
              <w:rPr>
                <w:rFonts w:ascii="Calibri" w:cs="Calibri" w:eastAsia="Calibri" w:hAnsi="Calibri"/>
                <w:color w:val="8A9BB0"/>
                <w:sz w:val="18"/>
                <w:szCs w:val="18"/>
              </w:rPr>
              <w:t xml:space="preserve">Curated by Sarthaka Nanda (with Anthropic Claude)</w:t>
            </w:r>
          </w:p>
          <w:p>
            <w:pPr>
              <w:jc w:val="left"/>
            </w:pPr>
            <w:r>
              <w:rPr>
                <w:rFonts w:ascii="Calibri" w:cs="Calibri" w:eastAsia="Calibri" w:hAnsi="Calibri"/>
                <w:color w:val="8A9BB0"/>
                <w:sz w:val="18"/>
                <w:szCs w:val="18"/>
              </w:rPr>
              <w:t xml:space="preserve">Creative Commons Attribution-NonCommercial 4.0 International (CC BY-NC 4.0)  |  © 2026</w:t>
            </w:r>
          </w:p>
          <w:p>
            <w:pPr>
              <w:jc w:val="left"/>
            </w:pPr>
            <w:r>
              <w:rPr>
                <w:rFonts w:ascii="Calibri" w:cs="Calibri" w:eastAsia="Calibri" w:hAnsi="Calibri"/>
                <w:i/>
                <w:iCs/>
                <w:color w:val="028090"/>
                <w:sz w:val="18"/>
                <w:szCs w:val="18"/>
              </w:rPr>
              <w:t xml:space="preserve">Series: Basel I–IV → FRTB → CVA/DVA → FVA/MVA → ISDA, Netting &amp; Collateral → KVA, ColVA &amp; Capital Costs → Practitioner’s Dictionary</w:t>
            </w:r>
          </w:p>
        </w:tc>
      </w:tr>
    </w:tbl>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2"/>
        <w:spacing w:after="120" w:before="240"/>
      </w:pPr>
      <w:r>
        <w:rPr>
          <w:rFonts w:ascii="Calibri" w:cs="Calibri" w:eastAsia="Calibri" w:hAnsi="Calibri"/>
          <w:b/>
          <w:bCs/>
          <w:color w:val="028090"/>
          <w:sz w:val="36"/>
          <w:szCs w:val="36"/>
        </w:rPr>
        <w:t xml:space="preserve">About This Document</w:t>
      </w:r>
    </w:p>
    <w:p>
      <w:pPr>
        <w:spacing w:after="80" w:before="80"/>
        <w:jc w:val="both"/>
      </w:pPr>
      <w:r>
        <w:rPr>
          <w:rFonts w:ascii="Calibri" w:cs="Calibri" w:eastAsia="Calibri" w:hAnsi="Calibri"/>
          <w:color w:val="1A1A2E"/>
          <w:sz w:val="22"/>
          <w:szCs w:val="22"/>
        </w:rPr>
        <w:t xml:space="preserve">This module is part of the Practitioner Knowledge Repository on Banking Regulation and Risk Management, a practitioner-grade open-access series curated by Sarthaka Nanda.</w:t>
      </w:r>
    </w:p>
    <w:p>
      <w:pPr>
        <w:spacing w:after="0" w:before="80"/>
      </w:pPr>
      <w:r>
        <w:t xml:space="preserve"/>
      </w:r>
    </w:p>
    <w:tbl>
      <w:tblPr>
        <w:tblW w:type="dxa" w:w="9360"/>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20% — Human Direction</w:t>
            </w:r>
          </w:p>
        </w:tc>
        <w:tc>
          <w:tcPr>
            <w:tcW w:type="dxa" w:w="3120"/>
            <w:tcBorders>
              <w:top w:val="single" w:color="CCCCCC" w:sz="1"/>
              <w:left w:val="single" w:color="CCCCCC" w:sz="1"/>
              <w:bottom w:val="single" w:color="CCCCCC" w:sz="1"/>
              <w:right w:val="single" w:color="CCCCCC" w:sz="1"/>
            </w:tcBorders>
            <w:shd w:fill="028090"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60% — AI Generation</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20% — Human Review</w:t>
            </w:r>
          </w:p>
        </w:tc>
      </w:tr>
      <w:tr>
        <w:tc>
          <w:tcPr>
            <w:tcW w:type="dxa" w:w="312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Topic selection, structural design, strategic framing, worked example parameters, quality direction.</w:t>
            </w:r>
          </w:p>
        </w:tc>
        <w:tc>
          <w:tcPr>
            <w:tcW w:type="dxa" w:w="3120"/>
            <w:tcBorders>
              <w:top w:val="single" w:color="CCCCCC" w:sz="1"/>
              <w:left w:val="single" w:color="CCCCCC" w:sz="1"/>
              <w:bottom w:val="single" w:color="CCCCCC" w:sz="1"/>
              <w:right w:val="single" w:color="CCCCCC" w:sz="1"/>
            </w:tcBorders>
            <w:shd w:fill="F5DFA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Technical content drafting, formula derivation, table construction, regulatory mapping, case study research.</w:t>
            </w:r>
          </w:p>
        </w:tc>
        <w:tc>
          <w:tcPr>
            <w:tcW w:type="dxa" w:w="312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Mandatory review for accuracy, consistency, professional standards, and editorial judgment before publication.</w:t>
            </w:r>
          </w:p>
        </w:tc>
      </w:tr>
    </w:tbl>
    <w:p>
      <w:pPr>
        <w:spacing w:after="0" w:before="80"/>
      </w:pPr>
      <w:r>
        <w:t xml:space="preserve"/>
      </w:r>
    </w:p>
    <w:p>
      <w:pPr>
        <w:spacing w:after="80" w:before="80"/>
        <w:jc w:val="both"/>
      </w:pPr>
      <w:r>
        <w:rPr>
          <w:rFonts w:ascii="Calibri" w:cs="Calibri" w:eastAsia="Calibri" w:hAnsi="Calibri"/>
          <w:i/>
          <w:iCs/>
          <w:color w:val="028090"/>
          <w:sz w:val="22"/>
          <w:szCs w:val="22"/>
        </w:rPr>
        <w:t xml:space="preserve">AI-generated content without mandatory human review is not professional-grade content — it is a liability.</w:t>
      </w:r>
    </w:p>
    <w:p>
      <w:pPr>
        <w:spacing w:after="0" w:before="160"/>
      </w:pPr>
      <w:r>
        <w:t xml:space="preserve"/>
      </w:r>
    </w:p>
    <w:p>
      <w:pPr>
        <w:pStyle w:val="Heading1"/>
        <w:spacing w:after="160" w:before="320"/>
      </w:pPr>
      <w:r>
        <w:rPr>
          <w:rFonts w:ascii="Calibri" w:cs="Calibri" w:eastAsia="Calibri" w:hAnsi="Calibri"/>
          <w:b/>
          <w:bCs/>
          <w:color w:val="0D1B2A"/>
          <w:sz w:val="48"/>
          <w:szCs w:val="48"/>
        </w:rPr>
        <w:t xml:space="preserve">Section 1 — Why ISDA Exists</w:t>
      </w:r>
    </w:p>
    <w:p>
      <w:pPr>
        <w:pBdr>
          <w:bottom w:val="single" w:color="028090" w:sz="6" w:space="1"/>
        </w:pBdr>
        <w:spacing w:after="120" w:before="120"/>
      </w:pPr>
      <w:r>
        <w:t xml:space="preserve"/>
      </w:r>
    </w:p>
    <w:p>
      <w:pPr>
        <w:spacing w:after="0" w:before="80"/>
      </w:pPr>
      <w:r>
        <w:t xml:space="preserve"/>
      </w:r>
    </w:p>
    <w:p>
      <w:pPr>
        <w:pStyle w:val="Heading2"/>
        <w:spacing w:after="120" w:before="240"/>
      </w:pPr>
      <w:r>
        <w:rPr>
          <w:rFonts w:ascii="Calibri" w:cs="Calibri" w:eastAsia="Calibri" w:hAnsi="Calibri"/>
          <w:b/>
          <w:bCs/>
          <w:color w:val="028090"/>
          <w:sz w:val="36"/>
          <w:szCs w:val="36"/>
        </w:rPr>
        <w:t xml:space="preserve">1.1  The Pre-Netting World</w:t>
      </w:r>
    </w:p>
    <w:p>
      <w:pPr>
        <w:spacing w:after="80" w:before="80"/>
        <w:jc w:val="both"/>
      </w:pPr>
      <w:r>
        <w:rPr>
          <w:rFonts w:ascii="Calibri" w:cs="Calibri" w:eastAsia="Calibri" w:hAnsi="Calibri"/>
          <w:color w:val="1A1A2E"/>
          <w:sz w:val="22"/>
          <w:szCs w:val="22"/>
        </w:rPr>
        <w:t xml:space="preserve">Before standardised documentation and legally enforceable netting, the over-the-counter (OTC) derivative market was a patchwork of bespoke bilateral contracts. Each trade was individually documented; each had its own termination provisions; and in the event of a counterparty default, a bank had no reliable mechanism to offset what it was owed against what it owed. The result was gross exposure measurement — every trade counted independently, regardless of whether the same counterparty was simultaneously on the other side of an offsetting position.</w:t>
      </w:r>
    </w:p>
    <w:p>
      <w:pPr>
        <w:spacing w:after="0" w:before="80"/>
      </w:pPr>
      <w:r>
        <w:t xml:space="preserve"/>
      </w:r>
    </w:p>
    <w:p>
      <w:pPr>
        <w:spacing w:after="80" w:before="80"/>
        <w:jc w:val="both"/>
      </w:pPr>
      <w:r>
        <w:rPr>
          <w:rFonts w:ascii="Calibri" w:cs="Calibri" w:eastAsia="Calibri" w:hAnsi="Calibri"/>
          <w:color w:val="1A1A2E"/>
          <w:sz w:val="22"/>
          <w:szCs w:val="22"/>
        </w:rPr>
        <w:t xml:space="preserve">The systemic consequences were significant. Capital requirements were grossly overstated relative to net economic risk. Settlement risk was amplified: two trades that theoretically cancelled each other out still required independent settlement flows. And in a stress event, a defaulting counterparty's administrator could selectively enforce profitable contracts whilst walking away from loss-making ones — a practice known as cherry-picking.</w:t>
      </w:r>
    </w:p>
    <w:p>
      <w:pPr>
        <w:spacing w:after="0" w:before="80"/>
      </w:pPr>
      <w:r>
        <w:t xml:space="preserve"/>
      </w:r>
    </w:p>
    <w:p>
      <w:pPr>
        <w:pStyle w:val="Heading2"/>
        <w:spacing w:after="120" w:before="240"/>
      </w:pPr>
      <w:r>
        <w:rPr>
          <w:rFonts w:ascii="Calibri" w:cs="Calibri" w:eastAsia="Calibri" w:hAnsi="Calibri"/>
          <w:b/>
          <w:bCs/>
          <w:color w:val="028090"/>
          <w:sz w:val="36"/>
          <w:szCs w:val="36"/>
        </w:rPr>
        <w:t xml:space="preserve">1.2  The 1987 Catalyst</w:t>
      </w:r>
    </w:p>
    <w:p>
      <w:pPr>
        <w:spacing w:after="80" w:before="80"/>
        <w:jc w:val="both"/>
      </w:pPr>
      <w:r>
        <w:rPr>
          <w:rFonts w:ascii="Calibri" w:cs="Calibri" w:eastAsia="Calibri" w:hAnsi="Calibri"/>
          <w:color w:val="1A1A2E"/>
          <w:sz w:val="22"/>
          <w:szCs w:val="22"/>
        </w:rPr>
        <w:t xml:space="preserve">The October 1987 market crash exposed the fragility of this structure. Counterparty concentrations that had been obscured by gross measurement suddenly became visible. The absence of standardised close-out provisions meant that resolving positions with a defaulted counterparty could take months or years, during which the surviving party bore unhedged market risk.</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100"/>
              <w:left w:type="dxa" w:w="160"/>
              <w:bottom w:type="dxa" w:w="100"/>
              <w:right w:type="dxa" w:w="160"/>
            </w:tcMar>
            <w:vAlign w:val="center"/>
          </w:tcPr>
          <w:p>
            <w:pPr>
              <w:jc w:val="center"/>
            </w:pPr>
            <w:r>
              <w:rPr>
                <w:rFonts w:ascii="Calibri" w:cs="Calibri" w:eastAsia="Calibri" w:hAnsi="Calibri"/>
                <w:b/>
                <w:bCs/>
                <w:color w:val="C8953A"/>
                <w:sz w:val="20"/>
                <w:szCs w:val="20"/>
              </w:rPr>
              <w:t xml:space="preserve">KEY INSIGHT</w:t>
            </w:r>
          </w:p>
        </w:tc>
        <w:tc>
          <w:tcPr>
            <w:tcW w:type="dxa" w:w="7920"/>
            <w:tcBorders>
              <w:top w:val="none" w:color="FFFFFF" w:sz="0"/>
              <w:left w:val="none" w:color="FFFFFF" w:sz="0"/>
              <w:bottom w:val="none" w:color="FFFFFF" w:sz="0"/>
              <w:right w:val="none" w:color="FFFFFF" w:sz="0"/>
            </w:tcBorders>
            <w:shd w:fill="E0F4F7" w:val="clear"/>
            <w:tcMar>
              <w:top w:type="dxa" w:w="100"/>
              <w:left w:type="dxa" w:w="160"/>
              <w:bottom w:type="dxa" w:w="100"/>
              <w:right w:type="dxa" w:w="160"/>
            </w:tcMar>
          </w:tcPr>
          <w:p>
            <w:pPr>
              <w:jc w:val="both"/>
            </w:pPr>
            <w:r>
              <w:rPr>
                <w:rFonts w:ascii="Calibri" w:cs="Calibri" w:eastAsia="Calibri" w:hAnsi="Calibri"/>
                <w:i/>
                <w:iCs/>
                <w:color w:val="1A1A2E"/>
                <w:sz w:val="20"/>
                <w:szCs w:val="20"/>
              </w:rPr>
              <w:t xml:space="preserve">Cherry-picking — where an administrator of a defaulted entity selectively enforces only the contracts that are in-the-money for the estate whilst disclaiming out-of-the-money contracts — was the central legal risk that ISDA's close-out netting provisions were designed to eliminate.</w:t>
            </w:r>
          </w:p>
        </w:tc>
      </w:tr>
    </w:tbl>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1.3  ISDA's Founding Mandate</w:t>
      </w:r>
    </w:p>
    <w:p>
      <w:pPr>
        <w:spacing w:after="80" w:before="80"/>
        <w:jc w:val="both"/>
      </w:pPr>
      <w:r>
        <w:rPr>
          <w:rFonts w:ascii="Calibri" w:cs="Calibri" w:eastAsia="Calibri" w:hAnsi="Calibri"/>
          <w:color w:val="1A1A2E"/>
          <w:sz w:val="22"/>
          <w:szCs w:val="22"/>
        </w:rPr>
        <w:t xml:space="preserve">The International Swaps and Derivatives Association (ISDA) was founded in 1985, initially as the International Swap Dealers Association. Its core mandate was threefold:</w:t>
      </w:r>
    </w:p>
    <w:p>
      <w:pPr>
        <w:spacing w:after="0" w:before="80"/>
      </w:pPr>
      <w:r>
        <w:t xml:space="preserve"/>
      </w:r>
    </w:p>
    <w:p>
      <w:pPr>
        <w:pStyle w:val="ListParagraph"/>
        <w:numPr>
          <w:ilvl w:val="0"/>
          <w:numId w:val="2"/>
        </w:numPr>
        <w:spacing w:after="60" w:before="60"/>
      </w:pPr>
      <w:r>
        <w:rPr>
          <w:rFonts w:ascii="Calibri" w:cs="Calibri" w:eastAsia="Calibri" w:hAnsi="Calibri"/>
          <w:color w:val="1A1A2E"/>
          <w:sz w:val="22"/>
          <w:szCs w:val="22"/>
        </w:rPr>
        <w:t xml:space="preserve">Standardise documentation: produce template agreements that could be adopted across the industry, reducing negotiation time and legal uncertainty.</w:t>
      </w:r>
    </w:p>
    <w:p>
      <w:pPr>
        <w:pStyle w:val="ListParagraph"/>
        <w:numPr>
          <w:ilvl w:val="0"/>
          <w:numId w:val="2"/>
        </w:numPr>
        <w:spacing w:after="60" w:before="60"/>
      </w:pPr>
      <w:r>
        <w:rPr>
          <w:rFonts w:ascii="Calibri" w:cs="Calibri" w:eastAsia="Calibri" w:hAnsi="Calibri"/>
          <w:color w:val="1A1A2E"/>
          <w:sz w:val="22"/>
          <w:szCs w:val="22"/>
        </w:rPr>
        <w:t xml:space="preserve">Establish legal certainty: secure enforceable netting opinions across major jurisdictions, confirming that a single net sum — not gross individual trade amounts — would be recognised in insolvency proceedings.</w:t>
      </w:r>
    </w:p>
    <w:p>
      <w:pPr>
        <w:pStyle w:val="ListParagraph"/>
        <w:numPr>
          <w:ilvl w:val="0"/>
          <w:numId w:val="2"/>
        </w:numPr>
        <w:spacing w:after="60" w:before="60"/>
      </w:pPr>
      <w:r>
        <w:rPr>
          <w:rFonts w:ascii="Calibri" w:cs="Calibri" w:eastAsia="Calibri" w:hAnsi="Calibri"/>
          <w:color w:val="1A1A2E"/>
          <w:sz w:val="22"/>
          <w:szCs w:val="22"/>
        </w:rPr>
        <w:t xml:space="preserve">Enable regulatory capital efficiency: provide the legal foundation for regulators to allow banks to use net rather than gross exposures for capital calculation, dramatically reducing capital requirements for well-hedged books.</w:t>
      </w:r>
    </w:p>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1.4  What ISDA Solved — and What It Did Not</w:t>
      </w:r>
    </w:p>
    <w:p>
      <w:pPr>
        <w:spacing w:after="80" w:before="80"/>
        <w:jc w:val="both"/>
      </w:pPr>
      <w:r>
        <w:rPr>
          <w:rFonts w:ascii="Calibri" w:cs="Calibri" w:eastAsia="Calibri" w:hAnsi="Calibri"/>
          <w:color w:val="1A1A2E"/>
          <w:sz w:val="22"/>
          <w:szCs w:val="22"/>
        </w:rPr>
        <w:t xml:space="preserve">ISDA's standardised framework delivered three major advances:</w:t>
      </w:r>
    </w:p>
    <w:p>
      <w:pPr>
        <w:spacing w:after="0" w:before="60"/>
      </w:pPr>
      <w:r>
        <w:t xml:space="preserve"/>
      </w:r>
    </w:p>
    <w:tbl>
      <w:tblPr>
        <w:tblW w:type="dxa" w:w="9360"/>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Problem</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ISDA Solution</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Residual Risk</w:t>
            </w:r>
          </w:p>
        </w:tc>
      </w:tr>
      <w:tr>
        <w:tc>
          <w:tcPr>
            <w:tcW w:type="dxa" w:w="312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Cherry-picking by administrators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Close-out netting: single net sum replaces gross settlement</w:t>
            </w:r>
          </w:p>
        </w:tc>
        <w:tc>
          <w:tcPr>
            <w:tcW w:type="dxa" w:w="312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Enforceability varies by jurisdiction; opinions required</w:t>
            </w:r>
          </w:p>
        </w:tc>
      </w:tr>
      <w:tr>
        <w:tc>
          <w:tcPr>
            <w:tcW w:type="dxa" w:w="3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Gross exposure overstating capital needs</w:t>
            </w:r>
          </w:p>
        </w:tc>
        <w:tc>
          <w:tcPr>
            <w:tcW w:type="dxa" w:w="3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Net exposure recognised for regulatory capital under SA-CCR</w:t>
            </w:r>
          </w:p>
        </w:tc>
        <w:tc>
          <w:tcPr>
            <w:tcW w:type="dxa" w:w="3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Netting must be legally enforceable in counterparty's jurisdiction</w:t>
            </w:r>
          </w:p>
        </w:tc>
      </w:tr>
      <w:tr>
        <w:tc>
          <w:tcPr>
            <w:tcW w:type="dxa" w:w="312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Bespoke documentation — slow, expensive, inconsistent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Standardised Master Agreement and CSA templates</w:t>
            </w:r>
          </w:p>
        </w:tc>
        <w:tc>
          <w:tcPr>
            <w:tcW w:type="dxa" w:w="312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Schedule elections still require negotiation; legal costs remain</w:t>
            </w:r>
          </w:p>
        </w:tc>
      </w:tr>
      <w:tr>
        <w:tc>
          <w:tcPr>
            <w:tcW w:type="dxa" w:w="3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No standard collateral framework</w:t>
            </w:r>
          </w:p>
        </w:tc>
        <w:tc>
          <w:tcPr>
            <w:tcW w:type="dxa" w:w="3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Credit Support Annex (CSA) provides collateral architecture</w:t>
            </w:r>
          </w:p>
        </w:tc>
        <w:tc>
          <w:tcPr>
            <w:tcW w:type="dxa" w:w="3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CSA terms vary widely; collateral quality and haircuts negotiated bilaterally</w:t>
            </w:r>
          </w:p>
        </w:tc>
      </w:tr>
    </w:tbl>
    <w:p>
      <w:pPr>
        <w:spacing w:after="0" w:before="120"/>
      </w:pPr>
      <w:r>
        <w:t xml:space="preserve"/>
      </w:r>
    </w:p>
    <w:p>
      <w:pPr>
        <w:spacing w:after="80" w:before="80"/>
        <w:jc w:val="both"/>
      </w:pPr>
      <w:r>
        <w:rPr>
          <w:rFonts w:ascii="Calibri" w:cs="Calibri" w:eastAsia="Calibri" w:hAnsi="Calibri"/>
          <w:color w:val="1A1A2E"/>
          <w:sz w:val="22"/>
          <w:szCs w:val="22"/>
        </w:rPr>
        <w:t xml:space="preserve">Critically, ISDA documentation does not eliminate credit risk — it manages it. A counterparty can still default; collateral can still be insufficient; markets can still move adversely between margin calls. ISDA provides the legal infrastructure within which risk management tools — CVA, FVA, MVA, and ColVA — operate.</w:t>
      </w:r>
    </w:p>
    <w:p>
      <w:pPr>
        <w:spacing w:after="0" w:before="160"/>
      </w:pPr>
      <w:r>
        <w:t xml:space="preserve"/>
      </w:r>
    </w:p>
    <w:p>
      <w:r>
        <w:br w:type="page"/>
      </w:r>
    </w:p>
    <w:p>
      <w:pPr>
        <w:pStyle w:val="Heading1"/>
        <w:spacing w:after="160" w:before="320"/>
      </w:pPr>
      <w:r>
        <w:rPr>
          <w:rFonts w:ascii="Calibri" w:cs="Calibri" w:eastAsia="Calibri" w:hAnsi="Calibri"/>
          <w:b/>
          <w:bCs/>
          <w:color w:val="0D1B2A"/>
          <w:sz w:val="48"/>
          <w:szCs w:val="48"/>
        </w:rPr>
        <w:t xml:space="preserve">Section 2 — The ISDA Document Hierarchy</w:t>
      </w:r>
    </w:p>
    <w:p>
      <w:pPr>
        <w:pBdr>
          <w:bottom w:val="single" w:color="028090" w:sz="6" w:space="1"/>
        </w:pBdr>
        <w:spacing w:after="120" w:before="120"/>
      </w:pPr>
      <w:r>
        <w:t xml:space="preserve"/>
      </w:r>
    </w:p>
    <w:p>
      <w:pPr>
        <w:spacing w:after="0" w:before="80"/>
      </w:pPr>
      <w:r>
        <w:t xml:space="preserve"/>
      </w:r>
    </w:p>
    <w:p>
      <w:pPr>
        <w:pStyle w:val="Heading2"/>
        <w:spacing w:after="120" w:before="240"/>
      </w:pPr>
      <w:r>
        <w:rPr>
          <w:rFonts w:ascii="Calibri" w:cs="Calibri" w:eastAsia="Calibri" w:hAnsi="Calibri"/>
          <w:b/>
          <w:bCs/>
          <w:color w:val="028090"/>
          <w:sz w:val="36"/>
          <w:szCs w:val="36"/>
        </w:rPr>
        <w:t xml:space="preserve">2.1  The Three-Layer Stack</w:t>
      </w:r>
    </w:p>
    <w:p>
      <w:pPr>
        <w:spacing w:after="80" w:before="80"/>
        <w:jc w:val="both"/>
      </w:pPr>
      <w:r>
        <w:rPr>
          <w:rFonts w:ascii="Calibri" w:cs="Calibri" w:eastAsia="Calibri" w:hAnsi="Calibri"/>
          <w:color w:val="1A1A2E"/>
          <w:sz w:val="22"/>
          <w:szCs w:val="22"/>
        </w:rPr>
        <w:t xml:space="preserve">The ISDA framework comprises three document types arranged in a strict legal hierarchy. Understanding what each layer does — and critically, which layers can exist independently — is foundational to understanding how OTC derivative contracts are structured.</w:t>
      </w:r>
    </w:p>
    <w:p>
      <w:pPr>
        <w:spacing w:after="0" w:before="120"/>
      </w:pPr>
      <w:r>
        <w:t xml:space="preserve"/>
      </w:r>
    </w:p>
    <w:tbl>
      <w:tblPr>
        <w:tblW w:type="dxa" w:w="9360"/>
      </w:tblPr>
      <w:tblGrid>
        <w:gridCol w:w="9360"/>
      </w:tblGrid>
      <w:tr>
        <w:tc>
          <w:tcPr>
            <w:tcW w:type="dxa" w:w="9360"/>
            <w:tcBorders>
              <w:top w:val="single" w:color="C8953A" w:sz="8"/>
              <w:left w:val="single" w:color="C8953A" w:sz="8"/>
              <w:bottom w:val="none" w:color="FFFFFF" w:sz="0"/>
              <w:right w:val="none" w:color="FFFFFF" w:sz="0"/>
            </w:tcBorders>
            <w:shd w:fill="1B2A4A" w:val="clear"/>
            <w:tcMar>
              <w:top w:type="dxa" w:w="160"/>
              <w:left w:type="dxa" w:w="240"/>
              <w:bottom w:type="dxa" w:w="100"/>
              <w:right w:type="dxa" w:w="240"/>
            </w:tcMar>
          </w:tcPr>
          <w:p>
            <w:pPr>
              <w:jc w:val="center"/>
            </w:pPr>
            <w:r>
              <w:rPr>
                <w:rFonts w:ascii="Calibri" w:cs="Calibri" w:eastAsia="Calibri" w:hAnsi="Calibri"/>
                <w:b/>
                <w:bCs/>
                <w:caps/>
                <w:color w:val="C8953A"/>
                <w:sz w:val="18"/>
                <w:szCs w:val="18"/>
              </w:rPr>
              <w:t xml:space="preserve">LAYER 1</w:t>
            </w:r>
          </w:p>
          <w:p>
            <w:pPr>
              <w:jc w:val="center"/>
            </w:pPr>
            <w:r>
              <w:rPr>
                <w:rFonts w:ascii="Calibri" w:cs="Calibri" w:eastAsia="Calibri" w:hAnsi="Calibri"/>
                <w:b/>
                <w:bCs/>
                <w:color w:val="FFFFFF"/>
                <w:sz w:val="28"/>
                <w:szCs w:val="28"/>
              </w:rPr>
              <w:t xml:space="preserve">ISDA Master Agreement + Schedule</w:t>
            </w:r>
          </w:p>
          <w:p>
            <w:pPr>
              <w:jc w:val="center"/>
            </w:pPr>
            <w:r>
              <w:rPr>
                <w:rFonts w:ascii="Calibri" w:cs="Calibri" w:eastAsia="Calibri" w:hAnsi="Calibri"/>
                <w:i/>
                <w:iCs/>
                <w:color w:val="028090"/>
                <w:sz w:val="20"/>
                <w:szCs w:val="20"/>
              </w:rPr>
              <w:t xml:space="preserve">Inseparable — the Schedule is legally part of the Master Agreement</w:t>
            </w:r>
          </w:p>
          <w:p>
            <w:pPr>
              <w:jc w:val="center"/>
            </w:pPr>
            <w:r>
              <w:rPr>
                <w:rFonts w:ascii="Calibri" w:cs="Calibri" w:eastAsia="Calibri" w:hAnsi="Calibri"/>
                <w:b/>
                <w:bCs/>
                <w:color w:val="00A896"/>
                <w:sz w:val="20"/>
                <w:szCs w:val="20"/>
              </w:rPr>
              <w:t xml:space="preserve">CAN stand alone without a CSA ✔</w:t>
            </w:r>
          </w:p>
        </w:tc>
      </w:tr>
      <w:tr>
        <w:tc>
          <w:tcPr>
            <w:tcW w:type="dxa" w:w="9360"/>
            <w:tcBorders>
              <w:top w:val="none" w:color="FFFFFF" w:sz="0"/>
              <w:left w:val="none" w:color="FFFFFF" w:sz="0"/>
              <w:bottom w:val="none" w:color="FFFFFF" w:sz="0"/>
              <w:right w:val="none" w:color="FFFFFF" w:sz="0"/>
            </w:tcBorders>
            <w:shd w:fill="FFFFFF" w:val="clear"/>
            <w:tcMar>
              <w:top w:type="dxa" w:w="40"/>
              <w:left w:type="dxa" w:w="240"/>
              <w:bottom w:type="dxa" w:w="40"/>
              <w:right w:type="dxa" w:w="240"/>
            </w:tcMar>
          </w:tcPr>
          <w:p>
            <w:pPr>
              <w:jc w:val="center"/>
            </w:pPr>
            <w:r>
              <w:rPr>
                <w:rFonts w:ascii="Calibri" w:cs="Calibri" w:eastAsia="Calibri" w:hAnsi="Calibri"/>
                <w:color w:val="8A9BB0"/>
                <w:sz w:val="18"/>
                <w:szCs w:val="18"/>
              </w:rPr>
              <w:t xml:space="preserve">▼  optional dependency ▼</w:t>
            </w:r>
          </w:p>
        </w:tc>
      </w:tr>
      <w:tr>
        <w:tc>
          <w:tcPr>
            <w:tcW w:type="dxa" w:w="9360"/>
            <w:tcBorders>
              <w:top w:val="single" w:color="028090" w:sz="8"/>
              <w:left w:val="single" w:color="028090" w:sz="8"/>
              <w:bottom w:val="none" w:color="FFFFFF" w:sz="0"/>
              <w:right w:val="none" w:color="FFFFFF" w:sz="0"/>
            </w:tcBorders>
            <w:shd w:fill="1B2A4A" w:val="clear"/>
            <w:tcMar>
              <w:top w:type="dxa" w:w="160"/>
              <w:left w:type="dxa" w:w="400"/>
              <w:bottom w:type="dxa" w:w="100"/>
              <w:right w:type="dxa" w:w="400"/>
            </w:tcMar>
          </w:tcPr>
          <w:p>
            <w:pPr>
              <w:jc w:val="center"/>
            </w:pPr>
            <w:r>
              <w:rPr>
                <w:rFonts w:ascii="Calibri" w:cs="Calibri" w:eastAsia="Calibri" w:hAnsi="Calibri"/>
                <w:b/>
                <w:bCs/>
                <w:caps/>
                <w:color w:val="028090"/>
                <w:sz w:val="18"/>
                <w:szCs w:val="18"/>
              </w:rPr>
              <w:t xml:space="preserve">LAYER 2</w:t>
            </w:r>
          </w:p>
          <w:p>
            <w:pPr>
              <w:jc w:val="center"/>
            </w:pPr>
            <w:r>
              <w:rPr>
                <w:rFonts w:ascii="Calibri" w:cs="Calibri" w:eastAsia="Calibri" w:hAnsi="Calibri"/>
                <w:b/>
                <w:bCs/>
                <w:color w:val="FFFFFF"/>
                <w:sz w:val="28"/>
                <w:szCs w:val="28"/>
              </w:rPr>
              <w:t xml:space="preserve">Credit Support Annex (CSA)</w:t>
            </w:r>
          </w:p>
          <w:p>
            <w:pPr>
              <w:jc w:val="center"/>
            </w:pPr>
            <w:r>
              <w:rPr>
                <w:rFonts w:ascii="Calibri" w:cs="Calibri" w:eastAsia="Calibri" w:hAnsi="Calibri"/>
                <w:i/>
                <w:iCs/>
                <w:color w:val="028090"/>
                <w:sz w:val="20"/>
                <w:szCs w:val="20"/>
              </w:rPr>
              <w:t xml:space="preserve">Governs collateral posting — Variation Margin and Initial Margin</w:t>
            </w:r>
          </w:p>
          <w:p>
            <w:pPr>
              <w:jc w:val="center"/>
            </w:pPr>
            <w:r>
              <w:rPr>
                <w:rFonts w:ascii="Calibri" w:cs="Calibri" w:eastAsia="Calibri" w:hAnsi="Calibri"/>
                <w:b/>
                <w:bCs/>
                <w:color w:val="C8953A"/>
                <w:sz w:val="20"/>
                <w:szCs w:val="20"/>
              </w:rPr>
              <w:t xml:space="preserve">CANNOT exist without a Master Agreement ✘  |  Master CAN exist without CSA ✔</w:t>
            </w:r>
          </w:p>
        </w:tc>
      </w:tr>
      <w:tr>
        <w:tc>
          <w:tcPr>
            <w:tcW w:type="dxa" w:w="9360"/>
            <w:tcBorders>
              <w:top w:val="none" w:color="FFFFFF" w:sz="0"/>
              <w:left w:val="none" w:color="FFFFFF" w:sz="0"/>
              <w:bottom w:val="none" w:color="FFFFFF" w:sz="0"/>
              <w:right w:val="none" w:color="FFFFFF" w:sz="0"/>
            </w:tcBorders>
            <w:shd w:fill="FFFFFF" w:val="clear"/>
            <w:tcMar>
              <w:top w:type="dxa" w:w="40"/>
              <w:left w:type="dxa" w:w="240"/>
              <w:bottom w:type="dxa" w:w="40"/>
              <w:right w:type="dxa" w:w="240"/>
            </w:tcMar>
          </w:tcPr>
          <w:p>
            <w:pPr>
              <w:jc w:val="center"/>
            </w:pPr>
            <w:r>
              <w:rPr>
                <w:rFonts w:ascii="Calibri" w:cs="Calibri" w:eastAsia="Calibri" w:hAnsi="Calibri"/>
                <w:color w:val="8A9BB0"/>
                <w:sz w:val="18"/>
                <w:szCs w:val="18"/>
              </w:rPr>
              <w:t xml:space="preserve">▼  governed by layers above ▼</w:t>
            </w:r>
          </w:p>
        </w:tc>
      </w:tr>
      <w:tr>
        <w:tc>
          <w:tcPr>
            <w:tcW w:type="dxa" w:w="9360"/>
            <w:tcBorders>
              <w:top w:val="single" w:color="8A9BB0" w:sz="8"/>
              <w:left w:val="single" w:color="8A9BB0" w:sz="8"/>
              <w:bottom w:val="none" w:color="FFFFFF" w:sz="0"/>
              <w:right w:val="none" w:color="FFFFFF" w:sz="0"/>
            </w:tcBorders>
            <w:shd w:fill="F4F6F8" w:val="clear"/>
            <w:tcMar>
              <w:top w:type="dxa" w:w="160"/>
              <w:left w:type="dxa" w:w="600"/>
              <w:bottom w:type="dxa" w:w="100"/>
              <w:right w:type="dxa" w:w="600"/>
            </w:tcMar>
          </w:tcPr>
          <w:p>
            <w:pPr>
              <w:jc w:val="center"/>
            </w:pPr>
            <w:r>
              <w:rPr>
                <w:rFonts w:ascii="Calibri" w:cs="Calibri" w:eastAsia="Calibri" w:hAnsi="Calibri"/>
                <w:b/>
                <w:bCs/>
                <w:caps/>
                <w:color w:val="8A9BB0"/>
                <w:sz w:val="18"/>
                <w:szCs w:val="18"/>
              </w:rPr>
              <w:t xml:space="preserve">LAYER 3</w:t>
            </w:r>
          </w:p>
          <w:p>
            <w:pPr>
              <w:jc w:val="center"/>
            </w:pPr>
            <w:r>
              <w:rPr>
                <w:rFonts w:ascii="Calibri" w:cs="Calibri" w:eastAsia="Calibri" w:hAnsi="Calibri"/>
                <w:b/>
                <w:bCs/>
                <w:color w:val="1A1A2E"/>
                <w:sz w:val="28"/>
                <w:szCs w:val="28"/>
              </w:rPr>
              <w:t xml:space="preserve">Trade Confirmations</w:t>
            </w:r>
          </w:p>
          <w:p>
            <w:pPr>
              <w:jc w:val="center"/>
            </w:pPr>
            <w:r>
              <w:rPr>
                <w:rFonts w:ascii="Calibri" w:cs="Calibri" w:eastAsia="Calibri" w:hAnsi="Calibri"/>
                <w:i/>
                <w:iCs/>
                <w:color w:val="8A9BB0"/>
                <w:sz w:val="20"/>
                <w:szCs w:val="20"/>
              </w:rPr>
              <w:t xml:space="preserve">Economic terms of each individual trade — notional, tenor, rate, payment dates</w:t>
            </w:r>
          </w:p>
          <w:p>
            <w:pPr>
              <w:jc w:val="center"/>
            </w:pPr>
            <w:r>
              <w:rPr>
                <w:rFonts w:ascii="Calibri" w:cs="Calibri" w:eastAsia="Calibri" w:hAnsi="Calibri"/>
                <w:color w:val="1A1A2E"/>
                <w:sz w:val="20"/>
                <w:szCs w:val="20"/>
              </w:rPr>
              <w:t xml:space="preserve">Reference and are governed by whichever Master and CSA (if any) applies</w:t>
            </w:r>
          </w:p>
        </w:tc>
      </w:tr>
    </w:tbl>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2.2  Dependency Rules — What Can Exist Without What</w:t>
      </w:r>
    </w:p>
    <w:p>
      <w:pPr>
        <w:spacing w:after="80" w:before="80"/>
        <w:jc w:val="both"/>
      </w:pPr>
      <w:r>
        <w:rPr>
          <w:rFonts w:ascii="Calibri" w:cs="Calibri" w:eastAsia="Calibri" w:hAnsi="Calibri"/>
          <w:color w:val="1A1A2E"/>
          <w:sz w:val="22"/>
          <w:szCs w:val="22"/>
        </w:rPr>
        <w:t xml:space="preserve">The dependency logic is frequently misunderstood in practice. The rules are absolute:</w:t>
      </w:r>
    </w:p>
    <w:p>
      <w:pPr>
        <w:spacing w:after="0" w:before="80"/>
      </w:pPr>
      <w:r>
        <w:t xml:space="preserve"/>
      </w:r>
    </w:p>
    <w:tbl>
      <w:tblPr>
        <w:tblW w:type="dxa" w:w="9360"/>
      </w:tblPr>
      <w:tblGrid>
        <w:gridCol w:w="3500"/>
        <w:gridCol w:w="1800"/>
        <w:gridCol w:w="4060"/>
      </w:tblGrid>
      <w:tr>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Document</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Can Stand Alone?</w:t>
            </w:r>
          </w:p>
        </w:tc>
        <w:tc>
          <w:tcPr>
            <w:tcW w:type="dxa" w:w="40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Why</w:t>
            </w:r>
          </w:p>
        </w:tc>
      </w:tr>
      <w:tr>
        <w:tc>
          <w:tcPr>
            <w:tcW w:type="dxa" w:w="35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Master Agreement</w:t>
            </w:r>
          </w:p>
        </w:tc>
        <w:tc>
          <w:tcPr>
            <w:tcW w:type="dxa" w:w="1800"/>
            <w:tcBorders>
              <w:top w:val="single" w:color="CCCCCC" w:sz="1"/>
              <w:left w:val="single" w:color="CCCCCC" w:sz="1"/>
              <w:bottom w:val="single" w:color="CCCCCC" w:sz="1"/>
              <w:right w:val="single" w:color="CCCCCC" w:sz="1"/>
            </w:tcBorders>
            <w:shd w:fill="00A89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Yes ✔</w:t>
            </w:r>
          </w:p>
        </w:tc>
        <w:tc>
          <w:tcPr>
            <w:tcW w:type="dxa" w:w="40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Self-contained governing agreement. Many corporate counterparties trade under an ISDA Master with no CSA — uncollateralised trading.</w:t>
            </w:r>
          </w:p>
        </w:tc>
      </w:tr>
      <w:tr>
        <w:tc>
          <w:tcPr>
            <w:tcW w:type="dxa" w:w="3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Schedule</w:t>
            </w:r>
          </w:p>
        </w:tc>
        <w:tc>
          <w:tcPr>
            <w:tcW w:type="dxa" w:w="1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Calibri" w:cs="Calibri" w:eastAsia="Calibri" w:hAnsi="Calibri"/>
                <w:b/>
                <w:bCs/>
                <w:color w:val="C0392B"/>
                <w:sz w:val="20"/>
                <w:szCs w:val="20"/>
              </w:rPr>
              <w:t xml:space="preserve">No ✘</w:t>
            </w:r>
          </w:p>
        </w:tc>
        <w:tc>
          <w:tcPr>
            <w:tcW w:type="dxa" w:w="40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Legally part of the Master Agreement — it amends and supplements the Master. Cannot exist as a standalone document.</w:t>
            </w:r>
          </w:p>
        </w:tc>
      </w:tr>
      <w:tr>
        <w:tc>
          <w:tcPr>
            <w:tcW w:type="dxa" w:w="35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Credit Support Annex (CSA)</w:t>
            </w:r>
          </w:p>
        </w:tc>
        <w:tc>
          <w:tcPr>
            <w:tcW w:type="dxa" w:w="1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Calibri" w:cs="Calibri" w:eastAsia="Calibri" w:hAnsi="Calibri"/>
                <w:b/>
                <w:bCs/>
                <w:color w:val="C0392B"/>
                <w:sz w:val="20"/>
                <w:szCs w:val="20"/>
              </w:rPr>
              <w:t xml:space="preserve">No ✘</w:t>
            </w:r>
          </w:p>
        </w:tc>
        <w:tc>
          <w:tcPr>
            <w:tcW w:type="dxa" w:w="40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A supplement to the Master Agreement. It has no legal standing without a Master in place. A CSA without a Master is legally void.</w:t>
            </w:r>
          </w:p>
        </w:tc>
      </w:tr>
      <w:tr>
        <w:tc>
          <w:tcPr>
            <w:tcW w:type="dxa" w:w="3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Trade Confirmations</w:t>
            </w:r>
          </w:p>
        </w:tc>
        <w:tc>
          <w:tcPr>
            <w:tcW w:type="dxa" w:w="1800"/>
            <w:tcBorders>
              <w:top w:val="single" w:color="CCCCCC" w:sz="1"/>
              <w:left w:val="single" w:color="CCCCCC" w:sz="1"/>
              <w:bottom w:val="single" w:color="CCCCCC" w:sz="1"/>
              <w:right w:val="single" w:color="CCCCCC" w:sz="1"/>
            </w:tcBorders>
            <w:shd w:fill="F5DFA8" w:val="clear"/>
            <w:tcMar>
              <w:top w:type="dxa" w:w="80"/>
              <w:left w:type="dxa" w:w="120"/>
              <w:bottom w:type="dxa" w:w="80"/>
              <w:right w:type="dxa" w:w="120"/>
            </w:tcMar>
            <w:vAlign w:val="center"/>
          </w:tcPr>
          <w:p>
            <w:pPr>
              <w:jc w:val="center"/>
            </w:pPr>
            <w:r>
              <w:rPr>
                <w:rFonts w:ascii="Calibri" w:cs="Calibri" w:eastAsia="Calibri" w:hAnsi="Calibri"/>
                <w:b/>
                <w:bCs/>
                <w:color w:val="1A1A2E"/>
                <w:sz w:val="20"/>
                <w:szCs w:val="20"/>
              </w:rPr>
              <w:t xml:space="preserve">Rarely</w:t>
            </w:r>
          </w:p>
        </w:tc>
        <w:tc>
          <w:tcPr>
            <w:tcW w:type="dxa" w:w="40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Technically can exist alone but have no netting protection and no collateral framework. In practice, always executed under a Master.</w:t>
            </w:r>
          </w:p>
        </w:tc>
      </w:tr>
    </w:tbl>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2.3  Annotated Hierarchy — Key Clauses by Layer</w:t>
      </w:r>
    </w:p>
    <w:p>
      <w:pPr>
        <w:spacing w:after="80" w:before="80"/>
        <w:jc w:val="both"/>
      </w:pPr>
      <w:r>
        <w:rPr>
          <w:rFonts w:ascii="Calibri" w:cs="Calibri" w:eastAsia="Calibri" w:hAnsi="Calibri"/>
          <w:color w:val="1A1A2E"/>
          <w:sz w:val="22"/>
          <w:szCs w:val="22"/>
        </w:rPr>
        <w:t xml:space="preserve">The following maps the principal clause types across each layer of the ISDA stack. Practitioners negotiating or reviewing ISDA documentation will encounter each of these in the relevant document:</w:t>
      </w:r>
    </w:p>
    <w:p>
      <w:pPr>
        <w:spacing w:after="0" w:before="80"/>
      </w:pPr>
      <w:r>
        <w:t xml:space="preserve"/>
      </w:r>
    </w:p>
    <w:p>
      <w:pPr>
        <w:pStyle w:val="Heading3"/>
        <w:spacing w:after="80" w:before="180"/>
      </w:pPr>
      <w:r>
        <w:rPr>
          <w:rFonts w:ascii="Calibri" w:cs="Calibri" w:eastAsia="Calibri" w:hAnsi="Calibri"/>
          <w:b/>
          <w:bCs/>
          <w:color w:val="0D1B2A"/>
          <w:sz w:val="28"/>
          <w:szCs w:val="28"/>
        </w:rPr>
        <w:t xml:space="preserve">Master Agreement Clauses</w:t>
      </w:r>
    </w:p>
    <w:tbl>
      <w:tblPr>
        <w:tblW w:type="dxa" w:w="9360"/>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Clause Area</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Substance</w:t>
            </w:r>
          </w:p>
        </w:tc>
      </w:tr>
      <w:tr>
        <w:tc>
          <w:tcPr>
            <w:tcW w:type="dxa" w:w="28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Section 5 — Events of Default</w:t>
            </w:r>
          </w:p>
        </w:tc>
        <w:tc>
          <w:tcPr>
            <w:tcW w:type="dxa" w:w="65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Eight enumerated events: Failure to Pay, Breach of Agreement, Credit Support Default, Misrepresentation, Default Under Specified Transaction, Cross Default, Bankruptcy, Merger Without Assumption. Any one entitles the non-defaulting party to terminate.</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Section 5 — Termination Events</w:t>
            </w:r>
          </w:p>
        </w:tc>
        <w:tc>
          <w:tcPr>
            <w:tcW w:type="dxa" w:w="6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Illegality, Force Majeure, Tax Event, Tax Event Upon Merger, Credit Event Upon Merger, Additional Termination Event (ATE). Less severe than Events of Default — both parties may have termination rights.</w:t>
            </w:r>
          </w:p>
        </w:tc>
      </w:tr>
      <w:tr>
        <w:tc>
          <w:tcPr>
            <w:tcW w:type="dxa" w:w="28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Section 6 — Early Termination</w:t>
            </w:r>
          </w:p>
        </w:tc>
        <w:tc>
          <w:tcPr>
            <w:tcW w:type="dxa" w:w="65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Mechanism for calculating and paying the Close-out Amount following an Event of Default or Termination Event. The entire netting benefit flows from this section.</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Section 2 — Obligations</w:t>
            </w:r>
          </w:p>
        </w:tc>
        <w:tc>
          <w:tcPr>
            <w:tcW w:type="dxa" w:w="6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Payment and delivery obligations, payment netting (Section 2(c)), and the condition precedent that no Event of Default has occurred for payment obligations to apply.</w:t>
            </w:r>
          </w:p>
        </w:tc>
      </w:tr>
      <w:tr>
        <w:tc>
          <w:tcPr>
            <w:tcW w:type="dxa" w:w="28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Section 13 — Governing Law</w:t>
            </w:r>
          </w:p>
        </w:tc>
        <w:tc>
          <w:tcPr>
            <w:tcW w:type="dxa" w:w="65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Election between English law and New York law. Choice has material consequences for close-out mechanics, set-off rights, and enforceability in insolvency. Most dealer-to-dealer trades: English law. Many US corporate trades: New York law.</w:t>
            </w:r>
          </w:p>
        </w:tc>
      </w:tr>
    </w:tbl>
    <w:p>
      <w:pPr>
        <w:spacing w:after="0" w:before="80"/>
      </w:pPr>
      <w:r>
        <w:t xml:space="preserve"/>
      </w:r>
    </w:p>
    <w:p>
      <w:pPr>
        <w:pStyle w:val="Heading3"/>
        <w:spacing w:after="80" w:before="180"/>
      </w:pPr>
      <w:r>
        <w:rPr>
          <w:rFonts w:ascii="Calibri" w:cs="Calibri" w:eastAsia="Calibri" w:hAnsi="Calibri"/>
          <w:b/>
          <w:bCs/>
          <w:color w:val="0D1B2A"/>
          <w:sz w:val="28"/>
          <w:szCs w:val="28"/>
        </w:rPr>
        <w:t xml:space="preserve">Schedule Clauses (Elections)</w:t>
      </w:r>
    </w:p>
    <w:p>
      <w:pPr>
        <w:spacing w:after="80" w:before="80"/>
        <w:jc w:val="both"/>
      </w:pPr>
      <w:r>
        <w:rPr>
          <w:rFonts w:ascii="Calibri" w:cs="Calibri" w:eastAsia="Calibri" w:hAnsi="Calibri"/>
          <w:color w:val="1A1A2E"/>
          <w:sz w:val="22"/>
          <w:szCs w:val="22"/>
        </w:rPr>
        <w:t xml:space="preserve">The Schedule is where parties make their elections — essentially configuring the Master Agreement to their bilateral relationship. Key elections include:</w:t>
      </w:r>
    </w:p>
    <w:p>
      <w:pPr>
        <w:spacing w:after="0" w:before="60"/>
      </w:pPr>
      <w:r>
        <w:t xml:space="preserve"/>
      </w:r>
    </w:p>
    <w:p>
      <w:pPr>
        <w:pStyle w:val="ListParagraph"/>
        <w:numPr>
          <w:ilvl w:val="0"/>
          <w:numId w:val="2"/>
        </w:numPr>
        <w:spacing w:after="60" w:before="60"/>
      </w:pPr>
      <w:r>
        <w:rPr>
          <w:rFonts w:ascii="Calibri" w:cs="Calibri" w:eastAsia="Calibri" w:hAnsi="Calibri"/>
          <w:color w:val="1A1A2E"/>
          <w:sz w:val="22"/>
          <w:szCs w:val="22"/>
        </w:rPr>
        <w:t xml:space="preserve">Threshold Amount: exposure level above which collateral must be posted (may be zero for fully collateralised counterparties, or a credit-rating-linked amount for others)</w:t>
      </w:r>
    </w:p>
    <w:p>
      <w:pPr>
        <w:pStyle w:val="ListParagraph"/>
        <w:numPr>
          <w:ilvl w:val="0"/>
          <w:numId w:val="2"/>
        </w:numPr>
        <w:spacing w:after="60" w:before="60"/>
      </w:pPr>
      <w:r>
        <w:rPr>
          <w:rFonts w:ascii="Calibri" w:cs="Calibri" w:eastAsia="Calibri" w:hAnsi="Calibri"/>
          <w:color w:val="1A1A2E"/>
          <w:sz w:val="22"/>
          <w:szCs w:val="22"/>
        </w:rPr>
        <w:t xml:space="preserve">Minimum Transfer Amount (MTA): minimum size of a collateral call — prevents operationally burdensome small transfers</w:t>
      </w:r>
    </w:p>
    <w:p>
      <w:pPr>
        <w:pStyle w:val="ListParagraph"/>
        <w:numPr>
          <w:ilvl w:val="0"/>
          <w:numId w:val="2"/>
        </w:numPr>
        <w:spacing w:after="60" w:before="60"/>
      </w:pPr>
      <w:r>
        <w:rPr>
          <w:rFonts w:ascii="Calibri" w:cs="Calibri" w:eastAsia="Calibri" w:hAnsi="Calibri"/>
          <w:color w:val="1A1A2E"/>
          <w:sz w:val="22"/>
          <w:szCs w:val="22"/>
        </w:rPr>
        <w:t xml:space="preserve">Independent Amount (IA): upfront collateral buffer, equivalent to initial margin in bilateral pre-UMR trades</w:t>
      </w:r>
    </w:p>
    <w:p>
      <w:pPr>
        <w:pStyle w:val="ListParagraph"/>
        <w:numPr>
          <w:ilvl w:val="0"/>
          <w:numId w:val="2"/>
        </w:numPr>
        <w:spacing w:after="60" w:before="60"/>
      </w:pPr>
      <w:r>
        <w:rPr>
          <w:rFonts w:ascii="Calibri" w:cs="Calibri" w:eastAsia="Calibri" w:hAnsi="Calibri"/>
          <w:color w:val="1A1A2E"/>
          <w:sz w:val="22"/>
          <w:szCs w:val="22"/>
        </w:rPr>
        <w:t xml:space="preserve">Specified Entities and Specified Transactions: extends certain default and cross-default provisions to affiliates</w:t>
      </w:r>
    </w:p>
    <w:p>
      <w:pPr>
        <w:pStyle w:val="ListParagraph"/>
        <w:numPr>
          <w:ilvl w:val="0"/>
          <w:numId w:val="2"/>
        </w:numPr>
        <w:spacing w:after="60" w:before="60"/>
      </w:pPr>
      <w:r>
        <w:rPr>
          <w:rFonts w:ascii="Calibri" w:cs="Calibri" w:eastAsia="Calibri" w:hAnsi="Calibri"/>
          <w:color w:val="1A1A2E"/>
          <w:sz w:val="22"/>
          <w:szCs w:val="22"/>
        </w:rPr>
        <w:t xml:space="preserve">Additional Termination Events (ATEs): bespoke triggers agreed bilaterally — e.g. rating downgrade below a threshold, NAV decline clause for funds</w:t>
      </w:r>
    </w:p>
    <w:p>
      <w:pPr>
        <w:pStyle w:val="ListParagraph"/>
        <w:numPr>
          <w:ilvl w:val="0"/>
          <w:numId w:val="2"/>
        </w:numPr>
        <w:spacing w:after="60" w:before="60"/>
      </w:pPr>
      <w:r>
        <w:rPr>
          <w:rFonts w:ascii="Calibri" w:cs="Calibri" w:eastAsia="Calibri" w:hAnsi="Calibri"/>
          <w:color w:val="1A1A2E"/>
          <w:sz w:val="22"/>
          <w:szCs w:val="22"/>
        </w:rPr>
        <w:t xml:space="preserve">Credit Support Documents: identifies any CSA or other credit support in place</w:t>
      </w:r>
    </w:p>
    <w:p>
      <w:pPr>
        <w:spacing w:after="0" w:before="80"/>
      </w:pPr>
      <w:r>
        <w:t xml:space="preserve"/>
      </w:r>
    </w:p>
    <w:p>
      <w:pPr>
        <w:pStyle w:val="Heading3"/>
        <w:spacing w:after="80" w:before="180"/>
      </w:pPr>
      <w:r>
        <w:rPr>
          <w:rFonts w:ascii="Calibri" w:cs="Calibri" w:eastAsia="Calibri" w:hAnsi="Calibri"/>
          <w:b/>
          <w:bCs/>
          <w:color w:val="0D1B2A"/>
          <w:sz w:val="28"/>
          <w:szCs w:val="28"/>
        </w:rPr>
        <w:t xml:space="preserve">CSA Clauses</w:t>
      </w:r>
    </w:p>
    <w:p>
      <w:pPr>
        <w:spacing w:after="80" w:before="80"/>
        <w:jc w:val="both"/>
      </w:pPr>
      <w:r>
        <w:rPr>
          <w:rFonts w:ascii="Calibri" w:cs="Calibri" w:eastAsia="Calibri" w:hAnsi="Calibri"/>
          <w:color w:val="1A1A2E"/>
          <w:sz w:val="22"/>
          <w:szCs w:val="22"/>
        </w:rPr>
        <w:t xml:space="preserve">The Credit Support Annex contains the full collateral mechanics. Key provisions:</w:t>
      </w:r>
    </w:p>
    <w:p>
      <w:pPr>
        <w:spacing w:after="0" w:before="60"/>
      </w:pPr>
      <w:r>
        <w:t xml:space="preserve"/>
      </w:r>
    </w:p>
    <w:p>
      <w:pPr>
        <w:pStyle w:val="ListParagraph"/>
        <w:numPr>
          <w:ilvl w:val="0"/>
          <w:numId w:val="2"/>
        </w:numPr>
        <w:spacing w:after="60" w:before="60"/>
      </w:pPr>
      <w:r>
        <w:rPr>
          <w:rFonts w:ascii="Calibri" w:cs="Calibri" w:eastAsia="Calibri" w:hAnsi="Calibri"/>
          <w:color w:val="1A1A2E"/>
          <w:sz w:val="22"/>
          <w:szCs w:val="22"/>
        </w:rPr>
        <w:t xml:space="preserve">Eligible Collateral: specifies which assets can be posted — cash (by currency), government bonds (by issuer, rating, maturity), agency securities. Defines haircuts for each asset type.</w:t>
      </w:r>
    </w:p>
    <w:p>
      <w:pPr>
        <w:pStyle w:val="ListParagraph"/>
        <w:numPr>
          <w:ilvl w:val="0"/>
          <w:numId w:val="2"/>
        </w:numPr>
        <w:spacing w:after="60" w:before="60"/>
      </w:pPr>
      <w:r>
        <w:rPr>
          <w:rFonts w:ascii="Calibri" w:cs="Calibri" w:eastAsia="Calibri" w:hAnsi="Calibri"/>
          <w:color w:val="1A1A2E"/>
          <w:sz w:val="22"/>
          <w:szCs w:val="22"/>
        </w:rPr>
        <w:t xml:space="preserve">Base Currency: currency in which exposures and collateral amounts are calculated</w:t>
      </w:r>
    </w:p>
    <w:p>
      <w:pPr>
        <w:pStyle w:val="ListParagraph"/>
        <w:numPr>
          <w:ilvl w:val="0"/>
          <w:numId w:val="2"/>
        </w:numPr>
        <w:spacing w:after="60" w:before="60"/>
      </w:pPr>
      <w:r>
        <w:rPr>
          <w:rFonts w:ascii="Calibri" w:cs="Calibri" w:eastAsia="Calibri" w:hAnsi="Calibri"/>
          <w:color w:val="1A1A2E"/>
          <w:sz w:val="22"/>
          <w:szCs w:val="22"/>
        </w:rPr>
        <w:t xml:space="preserve">Valuation Date: frequency of mark-to-market and collateral calls (typically daily for banks)</w:t>
      </w:r>
    </w:p>
    <w:p>
      <w:pPr>
        <w:pStyle w:val="ListParagraph"/>
        <w:numPr>
          <w:ilvl w:val="0"/>
          <w:numId w:val="2"/>
        </w:numPr>
        <w:spacing w:after="60" w:before="60"/>
      </w:pPr>
      <w:r>
        <w:rPr>
          <w:rFonts w:ascii="Calibri" w:cs="Calibri" w:eastAsia="Calibri" w:hAnsi="Calibri"/>
          <w:color w:val="1A1A2E"/>
          <w:sz w:val="22"/>
          <w:szCs w:val="22"/>
        </w:rPr>
        <w:t xml:space="preserve">Valuation Agent: which party calculates the exposure — usually the party calling for collateral</w:t>
      </w:r>
    </w:p>
    <w:p>
      <w:pPr>
        <w:pStyle w:val="ListParagraph"/>
        <w:numPr>
          <w:ilvl w:val="0"/>
          <w:numId w:val="2"/>
        </w:numPr>
        <w:spacing w:after="60" w:before="60"/>
      </w:pPr>
      <w:r>
        <w:rPr>
          <w:rFonts w:ascii="Calibri" w:cs="Calibri" w:eastAsia="Calibri" w:hAnsi="Calibri"/>
          <w:color w:val="1A1A2E"/>
          <w:sz w:val="22"/>
          <w:szCs w:val="22"/>
        </w:rPr>
        <w:t xml:space="preserve">Dispute Resolution: procedure when the two parties disagree on valuation — typically involves independent dealer polling</w:t>
      </w:r>
    </w:p>
    <w:p>
      <w:pPr>
        <w:pStyle w:val="ListParagraph"/>
        <w:numPr>
          <w:ilvl w:val="0"/>
          <w:numId w:val="2"/>
        </w:numPr>
        <w:spacing w:after="60" w:before="60"/>
      </w:pPr>
      <w:r>
        <w:rPr>
          <w:rFonts w:ascii="Calibri" w:cs="Calibri" w:eastAsia="Calibri" w:hAnsi="Calibri"/>
          <w:color w:val="1A1A2E"/>
          <w:sz w:val="22"/>
          <w:szCs w:val="22"/>
        </w:rPr>
        <w:t xml:space="preserve">Rehypothecation Rights: whether the receiving party may reuse posted collateral for its own funding (typically permitted for VM; prohibited for UMR-segregated IM)</w:t>
      </w:r>
    </w:p>
    <w:p>
      <w:pPr>
        <w:pStyle w:val="ListParagraph"/>
        <w:numPr>
          <w:ilvl w:val="0"/>
          <w:numId w:val="2"/>
        </w:numPr>
        <w:spacing w:after="60" w:before="60"/>
      </w:pPr>
      <w:r>
        <w:rPr>
          <w:rFonts w:ascii="Calibri" w:cs="Calibri" w:eastAsia="Calibri" w:hAnsi="Calibri"/>
          <w:color w:val="1A1A2E"/>
          <w:sz w:val="22"/>
          <w:szCs w:val="22"/>
        </w:rPr>
        <w:t xml:space="preserve">Delivery Amount and Return Amount: mechanics of calls and returns, subject to MTA and rounding</w:t>
      </w:r>
    </w:p>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2.4  Governing Law — English vs New York</w:t>
      </w:r>
    </w:p>
    <w:p>
      <w:pPr>
        <w:spacing w:after="80" w:before="80"/>
        <w:jc w:val="both"/>
      </w:pPr>
      <w:r>
        <w:rPr>
          <w:rFonts w:ascii="Calibri" w:cs="Calibri" w:eastAsia="Calibri" w:hAnsi="Calibri"/>
          <w:color w:val="1A1A2E"/>
          <w:sz w:val="22"/>
          <w:szCs w:val="22"/>
        </w:rPr>
        <w:t xml:space="preserve">The choice between English law and New York law ISDA Master Agreements is not merely administrative — it has material legal consequences:</w:t>
      </w:r>
    </w:p>
    <w:p>
      <w:pPr>
        <w:spacing w:after="0" w:before="80"/>
      </w:pPr>
      <w:r>
        <w:t xml:space="preserve"/>
      </w:r>
    </w:p>
    <w:tbl>
      <w:tblPr>
        <w:tblW w:type="dxa" w:w="9360"/>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Dimension</w:t>
            </w:r>
          </w:p>
        </w:tc>
        <w:tc>
          <w:tcPr>
            <w:tcW w:type="dxa" w:w="3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English Law ISDA</w:t>
            </w:r>
          </w:p>
        </w:tc>
        <w:tc>
          <w:tcPr>
            <w:tcW w:type="dxa" w:w="3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New York Law ISDA</w:t>
            </w:r>
          </w:p>
        </w:tc>
      </w:tr>
      <w:tr>
        <w:tc>
          <w:tcPr>
            <w:tcW w:type="dxa" w:w="20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Close-out Amount</w:t>
            </w:r>
          </w:p>
        </w:tc>
        <w:tc>
          <w:tcPr>
            <w:tcW w:type="dxa" w:w="368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Loss method — party determines its loss or gain from replacement of terminated transactions</w:t>
            </w:r>
          </w:p>
        </w:tc>
        <w:tc>
          <w:tcPr>
            <w:tcW w:type="dxa" w:w="368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Loss method — broadly similar; some definitional differences in calculation methodology</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Insolvency Set-off</w:t>
            </w:r>
          </w:p>
        </w:tc>
        <w:tc>
          <w:tcPr>
            <w:tcW w:type="dxa" w:w="36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English insolvency rules generally support set-off of mutual obligations; netting opinions confirm this</w:t>
            </w:r>
          </w:p>
        </w:tc>
        <w:tc>
          <w:tcPr>
            <w:tcW w:type="dxa" w:w="36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Automatic stay in US bankruptcy can affect set-off rights; safe harbour provisions under US Bankruptcy Code Section 362(b)(6) protect swap agreements</w:t>
            </w:r>
          </w:p>
        </w:tc>
      </w:tr>
      <w:tr>
        <w:tc>
          <w:tcPr>
            <w:tcW w:type="dxa" w:w="20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Typical Usage</w:t>
            </w:r>
          </w:p>
        </w:tc>
        <w:tc>
          <w:tcPr>
            <w:tcW w:type="dxa" w:w="368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Dealer-to-dealer trades; European counterparties; cross-border transactions where English law is neutral governing law</w:t>
            </w:r>
          </w:p>
        </w:tc>
        <w:tc>
          <w:tcPr>
            <w:tcW w:type="dxa" w:w="368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US corporates; US-regulated entities; transactions where US counterparty preference or regulatory requirement drives choice</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ISDA Opinion Coverage</w:t>
            </w:r>
          </w:p>
        </w:tc>
        <w:tc>
          <w:tcPr>
            <w:tcW w:type="dxa" w:w="36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ISDA publishes English law netting opinions for ~70+ jurisdictions</w:t>
            </w:r>
          </w:p>
        </w:tc>
        <w:tc>
          <w:tcPr>
            <w:tcW w:type="dxa" w:w="36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New York law opinions cover US jurisdictions and selected others</w:t>
            </w:r>
          </w:p>
        </w:tc>
      </w:tr>
    </w:tbl>
    <w:p>
      <w:pPr>
        <w:spacing w:after="0" w:before="160"/>
      </w:pPr>
      <w:r>
        <w:t xml:space="preserve"/>
      </w:r>
    </w:p>
    <w:p>
      <w:r>
        <w:br w:type="page"/>
      </w:r>
    </w:p>
    <w:p>
      <w:pPr>
        <w:pStyle w:val="Heading1"/>
        <w:spacing w:after="160" w:before="320"/>
      </w:pPr>
      <w:r>
        <w:rPr>
          <w:rFonts w:ascii="Calibri" w:cs="Calibri" w:eastAsia="Calibri" w:hAnsi="Calibri"/>
          <w:b/>
          <w:bCs/>
          <w:color w:val="0D1B2A"/>
          <w:sz w:val="48"/>
          <w:szCs w:val="48"/>
        </w:rPr>
        <w:t xml:space="preserve">Section 3 — ISDA Evolution: 1992 → 2002 → Current</w:t>
      </w:r>
    </w:p>
    <w:p>
      <w:pPr>
        <w:pBdr>
          <w:bottom w:val="single" w:color="028090" w:sz="6" w:space="1"/>
        </w:pBdr>
        <w:spacing w:after="120" w:before="120"/>
      </w:pPr>
      <w:r>
        <w:t xml:space="preserve"/>
      </w:r>
    </w:p>
    <w:p>
      <w:pPr>
        <w:spacing w:after="0" w:before="80"/>
      </w:pPr>
      <w:r>
        <w:t xml:space="preserve"/>
      </w:r>
    </w:p>
    <w:p>
      <w:pPr>
        <w:spacing w:after="80" w:before="80"/>
        <w:jc w:val="both"/>
      </w:pPr>
      <w:r>
        <w:rPr>
          <w:rFonts w:ascii="Calibri" w:cs="Calibri" w:eastAsia="Calibri" w:hAnsi="Calibri"/>
          <w:color w:val="1A1A2E"/>
          <w:sz w:val="22"/>
          <w:szCs w:val="22"/>
        </w:rPr>
        <w:t xml:space="preserve">The ISDA Master Agreement has been through two major iterations, each shaped by market stress events that exposed weaknesses in the existing framework. Understanding this evolution is not merely historical — the differences between 1992 and 2002 remain commercially relevant because both versions are still in use across the industry.</w:t>
      </w:r>
    </w:p>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3.1  ISDA 1992 — The Original Framework</w:t>
      </w:r>
    </w:p>
    <w:p>
      <w:pPr>
        <w:spacing w:after="80" w:before="80"/>
        <w:jc w:val="both"/>
      </w:pPr>
      <w:r>
        <w:rPr>
          <w:rFonts w:ascii="Calibri" w:cs="Calibri" w:eastAsia="Calibri" w:hAnsi="Calibri"/>
          <w:color w:val="1A1A2E"/>
          <w:sz w:val="22"/>
          <w:szCs w:val="22"/>
        </w:rPr>
        <w:t xml:space="preserve">The 1992 ISDA Master Agreement introduced the close-out netting mechanism that remains the foundation of OTC derivative markets. Its key structural features:</w:t>
      </w:r>
    </w:p>
    <w:p>
      <w:pPr>
        <w:spacing w:after="0" w:before="80"/>
      </w:pPr>
      <w:r>
        <w:t xml:space="preserve"/>
      </w:r>
    </w:p>
    <w:p>
      <w:pPr>
        <w:pStyle w:val="Heading3"/>
        <w:spacing w:after="80" w:before="180"/>
      </w:pPr>
      <w:r>
        <w:rPr>
          <w:rFonts w:ascii="Calibri" w:cs="Calibri" w:eastAsia="Calibri" w:hAnsi="Calibri"/>
          <w:b/>
          <w:bCs/>
          <w:color w:val="0D1B2A"/>
          <w:sz w:val="28"/>
          <w:szCs w:val="28"/>
        </w:rPr>
        <w:t xml:space="preserve">Close-out Methodology: Market Quotation vs Loss</w:t>
      </w:r>
    </w:p>
    <w:p>
      <w:pPr>
        <w:spacing w:after="80" w:before="80"/>
        <w:jc w:val="both"/>
      </w:pPr>
      <w:r>
        <w:rPr>
          <w:rFonts w:ascii="Calibri" w:cs="Calibri" w:eastAsia="Calibri" w:hAnsi="Calibri"/>
          <w:color w:val="1A1A2E"/>
          <w:sz w:val="22"/>
          <w:szCs w:val="22"/>
        </w:rPr>
        <w:t xml:space="preserve">The 1992 Master offered two alternative close-out methodologies, elected in the Schedule:</w:t>
      </w:r>
    </w:p>
    <w:p>
      <w:pPr>
        <w:spacing w:after="0" w:before="60"/>
      </w:pPr>
      <w:r>
        <w:t xml:space="preserve"/>
      </w:r>
    </w:p>
    <w:p>
      <w:pPr>
        <w:pStyle w:val="ListParagraph"/>
        <w:numPr>
          <w:ilvl w:val="0"/>
          <w:numId w:val="2"/>
        </w:numPr>
        <w:spacing w:after="60" w:before="60"/>
      </w:pPr>
      <w:r>
        <w:rPr>
          <w:rFonts w:ascii="Calibri" w:cs="Calibri" w:eastAsia="Calibri" w:hAnsi="Calibri"/>
          <w:color w:val="1A1A2E"/>
          <w:sz w:val="22"/>
          <w:szCs w:val="22"/>
        </w:rPr>
        <w:t xml:space="preserve">Market Quotation: the non-defaulting party obtains quotations from Reference Market Makers for replacement transactions. The close-out amount is derived from the average of those quotes. Objective and market-observable in liquid conditions.</w:t>
      </w:r>
    </w:p>
    <w:p>
      <w:pPr>
        <w:pStyle w:val="ListParagraph"/>
        <w:numPr>
          <w:ilvl w:val="0"/>
          <w:numId w:val="2"/>
        </w:numPr>
        <w:spacing w:after="60" w:before="60"/>
      </w:pPr>
      <w:r>
        <w:rPr>
          <w:rFonts w:ascii="Calibri" w:cs="Calibri" w:eastAsia="Calibri" w:hAnsi="Calibri"/>
          <w:color w:val="1A1A2E"/>
          <w:sz w:val="22"/>
          <w:szCs w:val="22"/>
        </w:rPr>
        <w:t xml:space="preserve">Loss: the non-defaulting party calculates its total loss or gain — including loss of bargain, costs of cover, and any other reasonable losses. More flexible but more subjective.</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100"/>
              <w:left w:type="dxa" w:w="160"/>
              <w:bottom w:type="dxa" w:w="100"/>
              <w:right w:type="dxa" w:w="160"/>
            </w:tcMar>
            <w:vAlign w:val="center"/>
          </w:tcPr>
          <w:p>
            <w:pPr>
              <w:jc w:val="center"/>
            </w:pPr>
            <w:r>
              <w:rPr>
                <w:rFonts w:ascii="Calibri" w:cs="Calibri" w:eastAsia="Calibri" w:hAnsi="Calibri"/>
                <w:b/>
                <w:bCs/>
                <w:color w:val="C8953A"/>
                <w:sz w:val="20"/>
                <w:szCs w:val="20"/>
              </w:rPr>
              <w:t xml:space="preserve">WEAKNESS</w:t>
            </w:r>
          </w:p>
        </w:tc>
        <w:tc>
          <w:tcPr>
            <w:tcW w:type="dxa" w:w="7920"/>
            <w:tcBorders>
              <w:top w:val="none" w:color="FFFFFF" w:sz="0"/>
              <w:left w:val="none" w:color="FFFFFF" w:sz="0"/>
              <w:bottom w:val="none" w:color="FFFFFF" w:sz="0"/>
              <w:right w:val="none" w:color="FFFFFF" w:sz="0"/>
            </w:tcBorders>
            <w:shd w:fill="E0F4F7" w:val="clear"/>
            <w:tcMar>
              <w:top w:type="dxa" w:w="100"/>
              <w:left w:type="dxa" w:w="160"/>
              <w:bottom w:type="dxa" w:w="100"/>
              <w:right w:type="dxa" w:w="160"/>
            </w:tcMar>
          </w:tcPr>
          <w:p>
            <w:pPr>
              <w:jc w:val="both"/>
            </w:pPr>
            <w:r>
              <w:rPr>
                <w:rFonts w:ascii="Calibri" w:cs="Calibri" w:eastAsia="Calibri" w:hAnsi="Calibri"/>
                <w:i/>
                <w:iCs/>
                <w:color w:val="1A1A2E"/>
                <w:sz w:val="20"/>
                <w:szCs w:val="20"/>
              </w:rPr>
              <w:t xml:space="preserve">Market Quotation was the preferred methodology in normal markets. But in a crisis — when markets are illiquid and counterparties are unwilling to quote — it could produce no usable result, leaving the non-defaulting party in legal limbo.</w:t>
            </w:r>
          </w:p>
        </w:tc>
      </w:tr>
    </w:tbl>
    <w:p>
      <w:pPr>
        <w:spacing w:after="0" w:before="120"/>
      </w:pPr>
      <w:r>
        <w:t xml:space="preserve"/>
      </w:r>
    </w:p>
    <w:p>
      <w:pPr>
        <w:pStyle w:val="Heading3"/>
        <w:spacing w:after="80" w:before="180"/>
      </w:pPr>
      <w:r>
        <w:rPr>
          <w:rFonts w:ascii="Calibri" w:cs="Calibri" w:eastAsia="Calibri" w:hAnsi="Calibri"/>
          <w:b/>
          <w:bCs/>
          <w:color w:val="0D1B2A"/>
          <w:sz w:val="28"/>
          <w:szCs w:val="28"/>
        </w:rPr>
        <w:t xml:space="preserve">Settlement Currency</w:t>
      </w:r>
    </w:p>
    <w:p>
      <w:pPr>
        <w:spacing w:after="80" w:before="80"/>
        <w:jc w:val="both"/>
      </w:pPr>
      <w:r>
        <w:rPr>
          <w:rFonts w:ascii="Calibri" w:cs="Calibri" w:eastAsia="Calibri" w:hAnsi="Calibri"/>
          <w:color w:val="1A1A2E"/>
          <w:sz w:val="22"/>
          <w:szCs w:val="22"/>
        </w:rPr>
        <w:t xml:space="preserve">Under the 1992 Master, the non-defaulting party could elect the Settlement Currency in which all amounts were expressed and paid. This election created potential complications where the Settlement Currency differed from the currency of the underlying transactions.</w:t>
      </w:r>
    </w:p>
    <w:p>
      <w:pPr>
        <w:spacing w:after="0" w:before="80"/>
      </w:pPr>
      <w:r>
        <w:t xml:space="preserve"/>
      </w:r>
    </w:p>
    <w:p>
      <w:pPr>
        <w:pStyle w:val="Heading3"/>
        <w:spacing w:after="80" w:before="180"/>
      </w:pPr>
      <w:r>
        <w:rPr>
          <w:rFonts w:ascii="Calibri" w:cs="Calibri" w:eastAsia="Calibri" w:hAnsi="Calibri"/>
          <w:b/>
          <w:bCs/>
          <w:color w:val="0D1B2A"/>
          <w:sz w:val="28"/>
          <w:szCs w:val="28"/>
        </w:rPr>
        <w:t xml:space="preserve">Two-Method Problem</w:t>
      </w:r>
    </w:p>
    <w:p>
      <w:pPr>
        <w:spacing w:after="80" w:before="80"/>
        <w:jc w:val="both"/>
      </w:pPr>
      <w:r>
        <w:rPr>
          <w:rFonts w:ascii="Calibri" w:cs="Calibri" w:eastAsia="Calibri" w:hAnsi="Calibri"/>
          <w:color w:val="1A1A2E"/>
          <w:sz w:val="22"/>
          <w:szCs w:val="22"/>
        </w:rPr>
        <w:t xml:space="preserve">The availability of two close-out methods — and the ability of the non-defaulting party to switch between them — created uncertainty. Counterparties could not always predict ex ante which method would apply, and courts in some jurisdictions questioned whether the Loss method could produce a result materially different from market value.</w:t>
      </w:r>
    </w:p>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3.2  The Lehman Stress Test (2008)</w:t>
      </w:r>
    </w:p>
    <w:p>
      <w:pPr>
        <w:spacing w:after="80" w:before="80"/>
        <w:jc w:val="both"/>
      </w:pPr>
      <w:r>
        <w:rPr>
          <w:rFonts w:ascii="Calibri" w:cs="Calibri" w:eastAsia="Calibri" w:hAnsi="Calibri"/>
          <w:color w:val="1A1A2E"/>
          <w:sz w:val="22"/>
          <w:szCs w:val="22"/>
        </w:rPr>
        <w:t xml:space="preserve">The collapse of Lehman Brothers in September 2008 was the largest test the ISDA framework had ever faced. Lehman had approximately 66,000 OTC derivative contracts with over 8,000 counterparties at the time of its bankruptcy filing.</w:t>
      </w:r>
    </w:p>
    <w:p>
      <w:pPr>
        <w:spacing w:after="0" w:before="80"/>
      </w:pPr>
      <w:r>
        <w:t xml:space="preserve"/>
      </w:r>
    </w:p>
    <w:tbl>
      <w:tblPr>
        <w:tblW w:type="dxa" w:w="9360"/>
      </w:tblPr>
      <w:tblGrid>
        <w:gridCol w:w="3120"/>
        <w:gridCol w:w="624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Failure Mode</w:t>
            </w:r>
          </w:p>
        </w:tc>
        <w:tc>
          <w:tcPr>
            <w:tcW w:type="dxa" w:w="62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What Happened</w:t>
            </w:r>
          </w:p>
        </w:tc>
      </w:tr>
      <w:tr>
        <w:tc>
          <w:tcPr>
            <w:tcW w:type="dxa" w:w="312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Market Quotation failure</w:t>
            </w:r>
          </w:p>
        </w:tc>
        <w:tc>
          <w:tcPr>
            <w:tcW w:type="dxa" w:w="624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In the immediate aftermath of the Lehman filing, markets were illiquid and dealers were unwilling to provide replacement quotations. Non-defaulting parties could not obtain the three quotes required — many fell back to Loss, which the 1992 Master permitted as a fallback.</w:t>
            </w:r>
          </w:p>
        </w:tc>
      </w:tr>
      <w:tr>
        <w:tc>
          <w:tcPr>
            <w:tcW w:type="dxa" w:w="3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Dispute explosion</w:t>
            </w:r>
          </w:p>
        </w:tc>
        <w:tc>
          <w:tcPr>
            <w:tcW w:type="dxa" w:w="62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The combination of Market Quotation failures, Loss calculations, and differing views on the correct valuation of complex structured products produced thousands of bilateral disputes. Many remained unresolved for years.</w:t>
            </w:r>
          </w:p>
        </w:tc>
      </w:tr>
      <w:tr>
        <w:tc>
          <w:tcPr>
            <w:tcW w:type="dxa" w:w="312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Cherry-picking attempts</w:t>
            </w:r>
          </w:p>
        </w:tc>
        <w:tc>
          <w:tcPr>
            <w:tcW w:type="dxa" w:w="624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Lehman's administrators in multiple jurisdictions initially attempted to cherry-pick profitable contracts. Close-out netting provisions were tested in court across the US, UK, and multiple European jurisdictions. In most cases, netting held — but the process was costly and slow.</w:t>
            </w:r>
          </w:p>
        </w:tc>
      </w:tr>
      <w:tr>
        <w:tc>
          <w:tcPr>
            <w:tcW w:type="dxa" w:w="3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Jurisdictional fragmentation</w:t>
            </w:r>
          </w:p>
        </w:tc>
        <w:tc>
          <w:tcPr>
            <w:tcW w:type="dxa" w:w="62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Lehman entities in different jurisdictions were subject to different insolvency regimes. Coordination between administrators in the US, UK, Germany, Japan, and elsewhere was complex, slow, and often adversarial.</w:t>
            </w:r>
          </w:p>
        </w:tc>
      </w:tr>
    </w:tbl>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3.3  ISDA 2002 — The Redesign</w:t>
      </w:r>
    </w:p>
    <w:p>
      <w:pPr>
        <w:spacing w:after="80" w:before="80"/>
        <w:jc w:val="both"/>
      </w:pPr>
      <w:r>
        <w:rPr>
          <w:rFonts w:ascii="Calibri" w:cs="Calibri" w:eastAsia="Calibri" w:hAnsi="Calibri"/>
          <w:color w:val="1A1A2E"/>
          <w:sz w:val="22"/>
          <w:szCs w:val="22"/>
        </w:rPr>
        <w:t xml:space="preserve">The 2002 ISDA Master Agreement addressed the principal weaknesses exposed by the 1992 Master, even though it predated Lehman by six years. Lehman confirmed that the 2002 design choices had been correct.</w:t>
      </w:r>
    </w:p>
    <w:p>
      <w:pPr>
        <w:spacing w:after="0" w:before="80"/>
      </w:pPr>
      <w:r>
        <w:t xml:space="preserve"/>
      </w:r>
    </w:p>
    <w:p>
      <w:pPr>
        <w:pStyle w:val="Heading3"/>
        <w:spacing w:after="80" w:before="180"/>
      </w:pPr>
      <w:r>
        <w:rPr>
          <w:rFonts w:ascii="Calibri" w:cs="Calibri" w:eastAsia="Calibri" w:hAnsi="Calibri"/>
          <w:b/>
          <w:bCs/>
          <w:color w:val="0D1B2A"/>
          <w:sz w:val="28"/>
          <w:szCs w:val="28"/>
        </w:rPr>
        <w:t xml:space="preserve">Single Close-out Amount</w:t>
      </w:r>
    </w:p>
    <w:p>
      <w:pPr>
        <w:spacing w:after="80" w:before="80"/>
        <w:jc w:val="both"/>
      </w:pPr>
      <w:r>
        <w:rPr>
          <w:rFonts w:ascii="Calibri" w:cs="Calibri" w:eastAsia="Calibri" w:hAnsi="Calibri"/>
          <w:color w:val="1A1A2E"/>
          <w:sz w:val="22"/>
          <w:szCs w:val="22"/>
        </w:rPr>
        <w:t xml:space="preserve">The 2002 Master replaced the dual Market Quotation/Loss methodology with a single Close-out Amount concept. The non-defaulting party determines the amount it would pay or receive to replace terminated transactions, using commercially reasonable procedures. This is more flexible than Market Quotation (which requires actual quotations) but more principled than the 1992 Loss method, anchoring the calculation to a replacement value standard.</w:t>
      </w:r>
    </w:p>
    <w:p>
      <w:pPr>
        <w:spacing w:after="0" w:before="80"/>
      </w:pPr>
      <w:r>
        <w:t xml:space="preserve"/>
      </w:r>
    </w:p>
    <w:p>
      <w:pPr>
        <w:pStyle w:val="Heading3"/>
        <w:spacing w:after="80" w:before="180"/>
      </w:pPr>
      <w:r>
        <w:rPr>
          <w:rFonts w:ascii="Calibri" w:cs="Calibri" w:eastAsia="Calibri" w:hAnsi="Calibri"/>
          <w:b/>
          <w:bCs/>
          <w:color w:val="0D1B2A"/>
          <w:sz w:val="28"/>
          <w:szCs w:val="28"/>
        </w:rPr>
        <w:t xml:space="preserve">Force Majeure Termination Event</w:t>
      </w:r>
    </w:p>
    <w:p>
      <w:pPr>
        <w:spacing w:after="80" w:before="80"/>
        <w:jc w:val="both"/>
      </w:pPr>
      <w:r>
        <w:rPr>
          <w:rFonts w:ascii="Calibri" w:cs="Calibri" w:eastAsia="Calibri" w:hAnsi="Calibri"/>
          <w:color w:val="1A1A2E"/>
          <w:sz w:val="22"/>
          <w:szCs w:val="22"/>
        </w:rPr>
        <w:t xml:space="preserve">The 2002 Master introduced Force Majeure as a new Termination Event — triggered by events outside a party's control that prevent it from making or receiving payments. This filled a gap in the 1992 Master, which had no provision for situations where performance was impossible rather than merely unwilling.</w:t>
      </w:r>
    </w:p>
    <w:p>
      <w:pPr>
        <w:spacing w:after="0" w:before="80"/>
      </w:pPr>
      <w:r>
        <w:t xml:space="preserve"/>
      </w:r>
    </w:p>
    <w:p>
      <w:pPr>
        <w:pStyle w:val="Heading3"/>
        <w:spacing w:after="80" w:before="180"/>
      </w:pPr>
      <w:r>
        <w:rPr>
          <w:rFonts w:ascii="Calibri" w:cs="Calibri" w:eastAsia="Calibri" w:hAnsi="Calibri"/>
          <w:b/>
          <w:bCs/>
          <w:color w:val="0D1B2A"/>
          <w:sz w:val="28"/>
          <w:szCs w:val="28"/>
        </w:rPr>
        <w:t xml:space="preserve">Payment Netting Enhancement</w:t>
      </w:r>
    </w:p>
    <w:p>
      <w:pPr>
        <w:spacing w:after="80" w:before="80"/>
        <w:jc w:val="both"/>
      </w:pPr>
      <w:r>
        <w:rPr>
          <w:rFonts w:ascii="Calibri" w:cs="Calibri" w:eastAsia="Calibri" w:hAnsi="Calibri"/>
          <w:color w:val="1A1A2E"/>
          <w:sz w:val="22"/>
          <w:szCs w:val="22"/>
        </w:rPr>
        <w:t xml:space="preserve">Section 2(c) netting provisions were clarified and expanded in the 2002 Master, addressing ambiguities in the 1992 version around the scope of payment netting across different transaction types.</w:t>
      </w:r>
    </w:p>
    <w:p>
      <w:pPr>
        <w:spacing w:after="0" w:before="80"/>
      </w:pPr>
      <w:r>
        <w:t xml:space="preserve"/>
      </w:r>
    </w:p>
    <w:p>
      <w:pPr>
        <w:pStyle w:val="Heading3"/>
        <w:spacing w:after="80" w:before="180"/>
      </w:pPr>
      <w:r>
        <w:rPr>
          <w:rFonts w:ascii="Calibri" w:cs="Calibri" w:eastAsia="Calibri" w:hAnsi="Calibri"/>
          <w:b/>
          <w:bCs/>
          <w:color w:val="0D1B2A"/>
          <w:sz w:val="28"/>
          <w:szCs w:val="28"/>
        </w:rPr>
        <w:t xml:space="preserve">1992 vs 2002 — Key Differences</w:t>
      </w:r>
    </w:p>
    <w:p>
      <w:pPr>
        <w:spacing w:after="0" w:before="60"/>
      </w:pPr>
      <w:r>
        <w:t xml:space="preserve"/>
      </w:r>
    </w:p>
    <w:tbl>
      <w:tblPr>
        <w:tblW w:type="dxa" w:w="9360"/>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Feature</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ISDA 1992</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ISDA 2002</w:t>
            </w:r>
          </w:p>
        </w:tc>
      </w:tr>
      <w:tr>
        <w:tc>
          <w:tcPr>
            <w:tcW w:type="dxa" w:w="24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Close-out methodology</w:t>
            </w:r>
          </w:p>
        </w:tc>
        <w:tc>
          <w:tcPr>
            <w:tcW w:type="dxa" w:w="348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Dual: Market Quotation OR Loss (elected in Schedule)</w:t>
            </w:r>
          </w:p>
        </w:tc>
        <w:tc>
          <w:tcPr>
            <w:tcW w:type="dxa" w:w="3480"/>
            <w:tcBorders>
              <w:top w:val="single" w:color="CCCCCC" w:sz="1"/>
              <w:left w:val="single" w:color="CCCCCC" w:sz="1"/>
              <w:bottom w:val="single" w:color="CCCCCC" w:sz="1"/>
              <w:right w:val="single" w:color="CCCCCC" w:sz="1"/>
            </w:tcBorders>
            <w:shd w:fill="00A896"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Single: Close-out Amount — commercially reasonable replacement value</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Market Quotation fallback</w:t>
            </w:r>
          </w:p>
        </w:tc>
        <w:tc>
          <w:tcPr>
            <w:tcW w:type="dxa" w:w="34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Falls back to Loss if quotations unavailable — creates uncertainty</w:t>
            </w:r>
          </w:p>
        </w:tc>
        <w:tc>
          <w:tcPr>
            <w:tcW w:type="dxa" w:w="34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Not applicable — Close-out Amount is self-contained</w:t>
            </w:r>
          </w:p>
        </w:tc>
      </w:tr>
      <w:tr>
        <w:tc>
          <w:tcPr>
            <w:tcW w:type="dxa" w:w="24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Force Majeure</w:t>
            </w:r>
          </w:p>
        </w:tc>
        <w:tc>
          <w:tcPr>
            <w:tcW w:type="dxa" w:w="34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Not provided for — significant gap</w:t>
            </w:r>
          </w:p>
        </w:tc>
        <w:tc>
          <w:tcPr>
            <w:tcW w:type="dxa" w:w="3480"/>
            <w:tcBorders>
              <w:top w:val="single" w:color="CCCCCC" w:sz="1"/>
              <w:left w:val="single" w:color="CCCCCC" w:sz="1"/>
              <w:bottom w:val="single" w:color="CCCCCC" w:sz="1"/>
              <w:right w:val="single" w:color="CCCCCC" w:sz="1"/>
            </w:tcBorders>
            <w:shd w:fill="00A896"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Introduced as a Termination Event</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Set-off rights</w:t>
            </w:r>
          </w:p>
        </w:tc>
        <w:tc>
          <w:tcPr>
            <w:tcW w:type="dxa" w:w="34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Limited provisions</w:t>
            </w:r>
          </w:p>
        </w:tc>
        <w:tc>
          <w:tcPr>
            <w:tcW w:type="dxa" w:w="34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Expanded and clarified</w:t>
            </w:r>
          </w:p>
        </w:tc>
      </w:tr>
      <w:tr>
        <w:tc>
          <w:tcPr>
            <w:tcW w:type="dxa" w:w="24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Settlement Currency</w:t>
            </w:r>
          </w:p>
        </w:tc>
        <w:tc>
          <w:tcPr>
            <w:tcW w:type="dxa" w:w="348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Non-defaulting party elects Settlement Currency</w:t>
            </w:r>
          </w:p>
        </w:tc>
        <w:tc>
          <w:tcPr>
            <w:tcW w:type="dxa" w:w="348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Termination Currency elected upfront in Schedule</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Cross-default threshold</w:t>
            </w:r>
          </w:p>
        </w:tc>
        <w:tc>
          <w:tcPr>
            <w:tcW w:type="dxa" w:w="34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Specified Transaction cross-default provisions</w:t>
            </w:r>
          </w:p>
        </w:tc>
        <w:tc>
          <w:tcPr>
            <w:tcW w:type="dxa" w:w="34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Refined and extended</w:t>
            </w:r>
          </w:p>
        </w:tc>
      </w:tr>
      <w:tr>
        <w:tc>
          <w:tcPr>
            <w:tcW w:type="dxa" w:w="24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Industry adoption</w:t>
            </w:r>
          </w:p>
        </w:tc>
        <w:tc>
          <w:tcPr>
            <w:tcW w:type="dxa" w:w="348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Still widely in use — particularly for existing relationships not yet migrated</w:t>
            </w:r>
          </w:p>
        </w:tc>
        <w:tc>
          <w:tcPr>
            <w:tcW w:type="dxa" w:w="348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Preferred for new relationships; most new dealer-to-dealer documentation uses 2002</w:t>
            </w:r>
          </w:p>
        </w:tc>
      </w:tr>
    </w:tbl>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3.4  Post-2002 Protocols and Supplements</w:t>
      </w:r>
    </w:p>
    <w:p>
      <w:pPr>
        <w:spacing w:after="80" w:before="80"/>
        <w:jc w:val="both"/>
      </w:pPr>
      <w:r>
        <w:rPr>
          <w:rFonts w:ascii="Calibri" w:cs="Calibri" w:eastAsia="Calibri" w:hAnsi="Calibri"/>
          <w:color w:val="1A1A2E"/>
          <w:sz w:val="22"/>
          <w:szCs w:val="22"/>
        </w:rPr>
        <w:t xml:space="preserve">ISDA has continued to update the framework through a series of protocols and supplements, which allow existing 1992 and 2002 Master Agreements to be amended bilaterally without full renegotiation:</w:t>
      </w:r>
    </w:p>
    <w:p>
      <w:pPr>
        <w:spacing w:after="0" w:before="80"/>
      </w:pPr>
      <w:r>
        <w:t xml:space="preserve"/>
      </w:r>
    </w:p>
    <w:tbl>
      <w:tblPr>
        <w:tblW w:type="dxa" w:w="9360"/>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Protocol / Supplement</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Year</w:t>
            </w:r>
          </w:p>
        </w:tc>
        <w:tc>
          <w:tcPr>
            <w:tcW w:type="dxa" w:w="5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ISDA 2013 EMIR Portfolio Reconciliation Protocol</w:t>
            </w:r>
          </w:p>
        </w:tc>
        <w:tc>
          <w:tcPr>
            <w:tcW w:type="dxa" w:w="14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2013</w:t>
            </w:r>
          </w:p>
        </w:tc>
        <w:tc>
          <w:tcPr>
            <w:tcW w:type="dxa" w:w="51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Enabled bilateral adherence to EMIR portfolio reconciliation and dispute resolution requirements without full Master Agreement renegotiation.</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ISDA 2016 Variation Margin Protocol</w:t>
            </w:r>
          </w:p>
        </w:tc>
        <w:tc>
          <w:tcPr>
            <w:tcW w:type="dxa" w:w="1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2016</w:t>
            </w:r>
          </w:p>
        </w:tc>
        <w:tc>
          <w:tcPr>
            <w:tcW w:type="dxa" w:w="5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Amended CSA terms across thousands of bilateral relationships to comply with UMR Phase 1 VM requirements. Largest ISDA protocol adoption in history.</w:t>
            </w:r>
          </w:p>
        </w:tc>
      </w:tr>
      <w:tr>
        <w:tc>
          <w:tcPr>
            <w:tcW w:type="dxa" w:w="28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ISDA 2018 US Resolution Stay Protocol</w:t>
            </w:r>
          </w:p>
        </w:tc>
        <w:tc>
          <w:tcPr>
            <w:tcW w:type="dxa" w:w="14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2018</w:t>
            </w:r>
          </w:p>
        </w:tc>
        <w:tc>
          <w:tcPr>
            <w:tcW w:type="dxa" w:w="51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Implemented contractual stays on early termination rights in support of cross-border resolution frameworks (TLAC, BRRD, OLA). Required by regulators for G-SIBs.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ISDA 2020 IBOR Fallbacks Protocol</w:t>
            </w:r>
          </w:p>
        </w:tc>
        <w:tc>
          <w:tcPr>
            <w:tcW w:type="dxa" w:w="1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2020</w:t>
            </w:r>
          </w:p>
        </w:tc>
        <w:tc>
          <w:tcPr>
            <w:tcW w:type="dxa" w:w="5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Addressed LIBOR cessation by amending fallback provisions in existing contracts to reference RFRs (SOFR, SONIA, ESTR). Critical infrastructure for the LIBOR transition.</w:t>
            </w:r>
          </w:p>
        </w:tc>
      </w:tr>
      <w:tr>
        <w:tc>
          <w:tcPr>
            <w:tcW w:type="dxa" w:w="28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ISDA 2022 Digital Asset Definitions</w:t>
            </w:r>
          </w:p>
        </w:tc>
        <w:tc>
          <w:tcPr>
            <w:tcW w:type="dxa" w:w="14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2022</w:t>
            </w:r>
          </w:p>
        </w:tc>
        <w:tc>
          <w:tcPr>
            <w:tcW w:type="dxa" w:w="51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Extended the ISDA framework to cover digital asset derivatives, providing standardised definitions for crypto-referenced products.</w:t>
            </w:r>
          </w:p>
        </w:tc>
      </w:tr>
    </w:tbl>
    <w:p>
      <w:pPr>
        <w:spacing w:after="0" w:before="160"/>
      </w:pPr>
      <w:r>
        <w:t xml:space="preserve"/>
      </w:r>
    </w:p>
    <w:p>
      <w:r>
        <w:br w:type="page"/>
      </w:r>
    </w:p>
    <w:p>
      <w:pPr>
        <w:pStyle w:val="Heading1"/>
        <w:spacing w:after="160" w:before="320"/>
      </w:pPr>
      <w:r>
        <w:rPr>
          <w:rFonts w:ascii="Calibri" w:cs="Calibri" w:eastAsia="Calibri" w:hAnsi="Calibri"/>
          <w:b/>
          <w:bCs/>
          <w:color w:val="0D1B2A"/>
          <w:sz w:val="48"/>
          <w:szCs w:val="48"/>
        </w:rPr>
        <w:t xml:space="preserve">Section 4 — Netting: Mechanics &amp; Legal Foundation</w:t>
      </w:r>
    </w:p>
    <w:p>
      <w:pPr>
        <w:pBdr>
          <w:bottom w:val="single" w:color="028090" w:sz="6" w:space="1"/>
        </w:pBdr>
        <w:spacing w:after="120" w:before="120"/>
      </w:pPr>
      <w:r>
        <w:t xml:space="preserve"/>
      </w:r>
    </w:p>
    <w:p>
      <w:pPr>
        <w:spacing w:after="0" w:before="80"/>
      </w:pPr>
      <w:r>
        <w:t xml:space="preserve"/>
      </w:r>
    </w:p>
    <w:p>
      <w:pPr>
        <w:pStyle w:val="Heading2"/>
        <w:spacing w:after="120" w:before="240"/>
      </w:pPr>
      <w:r>
        <w:rPr>
          <w:rFonts w:ascii="Calibri" w:cs="Calibri" w:eastAsia="Calibri" w:hAnsi="Calibri"/>
          <w:b/>
          <w:bCs/>
          <w:color w:val="028090"/>
          <w:sz w:val="36"/>
          <w:szCs w:val="36"/>
        </w:rPr>
        <w:t xml:space="preserve">4.1  Payment Netting</w:t>
      </w:r>
    </w:p>
    <w:p>
      <w:pPr>
        <w:spacing w:after="80" w:before="80"/>
        <w:jc w:val="both"/>
      </w:pPr>
      <w:r>
        <w:rPr>
          <w:rFonts w:ascii="Calibri" w:cs="Calibri" w:eastAsia="Calibri" w:hAnsi="Calibri"/>
          <w:color w:val="1A1A2E"/>
          <w:sz w:val="22"/>
          <w:szCs w:val="22"/>
        </w:rPr>
        <w:t xml:space="preserve">Payment netting operates on settlement flows — it does not change the underlying trade values but reduces the number and size of payment flows between counterparties. Under Section 2(c) of the ISDA Master, parties may elect that on any given Valuation Date, all amounts payable in the same currency under the same transaction type are netted to a single net payment from one party to the other.</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100"/>
              <w:left w:type="dxa" w:w="160"/>
              <w:bottom w:type="dxa" w:w="100"/>
              <w:right w:type="dxa" w:w="160"/>
            </w:tcMar>
            <w:vAlign w:val="center"/>
          </w:tcPr>
          <w:p>
            <w:pPr>
              <w:jc w:val="center"/>
            </w:pPr>
            <w:r>
              <w:rPr>
                <w:rFonts w:ascii="Calibri" w:cs="Calibri" w:eastAsia="Calibri" w:hAnsi="Calibri"/>
                <w:b/>
                <w:bCs/>
                <w:color w:val="C8953A"/>
                <w:sz w:val="20"/>
                <w:szCs w:val="20"/>
              </w:rPr>
              <w:t xml:space="preserve">EXAMPLE</w:t>
            </w:r>
          </w:p>
        </w:tc>
        <w:tc>
          <w:tcPr>
            <w:tcW w:type="dxa" w:w="7920"/>
            <w:tcBorders>
              <w:top w:val="none" w:color="FFFFFF" w:sz="0"/>
              <w:left w:val="none" w:color="FFFFFF" w:sz="0"/>
              <w:bottom w:val="none" w:color="FFFFFF" w:sz="0"/>
              <w:right w:val="none" w:color="FFFFFF" w:sz="0"/>
            </w:tcBorders>
            <w:shd w:fill="E0F4F7" w:val="clear"/>
            <w:tcMar>
              <w:top w:type="dxa" w:w="100"/>
              <w:left w:type="dxa" w:w="160"/>
              <w:bottom w:type="dxa" w:w="100"/>
              <w:right w:type="dxa" w:w="160"/>
            </w:tcMar>
          </w:tcPr>
          <w:p>
            <w:pPr>
              <w:jc w:val="both"/>
            </w:pPr>
            <w:r>
              <w:rPr>
                <w:rFonts w:ascii="Calibri" w:cs="Calibri" w:eastAsia="Calibri" w:hAnsi="Calibri"/>
                <w:i/>
                <w:iCs/>
                <w:color w:val="1A1A2E"/>
                <w:sz w:val="20"/>
                <w:szCs w:val="20"/>
              </w:rPr>
              <w:t xml:space="preserve">Bank A owes Bank B EUR 5M on a fixed payment under an IRS. Bank B owes Bank A EUR 3.2M on the floating leg of the same swap on the same date. With payment netting, only Bank A pays Bank B EUR 1.8M net. Without it, two gross payments cross — each carrying settlement risk and operational cost.</w:t>
            </w:r>
          </w:p>
        </w:tc>
      </w:tr>
    </w:tbl>
    <w:p>
      <w:pPr>
        <w:spacing w:after="0" w:before="80"/>
      </w:pPr>
      <w:r>
        <w:t xml:space="preserve"/>
      </w:r>
    </w:p>
    <w:p>
      <w:pPr>
        <w:spacing w:after="80" w:before="80"/>
        <w:jc w:val="both"/>
      </w:pPr>
      <w:r>
        <w:rPr>
          <w:rFonts w:ascii="Calibri" w:cs="Calibri" w:eastAsia="Calibri" w:hAnsi="Calibri"/>
          <w:color w:val="1A1A2E"/>
          <w:sz w:val="22"/>
          <w:szCs w:val="22"/>
        </w:rPr>
        <w:t xml:space="preserve">Payment netting is bilateral and transaction-specific. It does not extend across different transactions unless explicitly agreed — this is the role of close-out netting.</w:t>
      </w:r>
    </w:p>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4.2  Close-out Netting</w:t>
      </w:r>
    </w:p>
    <w:p>
      <w:pPr>
        <w:spacing w:after="80" w:before="80"/>
        <w:jc w:val="both"/>
      </w:pPr>
      <w:r>
        <w:rPr>
          <w:rFonts w:ascii="Calibri" w:cs="Calibri" w:eastAsia="Calibri" w:hAnsi="Calibri"/>
          <w:color w:val="1A1A2E"/>
          <w:sz w:val="22"/>
          <w:szCs w:val="22"/>
        </w:rPr>
        <w:t xml:space="preserve">Close-out netting is the mechanism that delivers the principal economic benefit of the ISDA framework. Upon an Event of Default or Termination Event, all transactions under the Master Agreement are terminated simultaneously. The mark-to-market values of all terminated transactions are calculated and aggregated to a single net amount — the Close-out Amount — payable by one party to the other.</w:t>
      </w:r>
    </w:p>
    <w:p>
      <w:pPr>
        <w:spacing w:after="0" w:before="80"/>
      </w:pPr>
      <w:r>
        <w:t xml:space="preserve"/>
      </w:r>
    </w:p>
    <w:p>
      <w:pPr>
        <w:spacing w:after="80" w:before="80"/>
        <w:jc w:val="both"/>
      </w:pPr>
      <w:r>
        <w:rPr>
          <w:rFonts w:ascii="Calibri" w:cs="Calibri" w:eastAsia="Calibri" w:hAnsi="Calibri"/>
          <w:color w:val="1A1A2E"/>
          <w:sz w:val="22"/>
          <w:szCs w:val="22"/>
        </w:rPr>
        <w:t xml:space="preserve">This eliminates the cherry-picking risk entirely: the defaulting party's estate cannot selectively enforce profitable contracts whilst disclaiming loss-making ones. All contracts terminate simultaneously; only the net amount is owed.</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100"/>
              <w:left w:type="dxa" w:w="160"/>
              <w:bottom w:type="dxa" w:w="100"/>
              <w:right w:type="dxa" w:w="160"/>
            </w:tcMar>
            <w:vAlign w:val="center"/>
          </w:tcPr>
          <w:p>
            <w:pPr>
              <w:jc w:val="center"/>
            </w:pPr>
            <w:r>
              <w:rPr>
                <w:rFonts w:ascii="Calibri" w:cs="Calibri" w:eastAsia="Calibri" w:hAnsi="Calibri"/>
                <w:b/>
                <w:bCs/>
                <w:color w:val="C8953A"/>
                <w:sz w:val="20"/>
                <w:szCs w:val="20"/>
              </w:rPr>
              <w:t xml:space="preserve">REGULATORY SIGNIFICANCE</w:t>
            </w:r>
          </w:p>
        </w:tc>
        <w:tc>
          <w:tcPr>
            <w:tcW w:type="dxa" w:w="7920"/>
            <w:tcBorders>
              <w:top w:val="none" w:color="FFFFFF" w:sz="0"/>
              <w:left w:val="none" w:color="FFFFFF" w:sz="0"/>
              <w:bottom w:val="none" w:color="FFFFFF" w:sz="0"/>
              <w:right w:val="none" w:color="FFFFFF" w:sz="0"/>
            </w:tcBorders>
            <w:shd w:fill="E0F4F7" w:val="clear"/>
            <w:tcMar>
              <w:top w:type="dxa" w:w="100"/>
              <w:left w:type="dxa" w:w="160"/>
              <w:bottom w:type="dxa" w:w="100"/>
              <w:right w:type="dxa" w:w="160"/>
            </w:tcMar>
          </w:tcPr>
          <w:p>
            <w:pPr>
              <w:jc w:val="both"/>
            </w:pPr>
            <w:r>
              <w:rPr>
                <w:rFonts w:ascii="Calibri" w:cs="Calibri" w:eastAsia="Calibri" w:hAnsi="Calibri"/>
                <w:i/>
                <w:iCs/>
                <w:color w:val="1A1A2E"/>
                <w:sz w:val="20"/>
                <w:szCs w:val="20"/>
              </w:rPr>
              <w:t xml:space="preserve">Close-out netting is the legal basis on which SA-CCR allows banks to use net rather than gross exposures for regulatory capital calculation. Without legally enforceable netting, capital treatment reverts to gross — dramatically increasing RWA. Regulators require banks to obtain netting opinions confirming enforceability in each relevant counterparty jurisdiction.</w:t>
            </w:r>
          </w:p>
        </w:tc>
      </w:tr>
    </w:tbl>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4.3  Portfolio Netting</w:t>
      </w:r>
    </w:p>
    <w:p>
      <w:pPr>
        <w:spacing w:after="80" w:before="80"/>
        <w:jc w:val="both"/>
      </w:pPr>
      <w:r>
        <w:rPr>
          <w:rFonts w:ascii="Calibri" w:cs="Calibri" w:eastAsia="Calibri" w:hAnsi="Calibri"/>
          <w:color w:val="1A1A2E"/>
          <w:sz w:val="22"/>
          <w:szCs w:val="22"/>
        </w:rPr>
        <w:t xml:space="preserve">Portfolio netting extends the close-out netting concept across all transactions within a netting set — the full population of trades covered by a single Master Agreement. A bank with 500 trades across equity, rates, credit, and FX with a single counterparty, all under one Master Agreement, has a single net exposure for capital and close-out purposes.</w:t>
      </w:r>
    </w:p>
    <w:p>
      <w:pPr>
        <w:spacing w:after="0" w:before="80"/>
      </w:pPr>
      <w:r>
        <w:t xml:space="preserve"/>
      </w:r>
    </w:p>
    <w:p>
      <w:pPr>
        <w:pStyle w:val="Heading2"/>
        <w:spacing w:after="120" w:before="240"/>
      </w:pPr>
      <w:r>
        <w:rPr>
          <w:rFonts w:ascii="Calibri" w:cs="Calibri" w:eastAsia="Calibri" w:hAnsi="Calibri"/>
          <w:b/>
          <w:bCs/>
          <w:color w:val="028090"/>
          <w:sz w:val="36"/>
          <w:szCs w:val="36"/>
        </w:rPr>
        <w:t xml:space="preserve">4.4  The Netting Set — Construction and Regulatory Recognition</w:t>
      </w:r>
    </w:p>
    <w:p>
      <w:pPr>
        <w:spacing w:after="80" w:before="80"/>
        <w:jc w:val="both"/>
      </w:pPr>
      <w:r>
        <w:rPr>
          <w:rFonts w:ascii="Calibri" w:cs="Calibri" w:eastAsia="Calibri" w:hAnsi="Calibri"/>
          <w:color w:val="1A1A2E"/>
          <w:sz w:val="22"/>
          <w:szCs w:val="22"/>
        </w:rPr>
        <w:t xml:space="preserve">A netting set is the fundamental unit of counterparty credit risk calculation under SA-CCR. Its construction rules are precisely defined:</w:t>
      </w:r>
    </w:p>
    <w:p>
      <w:pPr>
        <w:spacing w:after="0" w:before="60"/>
      </w:pPr>
      <w:r>
        <w:t xml:space="preserve"/>
      </w:r>
    </w:p>
    <w:p>
      <w:pPr>
        <w:pStyle w:val="ListParagraph"/>
        <w:numPr>
          <w:ilvl w:val="0"/>
          <w:numId w:val="2"/>
        </w:numPr>
        <w:spacing w:after="60" w:before="60"/>
      </w:pPr>
      <w:r>
        <w:rPr>
          <w:rFonts w:ascii="Calibri" w:cs="Calibri" w:eastAsia="Calibri" w:hAnsi="Calibri"/>
          <w:color w:val="1A1A2E"/>
          <w:sz w:val="22"/>
          <w:szCs w:val="22"/>
        </w:rPr>
        <w:t xml:space="preserve">All transactions must be covered by a legally enforceable bilateral netting agreement (typically the ISDA Master Agreement)</w:t>
      </w:r>
    </w:p>
    <w:p>
      <w:pPr>
        <w:pStyle w:val="ListParagraph"/>
        <w:numPr>
          <w:ilvl w:val="0"/>
          <w:numId w:val="2"/>
        </w:numPr>
        <w:spacing w:after="60" w:before="60"/>
      </w:pPr>
      <w:r>
        <w:rPr>
          <w:rFonts w:ascii="Calibri" w:cs="Calibri" w:eastAsia="Calibri" w:hAnsi="Calibri"/>
          <w:color w:val="1A1A2E"/>
          <w:sz w:val="22"/>
          <w:szCs w:val="22"/>
        </w:rPr>
        <w:t xml:space="preserve">The netting agreement must be recognised by the regulator as legally enforceable in the relevant jurisdictions</w:t>
      </w:r>
    </w:p>
    <w:p>
      <w:pPr>
        <w:pStyle w:val="ListParagraph"/>
        <w:numPr>
          <w:ilvl w:val="0"/>
          <w:numId w:val="2"/>
        </w:numPr>
        <w:spacing w:after="60" w:before="60"/>
      </w:pPr>
      <w:r>
        <w:rPr>
          <w:rFonts w:ascii="Calibri" w:cs="Calibri" w:eastAsia="Calibri" w:hAnsi="Calibri"/>
          <w:color w:val="1A1A2E"/>
          <w:sz w:val="22"/>
          <w:szCs w:val="22"/>
        </w:rPr>
        <w:t xml:space="preserve">Transactions with different settlement conventions (e.g. DVP vs free delivery) may require separate netting sets</w:t>
      </w:r>
    </w:p>
    <w:p>
      <w:pPr>
        <w:pStyle w:val="ListParagraph"/>
        <w:numPr>
          <w:ilvl w:val="0"/>
          <w:numId w:val="2"/>
        </w:numPr>
        <w:spacing w:after="60" w:before="60"/>
      </w:pPr>
      <w:r>
        <w:rPr>
          <w:rFonts w:ascii="Calibri" w:cs="Calibri" w:eastAsia="Calibri" w:hAnsi="Calibri"/>
          <w:color w:val="1A1A2E"/>
          <w:sz w:val="22"/>
          <w:szCs w:val="22"/>
        </w:rPr>
        <w:t xml:space="preserve">Cleared transactions belong to a CCP netting set, not to the bilateral netting set</w:t>
      </w:r>
    </w:p>
    <w:p>
      <w:pPr>
        <w:pStyle w:val="ListParagraph"/>
        <w:numPr>
          <w:ilvl w:val="0"/>
          <w:numId w:val="2"/>
        </w:numPr>
        <w:spacing w:after="60" w:before="60"/>
      </w:pPr>
      <w:r>
        <w:rPr>
          <w:rFonts w:ascii="Calibri" w:cs="Calibri" w:eastAsia="Calibri" w:hAnsi="Calibri"/>
          <w:color w:val="1A1A2E"/>
          <w:sz w:val="22"/>
          <w:szCs w:val="22"/>
        </w:rPr>
        <w:t xml:space="preserve">For capital calculation under SA-CCR, each netting set produces a single EAD figure: EAD = alpha x (RC + PFE), where alpha = 1.4</w:t>
      </w:r>
    </w:p>
    <w:p>
      <w:pPr>
        <w:spacing w:after="0" w:before="80"/>
      </w:pPr>
      <w:r>
        <w:t xml:space="preserve"/>
      </w:r>
    </w:p>
    <w:p>
      <w:pPr>
        <w:pStyle w:val="Heading2"/>
        <w:spacing w:after="120" w:before="240"/>
      </w:pPr>
      <w:r>
        <w:rPr>
          <w:rFonts w:ascii="Calibri" w:cs="Calibri" w:eastAsia="Calibri" w:hAnsi="Calibri"/>
          <w:b/>
          <w:bCs/>
          <w:color w:val="028090"/>
          <w:sz w:val="36"/>
          <w:szCs w:val="36"/>
        </w:rPr>
        <w:t xml:space="preserve">4.5  Legal Enforceability — Why Netting Opinions Are Non-Negotiable</w:t>
      </w:r>
    </w:p>
    <w:p>
      <w:pPr>
        <w:spacing w:after="80" w:before="80"/>
        <w:jc w:val="both"/>
      </w:pPr>
      <w:r>
        <w:rPr>
          <w:rFonts w:ascii="Calibri" w:cs="Calibri" w:eastAsia="Calibri" w:hAnsi="Calibri"/>
          <w:color w:val="1A1A2E"/>
          <w:sz w:val="22"/>
          <w:szCs w:val="22"/>
        </w:rPr>
        <w:t xml:space="preserve">The economic benefit of netting — and the regulatory capital benefit that depends on it — is only available if netting is legally enforceable in the jurisdiction of the counterparty's insolvency. A netting agreement that looks valid on paper but fails in insolvency proceedings delivers no protection.</w:t>
      </w:r>
    </w:p>
    <w:p>
      <w:pPr>
        <w:spacing w:after="0" w:before="80"/>
      </w:pPr>
      <w:r>
        <w:t xml:space="preserve"/>
      </w:r>
    </w:p>
    <w:p>
      <w:pPr>
        <w:spacing w:after="80" w:before="80"/>
        <w:jc w:val="both"/>
      </w:pPr>
      <w:r>
        <w:rPr>
          <w:rFonts w:ascii="Calibri" w:cs="Calibri" w:eastAsia="Calibri" w:hAnsi="Calibri"/>
          <w:color w:val="1A1A2E"/>
          <w:sz w:val="22"/>
          <w:szCs w:val="22"/>
        </w:rPr>
        <w:t xml:space="preserve">ISDA publishes netting opinions for over 70 jurisdictions, obtained from local counsel, confirming that close-out netting provisions are enforceable in that jurisdiction's insolvency regime. Banks must maintain current opinions for every counterparty jurisdiction in which they operate.</w:t>
      </w:r>
    </w:p>
    <w:p>
      <w:pPr>
        <w:spacing w:after="0" w:before="80"/>
      </w:pPr>
      <w:r>
        <w:t xml:space="preserve"/>
      </w:r>
    </w:p>
    <w:tbl>
      <w:tblPr>
        <w:tblW w:type="dxa" w:w="9360"/>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Jurisdiction Category</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Status</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Capital Treatment</w:t>
            </w:r>
          </w:p>
        </w:tc>
      </w:tr>
      <w:tr>
        <w:tc>
          <w:tcPr>
            <w:tcW w:type="dxa" w:w="3120"/>
            <w:tcBorders>
              <w:top w:val="single" w:color="CCCCCC" w:sz="1"/>
              <w:left w:val="single" w:color="CCCCCC" w:sz="1"/>
              <w:bottom w:val="single" w:color="CCCCCC" w:sz="1"/>
              <w:right w:val="single" w:color="CCCCCC" w:sz="1"/>
            </w:tcBorders>
            <w:shd w:fill="00A896"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ISDA opinion confirmed — netting enforceable</w:t>
            </w:r>
          </w:p>
        </w:tc>
        <w:tc>
          <w:tcPr>
            <w:tcW w:type="dxa" w:w="3120"/>
            <w:tcBorders>
              <w:top w:val="single" w:color="CCCCCC" w:sz="1"/>
              <w:left w:val="single" w:color="CCCCCC" w:sz="1"/>
              <w:bottom w:val="single" w:color="CCCCCC" w:sz="1"/>
              <w:right w:val="single" w:color="CCCCCC" w:sz="1"/>
            </w:tcBorders>
            <w:shd w:fill="00A896"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Full netting recognition</w:t>
            </w:r>
          </w:p>
        </w:tc>
        <w:tc>
          <w:tcPr>
            <w:tcW w:type="dxa" w:w="3120"/>
            <w:tcBorders>
              <w:top w:val="single" w:color="CCCCCC" w:sz="1"/>
              <w:left w:val="single" w:color="CCCCCC" w:sz="1"/>
              <w:bottom w:val="single" w:color="CCCCCC" w:sz="1"/>
              <w:right w:val="single" w:color="CCCCCC" w:sz="1"/>
            </w:tcBorders>
            <w:shd w:fill="00A896"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Net EAD used for SA-CCR; significant RWA reduction</w:t>
            </w:r>
          </w:p>
        </w:tc>
      </w:tr>
      <w:tr>
        <w:tc>
          <w:tcPr>
            <w:tcW w:type="dxa" w:w="3120"/>
            <w:tcBorders>
              <w:top w:val="single" w:color="CCCCCC" w:sz="1"/>
              <w:left w:val="single" w:color="CCCCCC" w:sz="1"/>
              <w:bottom w:val="single" w:color="CCCCCC" w:sz="1"/>
              <w:right w:val="single" w:color="CCCCCC" w:sz="1"/>
            </w:tcBorders>
            <w:shd w:fill="F5DFA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Opinion uncertain or not obtained</w:t>
            </w:r>
          </w:p>
        </w:tc>
        <w:tc>
          <w:tcPr>
            <w:tcW w:type="dxa" w:w="3120"/>
            <w:tcBorders>
              <w:top w:val="single" w:color="CCCCCC" w:sz="1"/>
              <w:left w:val="single" w:color="CCCCCC" w:sz="1"/>
              <w:bottom w:val="single" w:color="CCCCCC" w:sz="1"/>
              <w:right w:val="single" w:color="CCCCCC" w:sz="1"/>
            </w:tcBorders>
            <w:shd w:fill="F5DFA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Netting not recognised</w:t>
            </w:r>
          </w:p>
        </w:tc>
        <w:tc>
          <w:tcPr>
            <w:tcW w:type="dxa" w:w="3120"/>
            <w:tcBorders>
              <w:top w:val="single" w:color="CCCCCC" w:sz="1"/>
              <w:left w:val="single" w:color="CCCCCC" w:sz="1"/>
              <w:bottom w:val="single" w:color="CCCCCC" w:sz="1"/>
              <w:right w:val="single" w:color="CCCCCC" w:sz="1"/>
            </w:tcBorders>
            <w:shd w:fill="F5DFA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Gross EAD required; full RWA penalty</w:t>
            </w:r>
          </w:p>
        </w:tc>
      </w:tr>
      <w:tr>
        <w:tc>
          <w:tcPr>
            <w:tcW w:type="dxa" w:w="312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Jurisdiction with known enforceability issues</w:t>
            </w:r>
          </w:p>
        </w:tc>
        <w:tc>
          <w:tcPr>
            <w:tcW w:type="dxa" w:w="312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Netting void or severely restricted</w:t>
            </w:r>
          </w:p>
        </w:tc>
        <w:tc>
          <w:tcPr>
            <w:tcW w:type="dxa" w:w="312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Gross EAD mandated; potential for additional supervisory overlay</w:t>
            </w:r>
          </w:p>
        </w:tc>
      </w:tr>
    </w:tbl>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4.6  Worked Illustration — Netting Benefit on a Five-Trade Portfolio</w:t>
      </w:r>
    </w:p>
    <w:p>
      <w:pPr>
        <w:spacing w:after="80" w:before="80"/>
        <w:jc w:val="both"/>
      </w:pPr>
      <w:r>
        <w:rPr>
          <w:rFonts w:ascii="Calibri" w:cs="Calibri" w:eastAsia="Calibri" w:hAnsi="Calibri"/>
          <w:color w:val="1A1A2E"/>
          <w:sz w:val="22"/>
          <w:szCs w:val="22"/>
        </w:rPr>
        <w:t xml:space="preserve">The following illustrates the netting benefit for a hypothetical portfolio of five IRS trades with a single BBB-rated counterparty, using the Module 4 trade parameters as a reference point (EUR 100M notional, flat OIS at 3.20%, dealer funding spread 80 bps):</w:t>
      </w:r>
    </w:p>
    <w:p>
      <w:pPr>
        <w:spacing w:after="0" w:before="80"/>
      </w:pPr>
      <w:r>
        <w:t xml:space="preserve"/>
      </w:r>
    </w:p>
    <w:tbl>
      <w:tblPr>
        <w:tblW w:type="dxa" w:w="9360"/>
      </w:tblPr>
      <w:tblGrid>
        <w:gridCol w:w="1800"/>
        <w:gridCol w:w="1600"/>
        <w:gridCol w:w="1600"/>
        <w:gridCol w:w="2200"/>
        <w:gridCol w:w="21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Trade</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Notional</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Tenor</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MtM (Dealer View)</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Exposure Type</w:t>
            </w:r>
          </w:p>
        </w:tc>
      </w:tr>
      <w:tr>
        <w:tc>
          <w:tcPr>
            <w:tcW w:type="dxa" w:w="18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IRS-01 (pay fixed)</w:t>
            </w:r>
          </w:p>
        </w:tc>
        <w:tc>
          <w:tcPr>
            <w:tcW w:type="dxa" w:w="16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right"/>
            </w:pPr>
            <w:r>
              <w:rPr>
                <w:rFonts w:ascii="Calibri" w:cs="Calibri" w:eastAsia="Calibri" w:hAnsi="Calibri"/>
                <w:b w:val="false"/>
                <w:bCs w:val="false"/>
                <w:color w:val="1A1A2E"/>
                <w:sz w:val="20"/>
                <w:szCs w:val="20"/>
              </w:rPr>
              <w:t xml:space="preserve">EUR 100M</w:t>
            </w:r>
          </w:p>
        </w:tc>
        <w:tc>
          <w:tcPr>
            <w:tcW w:type="dxa" w:w="16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5Y</w:t>
            </w:r>
          </w:p>
        </w:tc>
        <w:tc>
          <w:tcPr>
            <w:tcW w:type="dxa" w:w="2200"/>
            <w:tcBorders>
              <w:top w:val="single" w:color="CCCCCC" w:sz="1"/>
              <w:left w:val="single" w:color="CCCCCC" w:sz="1"/>
              <w:bottom w:val="single" w:color="CCCCCC" w:sz="1"/>
              <w:right w:val="single" w:color="CCCCCC" w:sz="1"/>
            </w:tcBorders>
            <w:shd w:fill="00A896" w:val="clear"/>
            <w:tcMar>
              <w:top w:type="dxa" w:w="80"/>
              <w:left w:type="dxa" w:w="120"/>
              <w:bottom w:type="dxa" w:w="80"/>
              <w:right w:type="dxa" w:w="120"/>
            </w:tcMar>
            <w:vAlign w:val="center"/>
          </w:tcPr>
          <w:p>
            <w:pPr>
              <w:jc w:val="right"/>
            </w:pPr>
            <w:r>
              <w:rPr>
                <w:rFonts w:ascii="Calibri" w:cs="Calibri" w:eastAsia="Calibri" w:hAnsi="Calibri"/>
                <w:b/>
                <w:bCs/>
                <w:color w:val="1A1A2E"/>
                <w:sz w:val="20"/>
                <w:szCs w:val="20"/>
              </w:rPr>
              <w:t xml:space="preserve">+EUR 4.2M</w:t>
            </w:r>
          </w:p>
        </w:tc>
        <w:tc>
          <w:tcPr>
            <w:tcW w:type="dxa" w:w="21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ITM — counterparty owes dealer</w:t>
            </w:r>
          </w:p>
        </w:tc>
      </w:tr>
      <w:tr>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IRS-02 (receive fixed)</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right"/>
            </w:pPr>
            <w:r>
              <w:rPr>
                <w:rFonts w:ascii="Calibri" w:cs="Calibri" w:eastAsia="Calibri" w:hAnsi="Calibri"/>
                <w:b w:val="false"/>
                <w:bCs w:val="false"/>
                <w:color w:val="1A1A2E"/>
                <w:sz w:val="20"/>
                <w:szCs w:val="20"/>
              </w:rPr>
              <w:t xml:space="preserve">EUR 75M</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3Y</w:t>
            </w:r>
          </w:p>
        </w:tc>
        <w:tc>
          <w:tcPr>
            <w:tcW w:type="dxa" w:w="2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right"/>
            </w:pPr>
            <w:r>
              <w:rPr>
                <w:rFonts w:ascii="Calibri" w:cs="Calibri" w:eastAsia="Calibri" w:hAnsi="Calibri"/>
                <w:b/>
                <w:bCs/>
                <w:color w:val="C0392B"/>
                <w:sz w:val="20"/>
                <w:szCs w:val="20"/>
              </w:rPr>
              <w:t xml:space="preserve">−EUR 2.8M</w:t>
            </w:r>
          </w:p>
        </w:tc>
        <w:tc>
          <w:tcPr>
            <w:tcW w:type="dxa" w:w="2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OTM — dealer owes counterparty</w:t>
            </w:r>
          </w:p>
        </w:tc>
      </w:tr>
      <w:tr>
        <w:tc>
          <w:tcPr>
            <w:tcW w:type="dxa" w:w="18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IRS-03 (pay fixed)</w:t>
            </w:r>
          </w:p>
        </w:tc>
        <w:tc>
          <w:tcPr>
            <w:tcW w:type="dxa" w:w="16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right"/>
            </w:pPr>
            <w:r>
              <w:rPr>
                <w:rFonts w:ascii="Calibri" w:cs="Calibri" w:eastAsia="Calibri" w:hAnsi="Calibri"/>
                <w:b w:val="false"/>
                <w:bCs w:val="false"/>
                <w:color w:val="1A1A2E"/>
                <w:sz w:val="20"/>
                <w:szCs w:val="20"/>
              </w:rPr>
              <w:t xml:space="preserve">EUR 50M</w:t>
            </w:r>
          </w:p>
        </w:tc>
        <w:tc>
          <w:tcPr>
            <w:tcW w:type="dxa" w:w="16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7Y</w:t>
            </w:r>
          </w:p>
        </w:tc>
        <w:tc>
          <w:tcPr>
            <w:tcW w:type="dxa" w:w="2200"/>
            <w:tcBorders>
              <w:top w:val="single" w:color="CCCCCC" w:sz="1"/>
              <w:left w:val="single" w:color="CCCCCC" w:sz="1"/>
              <w:bottom w:val="single" w:color="CCCCCC" w:sz="1"/>
              <w:right w:val="single" w:color="CCCCCC" w:sz="1"/>
            </w:tcBorders>
            <w:shd w:fill="00A896" w:val="clear"/>
            <w:tcMar>
              <w:top w:type="dxa" w:w="80"/>
              <w:left w:type="dxa" w:w="120"/>
              <w:bottom w:type="dxa" w:w="80"/>
              <w:right w:type="dxa" w:w="120"/>
            </w:tcMar>
            <w:vAlign w:val="center"/>
          </w:tcPr>
          <w:p>
            <w:pPr>
              <w:jc w:val="right"/>
            </w:pPr>
            <w:r>
              <w:rPr>
                <w:rFonts w:ascii="Calibri" w:cs="Calibri" w:eastAsia="Calibri" w:hAnsi="Calibri"/>
                <w:b/>
                <w:bCs/>
                <w:color w:val="1A1A2E"/>
                <w:sz w:val="20"/>
                <w:szCs w:val="20"/>
              </w:rPr>
              <w:t xml:space="preserve">+EUR 1.9M</w:t>
            </w:r>
          </w:p>
        </w:tc>
        <w:tc>
          <w:tcPr>
            <w:tcW w:type="dxa" w:w="21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ITM — counterparty owes dealer</w:t>
            </w:r>
          </w:p>
        </w:tc>
      </w:tr>
      <w:tr>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CDS-01 (protection sold)</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right"/>
            </w:pPr>
            <w:r>
              <w:rPr>
                <w:rFonts w:ascii="Calibri" w:cs="Calibri" w:eastAsia="Calibri" w:hAnsi="Calibri"/>
                <w:b w:val="false"/>
                <w:bCs w:val="false"/>
                <w:color w:val="1A1A2E"/>
                <w:sz w:val="20"/>
                <w:szCs w:val="20"/>
              </w:rPr>
              <w:t xml:space="preserve">EUR 25M</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5Y</w:t>
            </w:r>
          </w:p>
        </w:tc>
        <w:tc>
          <w:tcPr>
            <w:tcW w:type="dxa" w:w="2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right"/>
            </w:pPr>
            <w:r>
              <w:rPr>
                <w:rFonts w:ascii="Calibri" w:cs="Calibri" w:eastAsia="Calibri" w:hAnsi="Calibri"/>
                <w:b/>
                <w:bCs/>
                <w:color w:val="C0392B"/>
                <w:sz w:val="20"/>
                <w:szCs w:val="20"/>
              </w:rPr>
              <w:t xml:space="preserve">−EUR 0.6M</w:t>
            </w:r>
          </w:p>
        </w:tc>
        <w:tc>
          <w:tcPr>
            <w:tcW w:type="dxa" w:w="2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OTM — dealer owes counterparty</w:t>
            </w:r>
          </w:p>
        </w:tc>
      </w:tr>
      <w:tr>
        <w:tc>
          <w:tcPr>
            <w:tcW w:type="dxa" w:w="18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FX Forward</w:t>
            </w:r>
          </w:p>
        </w:tc>
        <w:tc>
          <w:tcPr>
            <w:tcW w:type="dxa" w:w="16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right"/>
            </w:pPr>
            <w:r>
              <w:rPr>
                <w:rFonts w:ascii="Calibri" w:cs="Calibri" w:eastAsia="Calibri" w:hAnsi="Calibri"/>
                <w:b w:val="false"/>
                <w:bCs w:val="false"/>
                <w:color w:val="1A1A2E"/>
                <w:sz w:val="20"/>
                <w:szCs w:val="20"/>
              </w:rPr>
              <w:t xml:space="preserve">EUR 30M</w:t>
            </w:r>
          </w:p>
        </w:tc>
        <w:tc>
          <w:tcPr>
            <w:tcW w:type="dxa" w:w="16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6M</w:t>
            </w:r>
          </w:p>
        </w:tc>
        <w:tc>
          <w:tcPr>
            <w:tcW w:type="dxa" w:w="2200"/>
            <w:tcBorders>
              <w:top w:val="single" w:color="CCCCCC" w:sz="1"/>
              <w:left w:val="single" w:color="CCCCCC" w:sz="1"/>
              <w:bottom w:val="single" w:color="CCCCCC" w:sz="1"/>
              <w:right w:val="single" w:color="CCCCCC" w:sz="1"/>
            </w:tcBorders>
            <w:shd w:fill="00A896" w:val="clear"/>
            <w:tcMar>
              <w:top w:type="dxa" w:w="80"/>
              <w:left w:type="dxa" w:w="120"/>
              <w:bottom w:type="dxa" w:w="80"/>
              <w:right w:type="dxa" w:w="120"/>
            </w:tcMar>
            <w:vAlign w:val="center"/>
          </w:tcPr>
          <w:p>
            <w:pPr>
              <w:jc w:val="right"/>
            </w:pPr>
            <w:r>
              <w:rPr>
                <w:rFonts w:ascii="Calibri" w:cs="Calibri" w:eastAsia="Calibri" w:hAnsi="Calibri"/>
                <w:b/>
                <w:bCs/>
                <w:color w:val="1A1A2E"/>
                <w:sz w:val="20"/>
                <w:szCs w:val="20"/>
              </w:rPr>
              <w:t xml:space="preserve">+EUR 0.3M</w:t>
            </w:r>
          </w:p>
        </w:tc>
        <w:tc>
          <w:tcPr>
            <w:tcW w:type="dxa" w:w="21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ITM — counterparty owes dealer</w:t>
            </w:r>
          </w:p>
        </w:tc>
      </w:tr>
    </w:tbl>
    <w:p>
      <w:pPr>
        <w:spacing w:after="0" w:before="60"/>
      </w:pPr>
      <w:r>
        <w:t xml:space="preserve"/>
      </w:r>
    </w:p>
    <w:tbl>
      <w:tblPr>
        <w:tblW w:type="dxa" w:w="9360"/>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Exposure Measure</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Amount</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Notes</w:t>
            </w:r>
          </w:p>
        </w:tc>
      </w:tr>
      <w:tr>
        <w:tc>
          <w:tcPr>
            <w:tcW w:type="dxa" w:w="468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Gross positive exposure (sum of ITM trades only)</w:t>
            </w:r>
          </w:p>
        </w:tc>
        <w:tc>
          <w:tcPr>
            <w:tcW w:type="dxa" w:w="234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right"/>
            </w:pPr>
            <w:r>
              <w:rPr>
                <w:rFonts w:ascii="Calibri" w:cs="Calibri" w:eastAsia="Calibri" w:hAnsi="Calibri"/>
                <w:b w:val="false"/>
                <w:bCs w:val="false"/>
                <w:color w:val="1A1A2E"/>
                <w:sz w:val="20"/>
                <w:szCs w:val="20"/>
              </w:rPr>
              <w:t xml:space="preserve">EUR 6.4M</w:t>
            </w:r>
          </w:p>
        </w:tc>
        <w:tc>
          <w:tcPr>
            <w:tcW w:type="dxa" w:w="234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No netting — pre-ISDA treatment</w:t>
            </w:r>
          </w:p>
        </w:tc>
      </w:tr>
      <w:tr>
        <w:tc>
          <w:tcPr>
            <w:tcW w:type="dxa" w:w="46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Gross exposure (sum of absolute values)</w:t>
            </w:r>
          </w:p>
        </w:tc>
        <w:tc>
          <w:tcPr>
            <w:tcW w:type="dxa" w:w="23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right"/>
            </w:pPr>
            <w:r>
              <w:rPr>
                <w:rFonts w:ascii="Calibri" w:cs="Calibri" w:eastAsia="Calibri" w:hAnsi="Calibri"/>
                <w:b w:val="false"/>
                <w:bCs w:val="false"/>
                <w:color w:val="1A1A2E"/>
                <w:sz w:val="20"/>
                <w:szCs w:val="20"/>
              </w:rPr>
              <w:t xml:space="preserve">EUR 9.8M</w:t>
            </w:r>
          </w:p>
        </w:tc>
        <w:tc>
          <w:tcPr>
            <w:tcW w:type="dxa" w:w="23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Total bilateral exposure both ways</w:t>
            </w:r>
          </w:p>
        </w:tc>
      </w:tr>
      <w:tr>
        <w:tc>
          <w:tcPr>
            <w:tcW w:type="dxa" w:w="4680"/>
            <w:tcBorders>
              <w:top w:val="single" w:color="CCCCCC" w:sz="1"/>
              <w:left w:val="single" w:color="CCCCCC" w:sz="1"/>
              <w:bottom w:val="single" w:color="CCCCCC" w:sz="1"/>
              <w:right w:val="single" w:color="CCCCCC" w:sz="1"/>
            </w:tcBorders>
            <w:shd w:fill="00A896"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Net exposure after close-out netting</w:t>
            </w:r>
          </w:p>
        </w:tc>
        <w:tc>
          <w:tcPr>
            <w:tcW w:type="dxa" w:w="2340"/>
            <w:tcBorders>
              <w:top w:val="single" w:color="CCCCCC" w:sz="1"/>
              <w:left w:val="single" w:color="CCCCCC" w:sz="1"/>
              <w:bottom w:val="single" w:color="CCCCCC" w:sz="1"/>
              <w:right w:val="single" w:color="CCCCCC" w:sz="1"/>
            </w:tcBorders>
            <w:shd w:fill="00A896" w:val="clear"/>
            <w:tcMar>
              <w:top w:type="dxa" w:w="80"/>
              <w:left w:type="dxa" w:w="120"/>
              <w:bottom w:type="dxa" w:w="80"/>
              <w:right w:type="dxa" w:w="120"/>
            </w:tcMar>
            <w:vAlign w:val="center"/>
          </w:tcPr>
          <w:p>
            <w:pPr>
              <w:jc w:val="right"/>
            </w:pPr>
            <w:r>
              <w:rPr>
                <w:rFonts w:ascii="Calibri" w:cs="Calibri" w:eastAsia="Calibri" w:hAnsi="Calibri"/>
                <w:b w:val="false"/>
                <w:bCs w:val="false"/>
                <w:color w:val="1A1A2E"/>
                <w:sz w:val="20"/>
                <w:szCs w:val="20"/>
              </w:rPr>
              <w:t xml:space="preserve">EUR 3.0M</w:t>
            </w:r>
          </w:p>
        </w:tc>
        <w:tc>
          <w:tcPr>
            <w:tcW w:type="dxa" w:w="2340"/>
            <w:tcBorders>
              <w:top w:val="single" w:color="CCCCCC" w:sz="1"/>
              <w:left w:val="single" w:color="CCCCCC" w:sz="1"/>
              <w:bottom w:val="single" w:color="CCCCCC" w:sz="1"/>
              <w:right w:val="single" w:color="CCCCCC" w:sz="1"/>
            </w:tcBorders>
            <w:shd w:fill="00A896"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(+6.4M − 3.4M net). 53% reduction in credit exposure</w:t>
            </w:r>
          </w:p>
        </w:tc>
      </w:tr>
      <w:tr>
        <w:tc>
          <w:tcPr>
            <w:tcW w:type="dxa" w:w="4680"/>
            <w:tcBorders>
              <w:top w:val="single" w:color="CCCCCC" w:sz="1"/>
              <w:left w:val="single" w:color="CCCCCC" w:sz="1"/>
              <w:bottom w:val="single" w:color="CCCCCC" w:sz="1"/>
              <w:right w:val="single" w:color="CCCCCC" w:sz="1"/>
            </w:tcBorders>
            <w:shd w:fill="F5DFA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SA-CCR EAD (net, with alpha = 1.4)</w:t>
            </w:r>
          </w:p>
        </w:tc>
        <w:tc>
          <w:tcPr>
            <w:tcW w:type="dxa" w:w="2340"/>
            <w:tcBorders>
              <w:top w:val="single" w:color="CCCCCC" w:sz="1"/>
              <w:left w:val="single" w:color="CCCCCC" w:sz="1"/>
              <w:bottom w:val="single" w:color="CCCCCC" w:sz="1"/>
              <w:right w:val="single" w:color="CCCCCC" w:sz="1"/>
            </w:tcBorders>
            <w:shd w:fill="F5DFA8" w:val="clear"/>
            <w:tcMar>
              <w:top w:type="dxa" w:w="80"/>
              <w:left w:type="dxa" w:w="120"/>
              <w:bottom w:type="dxa" w:w="80"/>
              <w:right w:type="dxa" w:w="120"/>
            </w:tcMar>
            <w:vAlign w:val="center"/>
          </w:tcPr>
          <w:p>
            <w:pPr>
              <w:jc w:val="right"/>
            </w:pPr>
            <w:r>
              <w:rPr>
                <w:rFonts w:ascii="Calibri" w:cs="Calibri" w:eastAsia="Calibri" w:hAnsi="Calibri"/>
                <w:b w:val="false"/>
                <w:bCs w:val="false"/>
                <w:color w:val="1A1A2E"/>
                <w:sz w:val="20"/>
                <w:szCs w:val="20"/>
              </w:rPr>
              <w:t xml:space="preserve">~EUR 4.2M</w:t>
            </w:r>
          </w:p>
        </w:tc>
        <w:tc>
          <w:tcPr>
            <w:tcW w:type="dxa" w:w="2340"/>
            <w:tcBorders>
              <w:top w:val="single" w:color="CCCCCC" w:sz="1"/>
              <w:left w:val="single" w:color="CCCCCC" w:sz="1"/>
              <w:bottom w:val="single" w:color="CCCCCC" w:sz="1"/>
              <w:right w:val="single" w:color="CCCCCC" w:sz="1"/>
            </w:tcBorders>
            <w:shd w:fill="F5DFA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RC + PFE on netted basis x 1.4</w:t>
            </w:r>
          </w:p>
        </w:tc>
      </w:tr>
      <w:tr>
        <w:tc>
          <w:tcPr>
            <w:tcW w:type="dxa" w:w="46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SA-CCR EAD (gross, no netting)</w:t>
            </w:r>
          </w:p>
        </w:tc>
        <w:tc>
          <w:tcPr>
            <w:tcW w:type="dxa" w:w="234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right"/>
            </w:pPr>
            <w:r>
              <w:rPr>
                <w:rFonts w:ascii="Calibri" w:cs="Calibri" w:eastAsia="Calibri" w:hAnsi="Calibri"/>
                <w:b w:val="false"/>
                <w:bCs w:val="false"/>
                <w:color w:val="C0392B"/>
                <w:sz w:val="20"/>
                <w:szCs w:val="20"/>
              </w:rPr>
              <w:t xml:space="preserve">~EUR 13.7M</w:t>
            </w:r>
          </w:p>
        </w:tc>
        <w:tc>
          <w:tcPr>
            <w:tcW w:type="dxa" w:w="234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3.3x higher capital requirement</w:t>
            </w:r>
          </w:p>
        </w:tc>
      </w:tr>
    </w:tbl>
    <w:p>
      <w:pPr>
        <w:spacing w:after="0" w:before="120"/>
      </w:pPr>
      <w:r>
        <w:t xml:space="preserve"/>
      </w:r>
    </w:p>
    <w:p>
      <w:pPr>
        <w:spacing w:after="80" w:before="80"/>
        <w:jc w:val="both"/>
      </w:pPr>
      <w:r>
        <w:rPr>
          <w:rFonts w:ascii="Calibri" w:cs="Calibri" w:eastAsia="Calibri" w:hAnsi="Calibri"/>
          <w:color w:val="1A1A2E"/>
          <w:sz w:val="22"/>
          <w:szCs w:val="22"/>
        </w:rPr>
        <w:t xml:space="preserve">The netting benefit in this example reduces the SA-CCR EAD by approximately EUR 9.5M — a 69% capital reduction. Multiplied across a trading book with thousands of counterparties, the aggregate capital saving from legally enforceable netting runs into billions of dollars for a global bank.</w:t>
      </w:r>
    </w:p>
    <w:p>
      <w:pPr>
        <w:spacing w:after="0" w:before="160"/>
      </w:pPr>
      <w:r>
        <w:t xml:space="preserve"/>
      </w:r>
    </w:p>
    <w:p>
      <w:r>
        <w:br w:type="page"/>
      </w:r>
    </w:p>
    <w:p>
      <w:pPr>
        <w:pStyle w:val="Heading1"/>
        <w:spacing w:after="160" w:before="320"/>
      </w:pPr>
      <w:r>
        <w:rPr>
          <w:rFonts w:ascii="Calibri" w:cs="Calibri" w:eastAsia="Calibri" w:hAnsi="Calibri"/>
          <w:b/>
          <w:bCs/>
          <w:color w:val="0D1B2A"/>
          <w:sz w:val="48"/>
          <w:szCs w:val="48"/>
        </w:rPr>
        <w:t xml:space="preserve">Section 5 — Collateral: Variation Margin</w:t>
      </w:r>
    </w:p>
    <w:p>
      <w:pPr>
        <w:pBdr>
          <w:bottom w:val="single" w:color="028090" w:sz="6" w:space="1"/>
        </w:pBdr>
        <w:spacing w:after="120" w:before="120"/>
      </w:pPr>
      <w:r>
        <w:t xml:space="preserve"/>
      </w:r>
    </w:p>
    <w:p>
      <w:pPr>
        <w:spacing w:after="0" w:before="80"/>
      </w:pPr>
      <w:r>
        <w:t xml:space="preserve"/>
      </w:r>
    </w:p>
    <w:p>
      <w:pPr>
        <w:pStyle w:val="Heading2"/>
        <w:spacing w:after="120" w:before="240"/>
      </w:pPr>
      <w:r>
        <w:rPr>
          <w:rFonts w:ascii="Calibri" w:cs="Calibri" w:eastAsia="Calibri" w:hAnsi="Calibri"/>
          <w:b/>
          <w:bCs/>
          <w:color w:val="028090"/>
          <w:sz w:val="36"/>
          <w:szCs w:val="36"/>
        </w:rPr>
        <w:t xml:space="preserve">5.1  VM Purpose and Mechanics</w:t>
      </w:r>
    </w:p>
    <w:p>
      <w:pPr>
        <w:spacing w:after="80" w:before="80"/>
        <w:jc w:val="both"/>
      </w:pPr>
      <w:r>
        <w:rPr>
          <w:rFonts w:ascii="Calibri" w:cs="Calibri" w:eastAsia="Calibri" w:hAnsi="Calibri"/>
          <w:color w:val="1A1A2E"/>
          <w:sz w:val="22"/>
          <w:szCs w:val="22"/>
        </w:rPr>
        <w:t xml:space="preserve">Variation Margin (VM) is the daily mark-to-market settlement mechanism for OTC derivative portfolios. Its economic purpose is to ensure that accumulated gains and losses on derivative positions are settled in near-real-time rather than at maturity, dramatically reducing the credit exposure that builds up between counterparties over a trade's life.</w:t>
      </w:r>
    </w:p>
    <w:p>
      <w:pPr>
        <w:spacing w:after="0" w:before="80"/>
      </w:pPr>
      <w:r>
        <w:t xml:space="preserve"/>
      </w:r>
    </w:p>
    <w:p>
      <w:pPr>
        <w:spacing w:after="80" w:before="80"/>
        <w:jc w:val="both"/>
      </w:pPr>
      <w:r>
        <w:rPr>
          <w:rFonts w:ascii="Calibri" w:cs="Calibri" w:eastAsia="Calibri" w:hAnsi="Calibri"/>
          <w:color w:val="1A1A2E"/>
          <w:sz w:val="22"/>
          <w:szCs w:val="22"/>
        </w:rPr>
        <w:t xml:space="preserve">VM operates as follows: each Valuation Date (typically daily for bank-to-bank trades), the Valuation Agent calculates the net MtM value of all trades in the netting set. If the net value has moved in favour of Party A since the last VM exchange, Party B posts collateral to Party A equal to the change. The process runs in reverse when the market moves the other way.</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100"/>
              <w:left w:type="dxa" w:w="160"/>
              <w:bottom w:type="dxa" w:w="100"/>
              <w:right w:type="dxa" w:w="160"/>
            </w:tcMar>
            <w:vAlign w:val="center"/>
          </w:tcPr>
          <w:p>
            <w:pPr>
              <w:jc w:val="center"/>
            </w:pPr>
            <w:r>
              <w:rPr>
                <w:rFonts w:ascii="Calibri" w:cs="Calibri" w:eastAsia="Calibri" w:hAnsi="Calibri"/>
                <w:b/>
                <w:bCs/>
                <w:color w:val="C8953A"/>
                <w:sz w:val="20"/>
                <w:szCs w:val="20"/>
              </w:rPr>
              <w:t xml:space="preserve">KEY EFFECT ON XVA</w:t>
            </w:r>
          </w:p>
        </w:tc>
        <w:tc>
          <w:tcPr>
            <w:tcW w:type="dxa" w:w="7920"/>
            <w:tcBorders>
              <w:top w:val="none" w:color="FFFFFF" w:sz="0"/>
              <w:left w:val="none" w:color="FFFFFF" w:sz="0"/>
              <w:bottom w:val="none" w:color="FFFFFF" w:sz="0"/>
              <w:right w:val="none" w:color="FFFFFF" w:sz="0"/>
            </w:tcBorders>
            <w:shd w:fill="E0F4F7" w:val="clear"/>
            <w:tcMar>
              <w:top w:type="dxa" w:w="100"/>
              <w:left w:type="dxa" w:w="160"/>
              <w:bottom w:type="dxa" w:w="100"/>
              <w:right w:type="dxa" w:w="160"/>
            </w:tcMar>
          </w:tcPr>
          <w:p>
            <w:pPr>
              <w:jc w:val="both"/>
            </w:pPr>
            <w:r>
              <w:rPr>
                <w:rFonts w:ascii="Calibri" w:cs="Calibri" w:eastAsia="Calibri" w:hAnsi="Calibri"/>
                <w:i/>
                <w:iCs/>
                <w:color w:val="1A1A2E"/>
                <w:sz w:val="20"/>
                <w:szCs w:val="20"/>
              </w:rPr>
              <w:t xml:space="preserve">VM dramatically reduces CVA and FVA. A fully VM-collateralised portfolio has near-zero CVA because the credit exposure is settled daily — at most one day's market movement is uncollateralised at any point. FVA on a VM-collateralised book approaches zero for the same reason: the trade is effectively funded by the VM flows rather than by the bank's own balance sheet.</w:t>
            </w:r>
          </w:p>
        </w:tc>
      </w:tr>
    </w:tbl>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5.2  Eligible Assets and Haircuts</w:t>
      </w:r>
    </w:p>
    <w:p>
      <w:pPr>
        <w:spacing w:after="80" w:before="80"/>
        <w:jc w:val="both"/>
      </w:pPr>
      <w:r>
        <w:rPr>
          <w:rFonts w:ascii="Calibri" w:cs="Calibri" w:eastAsia="Calibri" w:hAnsi="Calibri"/>
          <w:color w:val="1A1A2E"/>
          <w:sz w:val="22"/>
          <w:szCs w:val="22"/>
        </w:rPr>
        <w:t xml:space="preserve">Not all assets are eligible as VM collateral. The CSA specifies the Eligible Credit Support schedule. Typical eligibility tiers:</w:t>
      </w:r>
    </w:p>
    <w:p>
      <w:pPr>
        <w:spacing w:after="0" w:before="80"/>
      </w:pPr>
      <w:r>
        <w:t xml:space="preserve"/>
      </w:r>
    </w:p>
    <w:tbl>
      <w:tblPr>
        <w:tblW w:type="dxa" w:w="9360"/>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Asset Type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Typical Haircut</w:t>
            </w:r>
          </w:p>
        </w:tc>
        <w:tc>
          <w:tcPr>
            <w:tcW w:type="dxa" w:w="4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Cash (base currency)</w:t>
            </w:r>
          </w:p>
        </w:tc>
        <w:tc>
          <w:tcPr>
            <w:tcW w:type="dxa" w:w="18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0%</w:t>
            </w:r>
          </w:p>
        </w:tc>
        <w:tc>
          <w:tcPr>
            <w:tcW w:type="dxa" w:w="47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No haircut — cash is the cleanest collateral. OIS rate paid on cash VM (ESTR for EUR, SOFR for USD).</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G10 Government Bonds (≤2Y)</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0.5–1%</w:t>
            </w:r>
          </w:p>
        </w:tc>
        <w:tc>
          <w:tcPr>
            <w:tcW w:type="dxa" w:w="4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Near-cash; low duration risk. Must be from eligible issuer list.</w:t>
            </w:r>
          </w:p>
        </w:tc>
      </w:tr>
      <w:tr>
        <w:tc>
          <w:tcPr>
            <w:tcW w:type="dxa" w:w="28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G10 Government Bonds (2–10Y)</w:t>
            </w:r>
          </w:p>
        </w:tc>
        <w:tc>
          <w:tcPr>
            <w:tcW w:type="dxa" w:w="18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2–4%</w:t>
            </w:r>
          </w:p>
        </w:tc>
        <w:tc>
          <w:tcPr>
            <w:tcW w:type="dxa" w:w="47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Standard sovereign bond collateral. Duration haircut reflects interest rate risk in collateral value.</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G10 Government Bonds (&gt;10Y)</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4–8%</w:t>
            </w:r>
          </w:p>
        </w:tc>
        <w:tc>
          <w:tcPr>
            <w:tcW w:type="dxa" w:w="4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Longer duration; higher haircut. Some CSAs exclude maturities beyond 30Y.</w:t>
            </w:r>
          </w:p>
        </w:tc>
      </w:tr>
      <w:tr>
        <w:tc>
          <w:tcPr>
            <w:tcW w:type="dxa" w:w="28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Agency Securities</w:t>
            </w:r>
          </w:p>
        </w:tc>
        <w:tc>
          <w:tcPr>
            <w:tcW w:type="dxa" w:w="18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1–3%</w:t>
            </w:r>
          </w:p>
        </w:tc>
        <w:tc>
          <w:tcPr>
            <w:tcW w:type="dxa" w:w="47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Quasi-sovereign; typically eligible where government bonds are. Haircut reflects slightly higher credit risk vs direct sovereign.</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Investment Grade Corporate Bonds</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6–12%</w:t>
            </w:r>
          </w:p>
        </w:tc>
        <w:tc>
          <w:tcPr>
            <w:tcW w:type="dxa" w:w="4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Often excluded from bilateral VM CSAs. Where included, significant haircuts reflect credit and liquidity risk.</w:t>
            </w:r>
          </w:p>
        </w:tc>
      </w:tr>
      <w:tr>
        <w:tc>
          <w:tcPr>
            <w:tcW w:type="dxa" w:w="28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Equities (major indices)</w:t>
            </w:r>
          </w:p>
        </w:tc>
        <w:tc>
          <w:tcPr>
            <w:tcW w:type="dxa" w:w="18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15–25%</w:t>
            </w:r>
          </w:p>
        </w:tc>
        <w:tc>
          <w:tcPr>
            <w:tcW w:type="dxa" w:w="47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Rarely eligible for bilateral VM. More common in prime brokerage contexts.</w:t>
            </w:r>
          </w:p>
        </w:tc>
      </w:tr>
    </w:tbl>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5.3  VM Under a CSA vs Cleared Trades</w:t>
      </w:r>
    </w:p>
    <w:p>
      <w:pPr>
        <w:spacing w:after="80" w:before="80"/>
        <w:jc w:val="both"/>
      </w:pPr>
      <w:r>
        <w:rPr>
          <w:rFonts w:ascii="Calibri" w:cs="Calibri" w:eastAsia="Calibri" w:hAnsi="Calibri"/>
          <w:color w:val="1A1A2E"/>
          <w:sz w:val="22"/>
          <w:szCs w:val="22"/>
        </w:rPr>
        <w:t xml:space="preserve">Bilateral VM under a CSA and cleared VM at a CCP operate differently in important respects:</w:t>
      </w:r>
    </w:p>
    <w:p>
      <w:pPr>
        <w:spacing w:after="0" w:before="80"/>
      </w:pPr>
      <w:r>
        <w:t xml:space="preserve"/>
      </w:r>
    </w:p>
    <w:tbl>
      <w:tblPr>
        <w:tblW w:type="dxa" w:w="9360"/>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Feature</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Bilateral CSA VM</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CCP VM</w:t>
            </w:r>
          </w:p>
        </w:tc>
      </w:tr>
      <w:tr>
        <w:tc>
          <w:tcPr>
            <w:tcW w:type="dxa" w:w="24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Frequency</w:t>
            </w:r>
          </w:p>
        </w:tc>
        <w:tc>
          <w:tcPr>
            <w:tcW w:type="dxa" w:w="348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Daily (standard for bank-to-bank); potentially less frequent for corporate counterparties</w:t>
            </w:r>
          </w:p>
        </w:tc>
        <w:tc>
          <w:tcPr>
            <w:tcW w:type="dxa" w:w="348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Intraday (typically 2x or more per day for major CCPs)</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Eligible collateral</w:t>
            </w:r>
          </w:p>
        </w:tc>
        <w:tc>
          <w:tcPr>
            <w:tcW w:type="dxa" w:w="34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Negotiated bilaterally in CSA; varies widely</w:t>
            </w:r>
          </w:p>
        </w:tc>
        <w:tc>
          <w:tcPr>
            <w:tcW w:type="dxa" w:w="34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Defined by CCP rulebook; typically narrower (cash or select government bonds)</w:t>
            </w:r>
          </w:p>
        </w:tc>
      </w:tr>
      <w:tr>
        <w:tc>
          <w:tcPr>
            <w:tcW w:type="dxa" w:w="24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Interest on cash VM</w:t>
            </w:r>
          </w:p>
        </w:tc>
        <w:tc>
          <w:tcPr>
            <w:tcW w:type="dxa" w:w="348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OIS rate (ESTR/SOFR/SONIA) per CSA</w:t>
            </w:r>
          </w:p>
        </w:tc>
        <w:tc>
          <w:tcPr>
            <w:tcW w:type="dxa" w:w="348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CCP price alignment interest (PAI) — also OIS-based</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Rehypothecation</w:t>
            </w:r>
          </w:p>
        </w:tc>
        <w:tc>
          <w:tcPr>
            <w:tcW w:type="dxa" w:w="34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Permitted under most bilateral CSAs — receiving party may reuse VM</w:t>
            </w:r>
          </w:p>
        </w:tc>
        <w:tc>
          <w:tcPr>
            <w:tcW w:type="dxa" w:w="34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CCP holds VM; not rehypothecated to clearing members</w:t>
            </w:r>
          </w:p>
        </w:tc>
      </w:tr>
      <w:tr>
        <w:tc>
          <w:tcPr>
            <w:tcW w:type="dxa" w:w="24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Default waterfall</w:t>
            </w:r>
          </w:p>
        </w:tc>
        <w:tc>
          <w:tcPr>
            <w:tcW w:type="dxa" w:w="348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Bilateral close-out under Master Agreement</w:t>
            </w:r>
          </w:p>
        </w:tc>
        <w:tc>
          <w:tcPr>
            <w:tcW w:type="dxa" w:w="348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CCP loss waterfall: VM → IM → default fund → CCP equity</w:t>
            </w:r>
          </w:p>
        </w:tc>
      </w:tr>
    </w:tbl>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5.4  Threshold, MTA, and Residual Exposure</w:t>
      </w:r>
    </w:p>
    <w:p>
      <w:pPr>
        <w:spacing w:after="80" w:before="80"/>
        <w:jc w:val="both"/>
      </w:pPr>
      <w:r>
        <w:rPr>
          <w:rFonts w:ascii="Calibri" w:cs="Calibri" w:eastAsia="Calibri" w:hAnsi="Calibri"/>
          <w:color w:val="1A1A2E"/>
          <w:sz w:val="22"/>
          <w:szCs w:val="22"/>
        </w:rPr>
        <w:t xml:space="preserve">Two CSA parameters directly determine how much uncollateralised exposure remains even under a VM agreement:</w:t>
      </w:r>
    </w:p>
    <w:p>
      <w:pPr>
        <w:spacing w:after="0" w:before="80"/>
      </w:pPr>
      <w:r>
        <w:t xml:space="preserve"/>
      </w:r>
    </w:p>
    <w:p>
      <w:pPr>
        <w:pStyle w:val="ListParagraph"/>
        <w:numPr>
          <w:ilvl w:val="0"/>
          <w:numId w:val="2"/>
        </w:numPr>
        <w:spacing w:after="60" w:before="60"/>
      </w:pPr>
      <w:r>
        <w:rPr>
          <w:rFonts w:ascii="Calibri" w:cs="Calibri" w:eastAsia="Calibri" w:hAnsi="Calibri"/>
          <w:color w:val="1A1A2E"/>
          <w:sz w:val="22"/>
          <w:szCs w:val="22"/>
        </w:rPr>
        <w:t xml:space="preserve">Threshold (TH): the amount of exposure that the posting party may have before any collateral is required. A zero threshold means full collateralisation from the first dollar; a positive threshold leaves that amount permanently uncollateralised. Thresholds are often credit-rating-linked — rising as the counterparty's rating deteriorates.</w:t>
      </w:r>
    </w:p>
    <w:p>
      <w:pPr>
        <w:pStyle w:val="ListParagraph"/>
        <w:numPr>
          <w:ilvl w:val="0"/>
          <w:numId w:val="2"/>
        </w:numPr>
        <w:spacing w:after="60" w:before="60"/>
      </w:pPr>
      <w:r>
        <w:rPr>
          <w:rFonts w:ascii="Calibri" w:cs="Calibri" w:eastAsia="Calibri" w:hAnsi="Calibri"/>
          <w:color w:val="1A1A2E"/>
          <w:sz w:val="22"/>
          <w:szCs w:val="22"/>
        </w:rPr>
        <w:t xml:space="preserve">Minimum Transfer Amount (MTA): the minimum size of any collateral call or return. Calls below the MTA are not made. This creates a band of uncollateralised exposure up to the MTA at all times.</w:t>
      </w:r>
    </w:p>
    <w:p>
      <w:pPr>
        <w:spacing w:after="0" w:before="80"/>
      </w:pPr>
      <w:r>
        <w:t xml:space="preserve"/>
      </w:r>
    </w:p>
    <w:p>
      <w:pPr>
        <w:spacing w:after="80" w:before="80"/>
        <w:jc w:val="both"/>
      </w:pPr>
      <w:r>
        <w:rPr>
          <w:rFonts w:ascii="Calibri" w:cs="Calibri" w:eastAsia="Calibri" w:hAnsi="Calibri"/>
          <w:color w:val="1A1A2E"/>
          <w:sz w:val="22"/>
          <w:szCs w:val="22"/>
        </w:rPr>
        <w:t xml:space="preserve">The combination of Threshold and MTA defines the maximum uncollateralised exposure that can accumulate before a VM call is triggered. For CVA and FVA modelling purposes, this residual exposure — often called the Independent Amount shortfall — must be explicitly modelled.</w:t>
      </w:r>
    </w:p>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5.5  VM Dispute Mechanics</w:t>
      </w:r>
    </w:p>
    <w:p>
      <w:pPr>
        <w:spacing w:after="80" w:before="80"/>
        <w:jc w:val="both"/>
      </w:pPr>
      <w:r>
        <w:rPr>
          <w:rFonts w:ascii="Calibri" w:cs="Calibri" w:eastAsia="Calibri" w:hAnsi="Calibri"/>
          <w:color w:val="1A1A2E"/>
          <w:sz w:val="22"/>
          <w:szCs w:val="22"/>
        </w:rPr>
        <w:t xml:space="preserve">When the two parties' valuations disagree by more than the agreed tolerance band, a VM dispute arises. Standard CSA dispute procedures:</w:t>
      </w:r>
    </w:p>
    <w:p>
      <w:pPr>
        <w:spacing w:after="0" w:before="60"/>
      </w:pPr>
      <w:r>
        <w:t xml:space="preserve"/>
      </w:r>
    </w:p>
    <w:p>
      <w:pPr>
        <w:pStyle w:val="ListParagraph"/>
        <w:numPr>
          <w:ilvl w:val="0"/>
          <w:numId w:val="3"/>
        </w:numPr>
        <w:spacing w:after="60" w:before="60"/>
      </w:pPr>
      <w:r>
        <w:rPr>
          <w:rFonts w:ascii="Calibri" w:cs="Calibri" w:eastAsia="Calibri" w:hAnsi="Calibri"/>
          <w:color w:val="1A1A2E"/>
          <w:sz w:val="22"/>
          <w:szCs w:val="22"/>
        </w:rPr>
        <w:t xml:space="preserve">The disputing party notifies the Valuation Agent of the dispute, identifying the discrepancy.</w:t>
      </w:r>
    </w:p>
    <w:p>
      <w:pPr>
        <w:pStyle w:val="ListParagraph"/>
        <w:numPr>
          <w:ilvl w:val="0"/>
          <w:numId w:val="3"/>
        </w:numPr>
        <w:spacing w:after="60" w:before="60"/>
      </w:pPr>
      <w:r>
        <w:rPr>
          <w:rFonts w:ascii="Calibri" w:cs="Calibri" w:eastAsia="Calibri" w:hAnsi="Calibri"/>
          <w:color w:val="1A1A2E"/>
          <w:sz w:val="22"/>
          <w:szCs w:val="22"/>
        </w:rPr>
        <w:t xml:space="preserve">Each party provides its own valuation to the other.</w:t>
      </w:r>
    </w:p>
    <w:p>
      <w:pPr>
        <w:pStyle w:val="ListParagraph"/>
        <w:numPr>
          <w:ilvl w:val="0"/>
          <w:numId w:val="3"/>
        </w:numPr>
        <w:spacing w:after="60" w:before="60"/>
      </w:pPr>
      <w:r>
        <w:rPr>
          <w:rFonts w:ascii="Calibri" w:cs="Calibri" w:eastAsia="Calibri" w:hAnsi="Calibri"/>
          <w:color w:val="1A1A2E"/>
          <w:sz w:val="22"/>
          <w:szCs w:val="22"/>
        </w:rPr>
        <w:t xml:space="preserve">If the dispute is not resolved within the agreed resolution period (typically 5 business days), each party may seek independent quotations from Reference Market Makers.</w:t>
      </w:r>
    </w:p>
    <w:p>
      <w:pPr>
        <w:pStyle w:val="ListParagraph"/>
        <w:numPr>
          <w:ilvl w:val="0"/>
          <w:numId w:val="3"/>
        </w:numPr>
        <w:spacing w:after="60" w:before="60"/>
      </w:pPr>
      <w:r>
        <w:rPr>
          <w:rFonts w:ascii="Calibri" w:cs="Calibri" w:eastAsia="Calibri" w:hAnsi="Calibri"/>
          <w:color w:val="1A1A2E"/>
          <w:sz w:val="22"/>
          <w:szCs w:val="22"/>
        </w:rPr>
        <w:t xml:space="preserve">The undisputed amount is typically transferred promptly even while the dispute is pending, to minimise credit exposure.</w:t>
      </w:r>
    </w:p>
    <w:p>
      <w:pPr>
        <w:spacing w:after="0" w:before="80"/>
      </w:pPr>
      <w:r>
        <w:t xml:space="preserve"/>
      </w:r>
    </w:p>
    <w:p>
      <w:pPr>
        <w:spacing w:after="80" w:before="80"/>
        <w:jc w:val="both"/>
      </w:pPr>
      <w:r>
        <w:rPr>
          <w:rFonts w:ascii="Calibri" w:cs="Calibri" w:eastAsia="Calibri" w:hAnsi="Calibri"/>
          <w:color w:val="1A1A2E"/>
          <w:sz w:val="22"/>
          <w:szCs w:val="22"/>
        </w:rPr>
        <w:t xml:space="preserve">Disputes most commonly arise on illiquid or complex products where model valuations diverge significantly. This is a known weakness of the bilateral framework and a driver of the post-2008 push toward central clearing for standardised products.</w:t>
      </w:r>
    </w:p>
    <w:p>
      <w:pPr>
        <w:spacing w:after="0" w:before="160"/>
      </w:pPr>
      <w:r>
        <w:t xml:space="preserve"/>
      </w:r>
    </w:p>
    <w:p>
      <w:r>
        <w:br w:type="page"/>
      </w:r>
    </w:p>
    <w:p>
      <w:pPr>
        <w:pStyle w:val="Heading1"/>
        <w:spacing w:after="160" w:before="320"/>
      </w:pPr>
      <w:r>
        <w:rPr>
          <w:rFonts w:ascii="Calibri" w:cs="Calibri" w:eastAsia="Calibri" w:hAnsi="Calibri"/>
          <w:b/>
          <w:bCs/>
          <w:color w:val="0D1B2A"/>
          <w:sz w:val="48"/>
          <w:szCs w:val="48"/>
        </w:rPr>
        <w:t xml:space="preserve">Section 6 — Collateral: Initial Margin</w:t>
      </w:r>
    </w:p>
    <w:p>
      <w:pPr>
        <w:pBdr>
          <w:bottom w:val="single" w:color="028090" w:sz="6" w:space="1"/>
        </w:pBdr>
        <w:spacing w:after="120" w:before="120"/>
      </w:pPr>
      <w:r>
        <w:t xml:space="preserve"/>
      </w:r>
    </w:p>
    <w:p>
      <w:pPr>
        <w:spacing w:after="0" w:before="80"/>
      </w:pPr>
      <w:r>
        <w:t xml:space="preserve"/>
      </w:r>
    </w:p>
    <w:p>
      <w:pPr>
        <w:pStyle w:val="Heading2"/>
        <w:spacing w:after="120" w:before="240"/>
      </w:pPr>
      <w:r>
        <w:rPr>
          <w:rFonts w:ascii="Calibri" w:cs="Calibri" w:eastAsia="Calibri" w:hAnsi="Calibri"/>
          <w:b/>
          <w:bCs/>
          <w:color w:val="028090"/>
          <w:sz w:val="36"/>
          <w:szCs w:val="36"/>
        </w:rPr>
        <w:t xml:space="preserve">6.1  IM Purpose — The Buffer Against MPoR Exposure</w:t>
      </w:r>
    </w:p>
    <w:p>
      <w:pPr>
        <w:spacing w:after="80" w:before="80"/>
        <w:jc w:val="both"/>
      </w:pPr>
      <w:r>
        <w:rPr>
          <w:rFonts w:ascii="Calibri" w:cs="Calibri" w:eastAsia="Calibri" w:hAnsi="Calibri"/>
          <w:color w:val="1A1A2E"/>
          <w:sz w:val="22"/>
          <w:szCs w:val="22"/>
        </w:rPr>
        <w:t xml:space="preserve">Initial Margin (IM) serves a fundamentally different purpose from Variation Margin. VM eliminates the accumulated MtM exposure by settling it daily. IM protects against the exposure that could accumulate during the Margin Period of Risk (MPoR) — the time between the last VM exchange and the close-out and replacement of all positions following a counterparty default.</w:t>
      </w:r>
    </w:p>
    <w:p>
      <w:pPr>
        <w:spacing w:after="0" w:before="80"/>
      </w:pPr>
      <w:r>
        <w:t xml:space="preserve"/>
      </w:r>
    </w:p>
    <w:p>
      <w:pPr>
        <w:spacing w:after="80" w:before="80"/>
        <w:jc w:val="both"/>
      </w:pPr>
      <w:r>
        <w:rPr>
          <w:rFonts w:ascii="Calibri" w:cs="Calibri" w:eastAsia="Calibri" w:hAnsi="Calibri"/>
          <w:color w:val="1A1A2E"/>
          <w:sz w:val="22"/>
          <w:szCs w:val="22"/>
        </w:rPr>
        <w:t xml:space="preserve">During the MPoR, markets continue to move, but no collateral is being exchanged with the defaulted counterparty. IM is sized to cover the potential market movement over this period at a high confidence level (typically 99th percentile over the MPoR horizon).</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100"/>
              <w:left w:type="dxa" w:w="160"/>
              <w:bottom w:type="dxa" w:w="100"/>
              <w:right w:type="dxa" w:w="160"/>
            </w:tcMar>
            <w:vAlign w:val="center"/>
          </w:tcPr>
          <w:p>
            <w:pPr>
              <w:jc w:val="center"/>
            </w:pPr>
            <w:r>
              <w:rPr>
                <w:rFonts w:ascii="Calibri" w:cs="Calibri" w:eastAsia="Calibri" w:hAnsi="Calibri"/>
                <w:b/>
                <w:bCs/>
                <w:color w:val="C8953A"/>
                <w:sz w:val="20"/>
                <w:szCs w:val="20"/>
              </w:rPr>
              <w:t xml:space="preserve">DISTINCTION</w:t>
            </w:r>
          </w:p>
        </w:tc>
        <w:tc>
          <w:tcPr>
            <w:tcW w:type="dxa" w:w="7920"/>
            <w:tcBorders>
              <w:top w:val="none" w:color="FFFFFF" w:sz="0"/>
              <w:left w:val="none" w:color="FFFFFF" w:sz="0"/>
              <w:bottom w:val="none" w:color="FFFFFF" w:sz="0"/>
              <w:right w:val="none" w:color="FFFFFF" w:sz="0"/>
            </w:tcBorders>
            <w:shd w:fill="E0F4F7" w:val="clear"/>
            <w:tcMar>
              <w:top w:type="dxa" w:w="100"/>
              <w:left w:type="dxa" w:w="160"/>
              <w:bottom w:type="dxa" w:w="100"/>
              <w:right w:type="dxa" w:w="160"/>
            </w:tcMar>
          </w:tcPr>
          <w:p>
            <w:pPr>
              <w:jc w:val="both"/>
            </w:pPr>
            <w:r>
              <w:rPr>
                <w:rFonts w:ascii="Calibri" w:cs="Calibri" w:eastAsia="Calibri" w:hAnsi="Calibri"/>
                <w:i/>
                <w:iCs/>
                <w:color w:val="1A1A2E"/>
                <w:sz w:val="20"/>
                <w:szCs w:val="20"/>
              </w:rPr>
              <w:t xml:space="preserve">VM = settlement of what has already happened (current MtM). IM = pre-funding against what might happen (future potential exposure during MPoR). Both are required for a fully collateralised bilateral relationship under UMR.</w:t>
            </w:r>
          </w:p>
        </w:tc>
      </w:tr>
    </w:tbl>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6.2  UMR Phase-In Recap</w:t>
      </w:r>
    </w:p>
    <w:p>
      <w:pPr>
        <w:spacing w:after="80" w:before="80"/>
        <w:jc w:val="both"/>
      </w:pPr>
      <w:r>
        <w:rPr>
          <w:rFonts w:ascii="Calibri" w:cs="Calibri" w:eastAsia="Calibri" w:hAnsi="Calibri"/>
          <w:color w:val="1A1A2E"/>
          <w:sz w:val="22"/>
          <w:szCs w:val="22"/>
        </w:rPr>
        <w:t xml:space="preserve">The Uncleared Margin Rules (UMR), developed jointly by BCBS and IOSCO and implemented by national regulators from 2016, introduced mandatory bilateral IM requirements for non-cleared OTC derivatives. The phase-in was structured by Average Aggregate Notional Amount (AANA) of non-cleared derivatives:</w:t>
      </w:r>
    </w:p>
    <w:p>
      <w:pPr>
        <w:spacing w:after="0" w:before="80"/>
      </w:pPr>
      <w:r>
        <w:t xml:space="preserve"/>
      </w:r>
    </w:p>
    <w:tbl>
      <w:tblPr>
        <w:tblW w:type="dxa" w:w="9360"/>
      </w:tblPr>
      <w:tblGrid>
        <w:gridCol w:w="1200"/>
        <w:gridCol w:w="2400"/>
        <w:gridCol w:w="2160"/>
        <w:gridCol w:w="360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Implementation</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AANA Threshold</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Entities Captured</w:t>
            </w:r>
          </w:p>
        </w:tc>
      </w:tr>
      <w:tr>
        <w:tc>
          <w:tcPr>
            <w:tcW w:type="dxa" w:w="12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1</w:t>
            </w:r>
          </w:p>
        </w:tc>
        <w:tc>
          <w:tcPr>
            <w:tcW w:type="dxa" w:w="24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Sep 2016</w:t>
            </w:r>
          </w:p>
        </w:tc>
        <w:tc>
          <w:tcPr>
            <w:tcW w:type="dxa" w:w="21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 EUR 3 trillion</w:t>
            </w:r>
          </w:p>
        </w:tc>
        <w:tc>
          <w:tcPr>
            <w:tcW w:type="dxa" w:w="36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Largest global dealers — G-SIBs and major buy-side</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2</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Sep 2017</w:t>
            </w:r>
          </w:p>
        </w:tc>
        <w:tc>
          <w:tcPr>
            <w:tcW w:type="dxa" w:w="2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 EUR 2.25 trillion</w:t>
            </w:r>
          </w:p>
        </w:tc>
        <w:tc>
          <w:tcPr>
            <w:tcW w:type="dxa" w:w="3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Large dealers and significant buy-side firms</w:t>
            </w:r>
          </w:p>
        </w:tc>
      </w:tr>
      <w:tr>
        <w:tc>
          <w:tcPr>
            <w:tcW w:type="dxa" w:w="12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3</w:t>
            </w:r>
          </w:p>
        </w:tc>
        <w:tc>
          <w:tcPr>
            <w:tcW w:type="dxa" w:w="24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Sep 2018</w:t>
            </w:r>
          </w:p>
        </w:tc>
        <w:tc>
          <w:tcPr>
            <w:tcW w:type="dxa" w:w="21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 EUR 1.5 trillion</w:t>
            </w:r>
          </w:p>
        </w:tc>
        <w:tc>
          <w:tcPr>
            <w:tcW w:type="dxa" w:w="36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Mid-tier dealers and large asset managers</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4</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Sep 2019</w:t>
            </w:r>
          </w:p>
        </w:tc>
        <w:tc>
          <w:tcPr>
            <w:tcW w:type="dxa" w:w="2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 EUR 0.75 trillion</w:t>
            </w:r>
          </w:p>
        </w:tc>
        <w:tc>
          <w:tcPr>
            <w:tcW w:type="dxa" w:w="3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Smaller dealers and regional banks</w:t>
            </w:r>
          </w:p>
        </w:tc>
      </w:tr>
      <w:tr>
        <w:tc>
          <w:tcPr>
            <w:tcW w:type="dxa" w:w="12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5</w:t>
            </w:r>
          </w:p>
        </w:tc>
        <w:tc>
          <w:tcPr>
            <w:tcW w:type="dxa" w:w="24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Sep 2021</w:t>
            </w:r>
          </w:p>
        </w:tc>
        <w:tc>
          <w:tcPr>
            <w:tcW w:type="dxa" w:w="21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 EUR 50 billion</w:t>
            </w:r>
          </w:p>
        </w:tc>
        <w:tc>
          <w:tcPr>
            <w:tcW w:type="dxa" w:w="36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Broad mid-market capture; significant operational burden</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6</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Sep 2022</w:t>
            </w:r>
          </w:p>
        </w:tc>
        <w:tc>
          <w:tcPr>
            <w:tcW w:type="dxa" w:w="2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 EUR 8 billion</w:t>
            </w:r>
          </w:p>
        </w:tc>
        <w:tc>
          <w:tcPr>
            <w:tcW w:type="dxa" w:w="3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Near-complete market coverage. ISDA estimated ~1,000 new bilateral IM relationships activated in Phase 5–6.</w:t>
            </w:r>
          </w:p>
        </w:tc>
      </w:tr>
    </w:tbl>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6.3  SIMM — Sensitivity-Based IM Calculation</w:t>
      </w:r>
    </w:p>
    <w:p>
      <w:pPr>
        <w:spacing w:after="80" w:before="80"/>
        <w:jc w:val="both"/>
      </w:pPr>
      <w:r>
        <w:rPr>
          <w:rFonts w:ascii="Calibri" w:cs="Calibri" w:eastAsia="Calibri" w:hAnsi="Calibri"/>
          <w:color w:val="1A1A2E"/>
          <w:sz w:val="22"/>
          <w:szCs w:val="22"/>
        </w:rPr>
        <w:t xml:space="preserve">The Standard Initial Margin Model (SIMM), developed by ISDA, is the industry-standard model for computing bilateral IM under UMR. SIMM v2.8+2506 (December 2025) is the current version.</w:t>
      </w:r>
    </w:p>
    <w:p>
      <w:pPr>
        <w:spacing w:after="0" w:before="80"/>
      </w:pPr>
      <w:r>
        <w:t xml:space="preserve"/>
      </w:r>
    </w:p>
    <w:p>
      <w:pPr>
        <w:spacing w:after="80" w:before="80"/>
        <w:jc w:val="both"/>
      </w:pPr>
      <w:r>
        <w:rPr>
          <w:rFonts w:ascii="Calibri" w:cs="Calibri" w:eastAsia="Calibri" w:hAnsi="Calibri"/>
          <w:color w:val="1A1A2E"/>
          <w:sz w:val="22"/>
          <w:szCs w:val="22"/>
        </w:rPr>
        <w:t xml:space="preserve">SIMM calculates IM as a function of risk sensitivities (greeks) across six risk classes: IR (Interest Rate), CR-Q (Credit Qualifying), CR-NQ (Credit Non-Qualifying), EQ (Equity), FX (Foreign Exchange), and CM (Commodities). For each risk class, a delta, vega, and curvature margin is calculated. Cross-asset and cross-bucket correlations are applied to produce diversification benefit.</w:t>
      </w:r>
    </w:p>
    <w:p>
      <w:pPr>
        <w:spacing w:after="0" w:before="8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SIMM IM = sqrt[ sum_i(WS_i^2) + sum_{i≠j}(rho_ij * WS_i * WS_j) ]</w:t>
            </w:r>
          </w:p>
        </w:tc>
      </w:tr>
    </w:tbl>
    <w:p>
      <w:pPr>
        <w:spacing w:after="0" w:before="60"/>
      </w:pPr>
      <w:r>
        <w:t xml:space="preserve"/>
      </w:r>
    </w:p>
    <w:p>
      <w:pPr>
        <w:spacing w:after="80" w:before="80"/>
        <w:jc w:val="both"/>
      </w:pPr>
      <w:r>
        <w:rPr>
          <w:rFonts w:ascii="Calibri" w:cs="Calibri" w:eastAsia="Calibri" w:hAnsi="Calibri"/>
          <w:color w:val="1A1A2E"/>
          <w:sz w:val="22"/>
          <w:szCs w:val="22"/>
        </w:rPr>
        <w:t xml:space="preserve">Where WS_i are the weighted sensitivities for each risk bucket and rho_ij are the intra-bucket correlation parameters. See Module 4 for the full MVA derivation using SIMM.</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100"/>
              <w:left w:type="dxa" w:w="160"/>
              <w:bottom w:type="dxa" w:w="100"/>
              <w:right w:type="dxa" w:w="160"/>
            </w:tcMar>
            <w:vAlign w:val="center"/>
          </w:tcPr>
          <w:p>
            <w:pPr>
              <w:jc w:val="center"/>
            </w:pPr>
            <w:r>
              <w:rPr>
                <w:rFonts w:ascii="Calibri" w:cs="Calibri" w:eastAsia="Calibri" w:hAnsi="Calibri"/>
                <w:b/>
                <w:bCs/>
                <w:color w:val="C8953A"/>
                <w:sz w:val="20"/>
                <w:szCs w:val="20"/>
              </w:rPr>
              <w:t xml:space="preserve">CALIBRATION NOTE</w:t>
            </w:r>
          </w:p>
        </w:tc>
        <w:tc>
          <w:tcPr>
            <w:tcW w:type="dxa" w:w="7920"/>
            <w:tcBorders>
              <w:top w:val="none" w:color="FFFFFF" w:sz="0"/>
              <w:left w:val="none" w:color="FFFFFF" w:sz="0"/>
              <w:bottom w:val="none" w:color="FFFFFF" w:sz="0"/>
              <w:right w:val="none" w:color="FFFFFF" w:sz="0"/>
            </w:tcBorders>
            <w:shd w:fill="E0F4F7" w:val="clear"/>
            <w:tcMar>
              <w:top w:type="dxa" w:w="100"/>
              <w:left w:type="dxa" w:w="160"/>
              <w:bottom w:type="dxa" w:w="100"/>
              <w:right w:type="dxa" w:w="160"/>
            </w:tcMar>
          </w:tcPr>
          <w:p>
            <w:pPr>
              <w:jc w:val="both"/>
            </w:pPr>
            <w:r>
              <w:rPr>
                <w:rFonts w:ascii="Calibri" w:cs="Calibri" w:eastAsia="Calibri" w:hAnsi="Calibri"/>
                <w:i/>
                <w:iCs/>
                <w:color w:val="1A1A2E"/>
                <w:sz w:val="20"/>
                <w:szCs w:val="20"/>
              </w:rPr>
              <w:t xml:space="preserve">SIMM v2.8+2506 (December 2025): EUR IR delta risk weight confirmed within 70–80 bps range; 75 bps used in worked examples across Modules 4 and 5. Credit Qualifying weights increased for high-yield/non-rated subsectors. Commodity weights decreased (energy-sector normalisation). Always refer to the current ISDA SIMM publication for live production calibration.</w:t>
            </w:r>
          </w:p>
        </w:tc>
      </w:tr>
    </w:tbl>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6.4  Grid/Schedule Approach vs SIMM</w:t>
      </w:r>
    </w:p>
    <w:p>
      <w:pPr>
        <w:spacing w:after="80" w:before="80"/>
        <w:jc w:val="both"/>
      </w:pPr>
      <w:r>
        <w:rPr>
          <w:rFonts w:ascii="Calibri" w:cs="Calibri" w:eastAsia="Calibri" w:hAnsi="Calibri"/>
          <w:color w:val="1A1A2E"/>
          <w:sz w:val="22"/>
          <w:szCs w:val="22"/>
        </w:rPr>
        <w:t xml:space="preserve">Entities below the SIMM eligibility threshold, or those choosing not to develop SIMM infrastructure, may use the regulatory grid/schedule approach as an alternative:</w:t>
      </w:r>
    </w:p>
    <w:p>
      <w:pPr>
        <w:spacing w:after="0" w:before="80"/>
      </w:pPr>
      <w:r>
        <w:t xml:space="preserve"/>
      </w:r>
    </w:p>
    <w:tbl>
      <w:tblPr>
        <w:tblW w:type="dxa" w:w="9360"/>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Feature</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SIMM</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Grid / Schedule</w:t>
            </w:r>
          </w:p>
        </w:tc>
      </w:tr>
      <w:tr>
        <w:tc>
          <w:tcPr>
            <w:tcW w:type="dxa" w:w="24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Calculation basis</w:t>
            </w:r>
          </w:p>
        </w:tc>
        <w:tc>
          <w:tcPr>
            <w:tcW w:type="dxa" w:w="348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Sensitivity-based (greeks) — granular, portfolio-aware</w:t>
            </w:r>
          </w:p>
        </w:tc>
        <w:tc>
          <w:tcPr>
            <w:tcW w:type="dxa" w:w="348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Notional-based percentage by asset class and maturity bucket</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Conservatism</w:t>
            </w:r>
          </w:p>
        </w:tc>
        <w:tc>
          <w:tcPr>
            <w:tcW w:type="dxa" w:w="34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Lower IM for diversified portfolios (correlation benefit)</w:t>
            </w:r>
          </w:p>
        </w:tc>
        <w:tc>
          <w:tcPr>
            <w:tcW w:type="dxa" w:w="34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Generally more conservative — no diversification benefit recognised</w:t>
            </w:r>
          </w:p>
        </w:tc>
      </w:tr>
      <w:tr>
        <w:tc>
          <w:tcPr>
            <w:tcW w:type="dxa" w:w="24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Infrastructure required</w:t>
            </w:r>
          </w:p>
        </w:tc>
        <w:tc>
          <w:tcPr>
            <w:tcW w:type="dxa" w:w="348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Significant — requires sensitivity calculation and SIMM model validation</w:t>
            </w:r>
          </w:p>
        </w:tc>
        <w:tc>
          <w:tcPr>
            <w:tcW w:type="dxa" w:w="348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Minimal — notional lookup table. Appropriate for lower-complexity entities.</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Regulatory acceptance</w:t>
            </w:r>
          </w:p>
        </w:tc>
        <w:tc>
          <w:tcPr>
            <w:tcW w:type="dxa" w:w="34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Accepted by all major regulators as the industry standard model</w:t>
            </w:r>
          </w:p>
        </w:tc>
        <w:tc>
          <w:tcPr>
            <w:tcW w:type="dxa" w:w="34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Accepted as alternative; preferred by regulators for simple portfolios</w:t>
            </w:r>
          </w:p>
        </w:tc>
      </w:tr>
    </w:tbl>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6.5  Segregation and Rehypothecation of IM</w:t>
      </w:r>
    </w:p>
    <w:p>
      <w:pPr>
        <w:spacing w:after="80" w:before="80"/>
        <w:jc w:val="both"/>
      </w:pPr>
      <w:r>
        <w:rPr>
          <w:rFonts w:ascii="Calibri" w:cs="Calibri" w:eastAsia="Calibri" w:hAnsi="Calibri"/>
          <w:color w:val="1A1A2E"/>
          <w:sz w:val="22"/>
          <w:szCs w:val="22"/>
        </w:rPr>
        <w:t xml:space="preserve">A defining feature of UMR-mandated IM is the segregation requirement. Unlike VM (which can be freely rehypothecated), IM posted under UMR must be held in a segregated account at a third-party custodian. The posting party retains beneficial ownership; the receiving party cannot use the collateral for its own funding.</w:t>
      </w:r>
    </w:p>
    <w:p>
      <w:pPr>
        <w:spacing w:after="0" w:before="80"/>
      </w:pPr>
      <w:r>
        <w:t xml:space="preserve"/>
      </w:r>
    </w:p>
    <w:p>
      <w:pPr>
        <w:spacing w:after="80" w:before="80"/>
        <w:jc w:val="both"/>
      </w:pPr>
      <w:r>
        <w:rPr>
          <w:rFonts w:ascii="Calibri" w:cs="Calibri" w:eastAsia="Calibri" w:hAnsi="Calibri"/>
          <w:color w:val="1A1A2E"/>
          <w:sz w:val="22"/>
          <w:szCs w:val="22"/>
        </w:rPr>
        <w:t xml:space="preserve">This requirement has significant operational and funding implications:</w:t>
      </w:r>
    </w:p>
    <w:p>
      <w:pPr>
        <w:spacing w:after="0" w:before="60"/>
      </w:pPr>
      <w:r>
        <w:t xml:space="preserve"/>
      </w:r>
    </w:p>
    <w:p>
      <w:pPr>
        <w:pStyle w:val="ListParagraph"/>
        <w:numPr>
          <w:ilvl w:val="0"/>
          <w:numId w:val="2"/>
        </w:numPr>
        <w:spacing w:after="60" w:before="60"/>
      </w:pPr>
      <w:r>
        <w:rPr>
          <w:rFonts w:ascii="Calibri" w:cs="Calibri" w:eastAsia="Calibri" w:hAnsi="Calibri"/>
          <w:color w:val="1A1A2E"/>
          <w:sz w:val="22"/>
          <w:szCs w:val="22"/>
        </w:rPr>
        <w:t xml:space="preserve">Tri-party custodians (Euroclear, Clearstream, DTCC) have built dedicated segregated IM custody infrastructure.</w:t>
      </w:r>
    </w:p>
    <w:p>
      <w:pPr>
        <w:pStyle w:val="ListParagraph"/>
        <w:numPr>
          <w:ilvl w:val="0"/>
          <w:numId w:val="2"/>
        </w:numPr>
        <w:spacing w:after="60" w:before="60"/>
      </w:pPr>
      <w:r>
        <w:rPr>
          <w:rFonts w:ascii="Calibri" w:cs="Calibri" w:eastAsia="Calibri" w:hAnsi="Calibri"/>
          <w:color w:val="1A1A2E"/>
          <w:sz w:val="22"/>
          <w:szCs w:val="22"/>
        </w:rPr>
        <w:t xml:space="preserve">The prohibition on rehypothecation means IM collateral is locked — it cannot be used to fund the bank's balance sheet, increasing the effective funding cost. This is the source of MVA (see Module 4).</w:t>
      </w:r>
    </w:p>
    <w:p>
      <w:pPr>
        <w:pStyle w:val="ListParagraph"/>
        <w:numPr>
          <w:ilvl w:val="0"/>
          <w:numId w:val="2"/>
        </w:numPr>
        <w:spacing w:after="60" w:before="60"/>
      </w:pPr>
      <w:r>
        <w:rPr>
          <w:rFonts w:ascii="Calibri" w:cs="Calibri" w:eastAsia="Calibri" w:hAnsi="Calibri"/>
          <w:color w:val="1A1A2E"/>
          <w:sz w:val="22"/>
          <w:szCs w:val="22"/>
        </w:rPr>
        <w:t xml:space="preserve">Choice of eligible collateral for IM is typically narrower than for VM — most custodial arrangements accept cash and high-quality government bonds only.</w:t>
      </w:r>
    </w:p>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6.6  Margin Period of Risk</w:t>
      </w:r>
    </w:p>
    <w:p>
      <w:pPr>
        <w:spacing w:after="80" w:before="80"/>
        <w:jc w:val="both"/>
      </w:pPr>
      <w:r>
        <w:rPr>
          <w:rFonts w:ascii="Calibri" w:cs="Calibri" w:eastAsia="Calibri" w:hAnsi="Calibri"/>
          <w:color w:val="1A1A2E"/>
          <w:sz w:val="22"/>
          <w:szCs w:val="22"/>
        </w:rPr>
        <w:t xml:space="preserve">The Margin Period of Risk (MPoR) is the time horizon used to size IM. It represents the period from the last VM exchange to the point at which the surviving party has fully replaced all terminated positions. Regulatory floors:</w:t>
      </w:r>
    </w:p>
    <w:p>
      <w:pPr>
        <w:spacing w:after="0" w:before="80"/>
      </w:pPr>
      <w:r>
        <w:t xml:space="preserve"/>
      </w:r>
    </w:p>
    <w:tbl>
      <w:tblPr>
        <w:tblW w:type="dxa" w:w="9360"/>
      </w:tblPr>
      <w:tblGrid>
        <w:gridCol w:w="3120"/>
        <w:gridCol w:w="2040"/>
        <w:gridCol w:w="420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Context</w:t>
            </w:r>
          </w:p>
        </w:tc>
        <w:tc>
          <w:tcPr>
            <w:tcW w:type="dxa" w:w="20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MPoR Floor</w:t>
            </w:r>
          </w:p>
        </w:tc>
        <w:tc>
          <w:tcPr>
            <w:tcW w:type="dxa" w:w="4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Rationale</w:t>
            </w:r>
          </w:p>
        </w:tc>
      </w:tr>
      <w:tr>
        <w:tc>
          <w:tcPr>
            <w:tcW w:type="dxa" w:w="312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Bilateral (non-cleared) — daily margining</w:t>
            </w:r>
          </w:p>
        </w:tc>
        <w:tc>
          <w:tcPr>
            <w:tcW w:type="dxa" w:w="204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10 business days</w:t>
            </w:r>
          </w:p>
        </w:tc>
        <w:tc>
          <w:tcPr>
            <w:tcW w:type="dxa" w:w="42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Time to: detect default, notify counterparty, obtain regulatorypermissions, execute close-out transactions, replace positions in market.</w:t>
            </w:r>
          </w:p>
        </w:tc>
      </w:tr>
      <w:tr>
        <w:tc>
          <w:tcPr>
            <w:tcW w:type="dxa" w:w="3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Centrally cleared — daily margining</w:t>
            </w:r>
          </w:p>
        </w:tc>
        <w:tc>
          <w:tcPr>
            <w:tcW w:type="dxa" w:w="20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5 business days</w:t>
            </w:r>
          </w:p>
        </w:tc>
        <w:tc>
          <w:tcPr>
            <w:tcW w:type="dxa" w:w="4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CCP's standardised close-out procedures are faster than bilateral; CCP can port positions to another clearing member.</w:t>
            </w:r>
          </w:p>
        </w:tc>
      </w:tr>
      <w:tr>
        <w:tc>
          <w:tcPr>
            <w:tcW w:type="dxa" w:w="312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Bilateral — less frequent margining</w:t>
            </w:r>
          </w:p>
        </w:tc>
        <w:tc>
          <w:tcPr>
            <w:tcW w:type="dxa" w:w="204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10 days + margining gap</w:t>
            </w:r>
          </w:p>
        </w:tc>
        <w:tc>
          <w:tcPr>
            <w:tcW w:type="dxa" w:w="42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MPoR extends by the number of days between margin calls if less frequent than daily.</w:t>
            </w:r>
          </w:p>
        </w:tc>
      </w:tr>
      <w:tr>
        <w:tc>
          <w:tcPr>
            <w:tcW w:type="dxa" w:w="3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Stress scenario assumption</w:t>
            </w:r>
          </w:p>
        </w:tc>
        <w:tc>
          <w:tcPr>
            <w:tcW w:type="dxa" w:w="20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20–30 business days</w:t>
            </w:r>
          </w:p>
        </w:tc>
        <w:tc>
          <w:tcPr>
            <w:tcW w:type="dxa" w:w="4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For stress-testing purposes, regulators and risk managers assume extended MPoR in a systemic crisis — reflecting Lehman-style close-out delays.</w:t>
            </w:r>
          </w:p>
        </w:tc>
      </w:tr>
    </w:tbl>
    <w:p>
      <w:pPr>
        <w:spacing w:after="0" w:before="160"/>
      </w:pPr>
      <w:r>
        <w:t xml:space="preserve"/>
      </w:r>
    </w:p>
    <w:p>
      <w:r>
        <w:br w:type="page"/>
      </w:r>
    </w:p>
    <w:p>
      <w:pPr>
        <w:pStyle w:val="Heading1"/>
        <w:spacing w:after="160" w:before="320"/>
      </w:pPr>
      <w:r>
        <w:rPr>
          <w:rFonts w:ascii="Calibri" w:cs="Calibri" w:eastAsia="Calibri" w:hAnsi="Calibri"/>
          <w:b/>
          <w:bCs/>
          <w:color w:val="0D1B2A"/>
          <w:sz w:val="48"/>
          <w:szCs w:val="48"/>
        </w:rPr>
        <w:t xml:space="preserve">Section 7 — Rehypothecation</w:t>
      </w:r>
    </w:p>
    <w:p>
      <w:pPr>
        <w:pBdr>
          <w:bottom w:val="single" w:color="028090" w:sz="6" w:space="1"/>
        </w:pBdr>
        <w:spacing w:after="120" w:before="120"/>
      </w:pPr>
      <w:r>
        <w:t xml:space="preserve"/>
      </w:r>
    </w:p>
    <w:p>
      <w:pPr>
        <w:spacing w:after="0" w:before="80"/>
      </w:pPr>
      <w:r>
        <w:t xml:space="preserve"/>
      </w:r>
    </w:p>
    <w:p>
      <w:pPr>
        <w:pStyle w:val="Heading2"/>
        <w:spacing w:after="120" w:before="240"/>
      </w:pPr>
      <w:r>
        <w:rPr>
          <w:rFonts w:ascii="Calibri" w:cs="Calibri" w:eastAsia="Calibri" w:hAnsi="Calibri"/>
          <w:b/>
          <w:bCs/>
          <w:color w:val="028090"/>
          <w:sz w:val="36"/>
          <w:szCs w:val="36"/>
        </w:rPr>
        <w:t xml:space="preserve">7.1  Definition and Mechanics</w:t>
      </w:r>
    </w:p>
    <w:p>
      <w:pPr>
        <w:spacing w:after="80" w:before="80"/>
        <w:jc w:val="both"/>
      </w:pPr>
      <w:r>
        <w:rPr>
          <w:rFonts w:ascii="Calibri" w:cs="Calibri" w:eastAsia="Calibri" w:hAnsi="Calibri"/>
          <w:color w:val="1A1A2E"/>
          <w:sz w:val="22"/>
          <w:szCs w:val="22"/>
        </w:rPr>
        <w:t xml:space="preserve">Rehypothecation is the practice of reusing collateral received from one counterparty to meet collateral obligations to another counterparty. When Bank A posts government bonds as VM to Dealer B, and Dealer B uses those same bonds to post VM to Dealer C, Dealer B has rehypothecated Bank A's collateral.</w:t>
      </w:r>
    </w:p>
    <w:p>
      <w:pPr>
        <w:spacing w:after="0" w:before="80"/>
      </w:pPr>
      <w:r>
        <w:t xml:space="preserve"/>
      </w:r>
    </w:p>
    <w:p>
      <w:pPr>
        <w:spacing w:after="80" w:before="80"/>
        <w:jc w:val="both"/>
      </w:pPr>
      <w:r>
        <w:rPr>
          <w:rFonts w:ascii="Calibri" w:cs="Calibri" w:eastAsia="Calibri" w:hAnsi="Calibri"/>
          <w:color w:val="1A1A2E"/>
          <w:sz w:val="22"/>
          <w:szCs w:val="22"/>
        </w:rPr>
        <w:t xml:space="preserve">Rehypothecation is legally a transfer of title — the receiving party takes full legal ownership of the collateral and has the right to use it freely. The posting party retains a contractual right to the return of equivalent collateral (not necessarily the same securities), subject to the receiving party's creditworthiness.</w:t>
      </w:r>
    </w:p>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7.2  Economic Benefit</w:t>
      </w:r>
    </w:p>
    <w:p>
      <w:pPr>
        <w:spacing w:after="80" w:before="80"/>
        <w:jc w:val="both"/>
      </w:pPr>
      <w:r>
        <w:rPr>
          <w:rFonts w:ascii="Calibri" w:cs="Calibri" w:eastAsia="Calibri" w:hAnsi="Calibri"/>
          <w:color w:val="1A1A2E"/>
          <w:sz w:val="22"/>
          <w:szCs w:val="22"/>
        </w:rPr>
        <w:t xml:space="preserve">For the receiving party, rehypothecation is a funding tool. By reusing received collateral rather than sourcing securities from the market, a dealer can:</w:t>
      </w:r>
    </w:p>
    <w:p>
      <w:pPr>
        <w:spacing w:after="0" w:before="60"/>
      </w:pPr>
      <w:r>
        <w:t xml:space="preserve"/>
      </w:r>
    </w:p>
    <w:p>
      <w:pPr>
        <w:pStyle w:val="ListParagraph"/>
        <w:numPr>
          <w:ilvl w:val="0"/>
          <w:numId w:val="2"/>
        </w:numPr>
        <w:spacing w:after="60" w:before="60"/>
      </w:pPr>
      <w:r>
        <w:rPr>
          <w:rFonts w:ascii="Calibri" w:cs="Calibri" w:eastAsia="Calibri" w:hAnsi="Calibri"/>
          <w:color w:val="1A1A2E"/>
          <w:sz w:val="22"/>
          <w:szCs w:val="22"/>
        </w:rPr>
        <w:t xml:space="preserve">Reduce its own funding needs — it does not need to finance the delivery of securities it has already received</w:t>
      </w:r>
    </w:p>
    <w:p>
      <w:pPr>
        <w:pStyle w:val="ListParagraph"/>
        <w:numPr>
          <w:ilvl w:val="0"/>
          <w:numId w:val="2"/>
        </w:numPr>
        <w:spacing w:after="60" w:before="60"/>
      </w:pPr>
      <w:r>
        <w:rPr>
          <w:rFonts w:ascii="Calibri" w:cs="Calibri" w:eastAsia="Calibri" w:hAnsi="Calibri"/>
          <w:color w:val="1A1A2E"/>
          <w:sz w:val="22"/>
          <w:szCs w:val="22"/>
        </w:rPr>
        <w:t xml:space="preserve">Earn a spread between the rate at which it received the collateral and the rate at which it deployed it</w:t>
      </w:r>
    </w:p>
    <w:p>
      <w:pPr>
        <w:pStyle w:val="ListParagraph"/>
        <w:numPr>
          <w:ilvl w:val="0"/>
          <w:numId w:val="2"/>
        </w:numPr>
        <w:spacing w:after="60" w:before="60"/>
      </w:pPr>
      <w:r>
        <w:rPr>
          <w:rFonts w:ascii="Calibri" w:cs="Calibri" w:eastAsia="Calibri" w:hAnsi="Calibri"/>
          <w:color w:val="1A1A2E"/>
          <w:sz w:val="22"/>
          <w:szCs w:val="22"/>
        </w:rPr>
        <w:t xml:space="preserve">Improve balance sheet efficiency by reducing the gross assets that need to be funded</w:t>
      </w:r>
    </w:p>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7.3  Risk — The Collateral Reuse Chain</w:t>
      </w:r>
    </w:p>
    <w:p>
      <w:pPr>
        <w:spacing w:after="80" w:before="80"/>
        <w:jc w:val="both"/>
      </w:pPr>
      <w:r>
        <w:rPr>
          <w:rFonts w:ascii="Calibri" w:cs="Calibri" w:eastAsia="Calibri" w:hAnsi="Calibri"/>
          <w:color w:val="1A1A2E"/>
          <w:sz w:val="22"/>
          <w:szCs w:val="22"/>
        </w:rPr>
        <w:t xml:space="preserve">Rehypothecation creates a chain of collateral dependencies. If any link in the chain fails — a counterparty defaults and cannot return equivalent collateral — the entire chain is affected. During the 2008 crisis, the unwinding of rehypothecation chains was a significant source of systemic stress, as institutions simultaneously demanded return of their collateral whilst being unable to return the collateral they had themselves reused.</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100"/>
              <w:left w:type="dxa" w:w="160"/>
              <w:bottom w:type="dxa" w:w="100"/>
              <w:right w:type="dxa" w:w="160"/>
            </w:tcMar>
            <w:vAlign w:val="center"/>
          </w:tcPr>
          <w:p>
            <w:pPr>
              <w:jc w:val="center"/>
            </w:pPr>
            <w:r>
              <w:rPr>
                <w:rFonts w:ascii="Calibri" w:cs="Calibri" w:eastAsia="Calibri" w:hAnsi="Calibri"/>
                <w:b/>
                <w:bCs/>
                <w:color w:val="C8953A"/>
                <w:sz w:val="20"/>
                <w:szCs w:val="20"/>
              </w:rPr>
              <w:t xml:space="preserve">SYSTEMIC RISK</w:t>
            </w:r>
          </w:p>
        </w:tc>
        <w:tc>
          <w:tcPr>
            <w:tcW w:type="dxa" w:w="7920"/>
            <w:tcBorders>
              <w:top w:val="none" w:color="FFFFFF" w:sz="0"/>
              <w:left w:val="none" w:color="FFFFFF" w:sz="0"/>
              <w:bottom w:val="none" w:color="FFFFFF" w:sz="0"/>
              <w:right w:val="none" w:color="FFFFFF" w:sz="0"/>
            </w:tcBorders>
            <w:shd w:fill="E0F4F7" w:val="clear"/>
            <w:tcMar>
              <w:top w:type="dxa" w:w="100"/>
              <w:left w:type="dxa" w:w="160"/>
              <w:bottom w:type="dxa" w:w="100"/>
              <w:right w:type="dxa" w:w="160"/>
            </w:tcMar>
          </w:tcPr>
          <w:p>
            <w:pPr>
              <w:jc w:val="both"/>
            </w:pPr>
            <w:r>
              <w:rPr>
                <w:rFonts w:ascii="Calibri" w:cs="Calibri" w:eastAsia="Calibri" w:hAnsi="Calibri"/>
                <w:i/>
                <w:iCs/>
                <w:color w:val="1A1A2E"/>
                <w:sz w:val="20"/>
                <w:szCs w:val="20"/>
              </w:rPr>
              <w:t xml:space="preserve">The FSB estimated that securities financing transactions (repo, securities lending, rehypothecation) created interconnections between financial institutions that amplified the 2008 crisis. Post-crisis reforms — including UMR segregation requirements and SFTR reporting — were designed to make these chains visible and constrained.</w:t>
            </w:r>
          </w:p>
        </w:tc>
      </w:tr>
    </w:tbl>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7.4  UMR Prohibition on IM Rehypothecation</w:t>
      </w:r>
    </w:p>
    <w:p>
      <w:pPr>
        <w:spacing w:after="80" w:before="80"/>
        <w:jc w:val="both"/>
      </w:pPr>
      <w:r>
        <w:rPr>
          <w:rFonts w:ascii="Calibri" w:cs="Calibri" w:eastAsia="Calibri" w:hAnsi="Calibri"/>
          <w:color w:val="1A1A2E"/>
          <w:sz w:val="22"/>
          <w:szCs w:val="22"/>
        </w:rPr>
        <w:t xml:space="preserve">The Uncleared Margin Rules explicitly prohibit the rehypothecation of segregated IM. IM posted under UMR must be held in a third-party segregated account; the receiving party has no right to reuse it. This is a fundamental difference from VM:</w:t>
      </w:r>
    </w:p>
    <w:p>
      <w:pPr>
        <w:spacing w:after="0" w:before="80"/>
      </w:pPr>
      <w:r>
        <w:t xml:space="preserve"/>
      </w:r>
    </w:p>
    <w:tbl>
      <w:tblPr>
        <w:tblW w:type="dxa" w:w="9360"/>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Feature</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Variation Margin</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Initial Margin (UMR)</w:t>
            </w:r>
          </w:p>
        </w:tc>
      </w:tr>
      <w:tr>
        <w:tc>
          <w:tcPr>
            <w:tcW w:type="dxa" w:w="24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Title transfer</w:t>
            </w:r>
          </w:p>
        </w:tc>
        <w:tc>
          <w:tcPr>
            <w:tcW w:type="dxa" w:w="348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Full title transfer to receiving party</w:t>
            </w:r>
          </w:p>
        </w:tc>
        <w:tc>
          <w:tcPr>
            <w:tcW w:type="dxa" w:w="348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Beneficial ownership remains with posting party</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Rehypothecation</w:t>
            </w:r>
          </w:p>
        </w:tc>
        <w:tc>
          <w:tcPr>
            <w:tcW w:type="dxa" w:w="34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Permitted — receiving party may reuse</w:t>
            </w:r>
          </w:p>
        </w:tc>
        <w:tc>
          <w:tcPr>
            <w:tcW w:type="dxa" w:w="34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Prohibited under UMR — must be segregated at third-party custodian</w:t>
            </w:r>
          </w:p>
        </w:tc>
      </w:tr>
      <w:tr>
        <w:tc>
          <w:tcPr>
            <w:tcW w:type="dxa" w:w="24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Funding impact</w:t>
            </w:r>
          </w:p>
        </w:tc>
        <w:tc>
          <w:tcPr>
            <w:tcW w:type="dxa" w:w="348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VM received can fund balance sheet — reduces funding cost</w:t>
            </w:r>
          </w:p>
        </w:tc>
        <w:tc>
          <w:tcPr>
            <w:tcW w:type="dxa" w:w="34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Locked in custody — cannot fund balance sheet. Source of MVA.</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Posting party risk</w:t>
            </w:r>
          </w:p>
        </w:tc>
        <w:tc>
          <w:tcPr>
            <w:tcW w:type="dxa" w:w="34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Unsecured creditor of receiving party if not returned</w:t>
            </w:r>
          </w:p>
        </w:tc>
        <w:tc>
          <w:tcPr>
            <w:tcW w:type="dxa" w:w="3480"/>
            <w:tcBorders>
              <w:top w:val="single" w:color="CCCCCC" w:sz="1"/>
              <w:left w:val="single" w:color="CCCCCC" w:sz="1"/>
              <w:bottom w:val="single" w:color="CCCCCC" w:sz="1"/>
              <w:right w:val="single" w:color="CCCCCC" w:sz="1"/>
            </w:tcBorders>
            <w:shd w:fill="00A896"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Protected by segregation — IM returns even if receiver defaults</w:t>
            </w:r>
          </w:p>
        </w:tc>
      </w:tr>
    </w:tbl>
    <w:p>
      <w:pPr>
        <w:spacing w:after="0" w:before="160"/>
      </w:pPr>
      <w:r>
        <w:t xml:space="preserve"/>
      </w:r>
    </w:p>
    <w:p>
      <w:r>
        <w:br w:type="page"/>
      </w:r>
    </w:p>
    <w:p>
      <w:pPr>
        <w:pStyle w:val="Heading1"/>
        <w:spacing w:after="160" w:before="320"/>
      </w:pPr>
      <w:r>
        <w:rPr>
          <w:rFonts w:ascii="Calibri" w:cs="Calibri" w:eastAsia="Calibri" w:hAnsi="Calibri"/>
          <w:b/>
          <w:bCs/>
          <w:color w:val="0D1B2A"/>
          <w:sz w:val="48"/>
          <w:szCs w:val="48"/>
        </w:rPr>
        <w:t xml:space="preserve">Section 8 — Repo &amp; Securities Lending</w:t>
      </w:r>
    </w:p>
    <w:p>
      <w:pPr>
        <w:pBdr>
          <w:bottom w:val="single" w:color="028090" w:sz="6" w:space="1"/>
        </w:pBdr>
        <w:spacing w:after="120" w:before="120"/>
      </w:pPr>
      <w:r>
        <w:t xml:space="preserve"/>
      </w:r>
    </w:p>
    <w:p>
      <w:pPr>
        <w:spacing w:after="0" w:before="80"/>
      </w:pPr>
      <w:r>
        <w:t xml:space="preserve"/>
      </w:r>
    </w:p>
    <w:p>
      <w:pPr>
        <w:spacing w:after="80" w:before="80"/>
        <w:jc w:val="both"/>
      </w:pPr>
      <w:r>
        <w:rPr>
          <w:rFonts w:ascii="Calibri" w:cs="Calibri" w:eastAsia="Calibri" w:hAnsi="Calibri"/>
          <w:color w:val="1A1A2E"/>
          <w:sz w:val="22"/>
          <w:szCs w:val="22"/>
        </w:rPr>
        <w:t xml:space="preserve">Repurchase agreements (repo) and securities lending are the primary mechanisms by which financial institutions finance securities holdings, source specific securities, and transform collateral. Both markets are deeply interconnected with the XVA framework — they determine the dealer's funding curve (central to FVA), the cost of sourcing IM collateral (central to MVA), and the economics of collateral transformation (central to ColVA, covered in Module 6).</w:t>
      </w:r>
    </w:p>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8.1  Classic Repo — Structure and Mechanics</w:t>
      </w:r>
    </w:p>
    <w:p>
      <w:pPr>
        <w:spacing w:after="80" w:before="80"/>
        <w:jc w:val="both"/>
      </w:pPr>
      <w:r>
        <w:rPr>
          <w:rFonts w:ascii="Calibri" w:cs="Calibri" w:eastAsia="Calibri" w:hAnsi="Calibri"/>
          <w:color w:val="1A1A2E"/>
          <w:sz w:val="22"/>
          <w:szCs w:val="22"/>
        </w:rPr>
        <w:t xml:space="preserve">A repurchase agreement (repo) is economically a collateralised loan, but legally a sale and repurchase. The cash borrower sells securities to the cash lender at an agreed price and simultaneously agrees to repurchase equivalent securities at a future date at a higher price. The difference between the sale and repurchase price is the repo interest.</w:t>
      </w:r>
    </w:p>
    <w:p>
      <w:pPr>
        <w:spacing w:after="0" w:before="80"/>
      </w:pPr>
      <w:r>
        <w:t xml:space="preserve"/>
      </w:r>
    </w:p>
    <w:tbl>
      <w:tblPr>
        <w:tblW w:type="dxa" w:w="9360"/>
      </w:tblPr>
      <w:tblGrid>
        <w:gridCol w:w="9360"/>
      </w:tblGrid>
      <w:tr>
        <w:tc>
          <w:tcPr>
            <w:tcW w:type="dxa" w:w="9360"/>
            <w:tcBorders>
              <w:top w:val="none" w:color="FFFFFF" w:sz="0"/>
              <w:left w:val="none" w:color="FFFFFF" w:sz="0"/>
              <w:bottom w:val="none" w:color="FFFFFF" w:sz="0"/>
              <w:right w:val="none" w:color="FFFFFF" w:sz="0"/>
            </w:tcBorders>
            <w:shd w:fill="E0F4F7" w:val="clear"/>
            <w:tcMar>
              <w:top w:type="dxa" w:w="160"/>
              <w:left w:type="dxa" w:w="240"/>
              <w:bottom w:type="dxa" w:w="160"/>
              <w:right w:type="dxa" w:w="240"/>
            </w:tcMar>
          </w:tcPr>
          <w:p>
            <w:pPr>
              <w:jc w:val="center"/>
            </w:pPr>
            <w:r>
              <w:rPr>
                <w:rFonts w:ascii="Calibri" w:cs="Calibri" w:eastAsia="Calibri" w:hAnsi="Calibri"/>
                <w:b/>
                <w:bCs/>
                <w:caps/>
                <w:color w:val="1B2A4A"/>
                <w:sz w:val="22"/>
                <w:szCs w:val="22"/>
              </w:rPr>
              <w:t xml:space="preserve">REPO MECHANICS</w:t>
            </w:r>
          </w:p>
          <w:p>
            <w:pPr>
              <w:spacing w:after="0" w:before="80"/>
            </w:pPr>
            <w:r>
              <w:t xml:space="preserve"/>
            </w:r>
          </w:p>
          <w:p>
            <w:pPr>
              <w:jc w:val="center"/>
            </w:pPr>
            <w:r>
              <w:rPr>
                <w:rFonts w:ascii="Calibri" w:cs="Calibri" w:eastAsia="Calibri" w:hAnsi="Calibri"/>
                <w:color w:val="1A1A2E"/>
                <w:sz w:val="20"/>
                <w:szCs w:val="20"/>
              </w:rPr>
              <w:t xml:space="preserve">Day 0: Securities Seller ⟶ [sells bonds @ P₀] ⟶ Cash Buyer</w:t>
            </w:r>
          </w:p>
          <w:p>
            <w:pPr>
              <w:jc w:val="center"/>
            </w:pPr>
            <w:r>
              <w:rPr>
                <w:rFonts w:ascii="Calibri" w:cs="Calibri" w:eastAsia="Calibri" w:hAnsi="Calibri"/>
                <w:color w:val="1A1A2E"/>
                <w:sz w:val="20"/>
                <w:szCs w:val="20"/>
              </w:rPr>
              <w:t xml:space="preserve">Day 0: Securities Seller ⟵ [receives cash = P₀] ⟵ Cash Buyer</w:t>
            </w:r>
          </w:p>
          <w:p>
            <w:pPr>
              <w:spacing w:after="0" w:before="40"/>
            </w:pPr>
            <w:r>
              <w:t xml:space="preserve"/>
            </w:r>
          </w:p>
          <w:p>
            <w:pPr>
              <w:jc w:val="center"/>
            </w:pPr>
            <w:r>
              <w:rPr>
                <w:rFonts w:ascii="Calibri" w:cs="Calibri" w:eastAsia="Calibri" w:hAnsi="Calibri"/>
                <w:color w:val="1A1A2E"/>
                <w:sz w:val="20"/>
                <w:szCs w:val="20"/>
              </w:rPr>
              <w:t xml:space="preserve">Maturity: Securities Seller ⟵ [repurchases bonds @ P₁] ⟵ Cash Buyer</w:t>
            </w:r>
          </w:p>
          <w:p>
            <w:pPr>
              <w:jc w:val="center"/>
            </w:pPr>
            <w:r>
              <w:rPr>
                <w:rFonts w:ascii="Calibri" w:cs="Calibri" w:eastAsia="Calibri" w:hAnsi="Calibri"/>
                <w:color w:val="1A1A2E"/>
                <w:sz w:val="20"/>
                <w:szCs w:val="20"/>
              </w:rPr>
              <w:t xml:space="preserve">Maturity: Securities Seller ⟶ [returns cash = P₁ = P₀ x (1 + repo rate x t/360)] ⟶ Cash Buyer</w:t>
            </w:r>
          </w:p>
          <w:p>
            <w:pPr>
              <w:spacing w:after="0" w:before="40"/>
            </w:pPr>
            <w:r>
              <w:t xml:space="preserve"/>
            </w:r>
          </w:p>
          <w:p>
            <w:pPr>
              <w:jc w:val="center"/>
            </w:pPr>
            <w:r>
              <w:rPr>
                <w:rFonts w:ascii="Calibri" w:cs="Calibri" w:eastAsia="Calibri" w:hAnsi="Calibri"/>
                <w:b/>
                <w:bCs/>
                <w:color w:val="028090"/>
                <w:sz w:val="20"/>
                <w:szCs w:val="20"/>
              </w:rPr>
              <w:t xml:space="preserve">Net cost to securities seller = repo rate x P₀ x t/360  (the financing cost)</w:t>
            </w:r>
          </w:p>
        </w:tc>
      </w:tr>
    </w:tbl>
    <w:p>
      <w:pPr>
        <w:spacing w:after="0" w:before="120"/>
      </w:pPr>
      <w:r>
        <w:t xml:space="preserve"/>
      </w:r>
    </w:p>
    <w:p>
      <w:pPr>
        <w:pStyle w:val="Heading3"/>
        <w:spacing w:after="80" w:before="180"/>
      </w:pPr>
      <w:r>
        <w:rPr>
          <w:rFonts w:ascii="Calibri" w:cs="Calibri" w:eastAsia="Calibri" w:hAnsi="Calibri"/>
          <w:b/>
          <w:bCs/>
          <w:color w:val="0D1B2A"/>
          <w:sz w:val="28"/>
          <w:szCs w:val="28"/>
        </w:rPr>
        <w:t xml:space="preserve">Open vs Term Repo</w:t>
      </w:r>
    </w:p>
    <w:tbl>
      <w:tblPr>
        <w:tblW w:type="dxa" w:w="9360"/>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Type</w:t>
            </w:r>
          </w:p>
        </w:tc>
        <w:tc>
          <w:tcPr>
            <w:tcW w:type="dxa" w:w="3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Open Repo</w:t>
            </w:r>
          </w:p>
        </w:tc>
        <w:tc>
          <w:tcPr>
            <w:tcW w:type="dxa" w:w="3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Term Repo</w:t>
            </w:r>
          </w:p>
        </w:tc>
      </w:tr>
      <w:tr>
        <w:tc>
          <w:tcPr>
            <w:tcW w:type="dxa" w:w="20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Maturity</w:t>
            </w:r>
          </w:p>
        </w:tc>
        <w:tc>
          <w:tcPr>
            <w:tcW w:type="dxa" w:w="368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No fixed maturity — rolls daily until terminated by either party</w:t>
            </w:r>
          </w:p>
        </w:tc>
        <w:tc>
          <w:tcPr>
            <w:tcW w:type="dxa" w:w="368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Fixed maturity — overnight, one week, one month, or longer</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Rate</w:t>
            </w:r>
          </w:p>
        </w:tc>
        <w:tc>
          <w:tcPr>
            <w:tcW w:type="dxa" w:w="36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Floating — resets daily at prevailing repo rate</w:t>
            </w:r>
          </w:p>
        </w:tc>
        <w:tc>
          <w:tcPr>
            <w:tcW w:type="dxa" w:w="36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Fixed at inception for the term</w:t>
            </w:r>
          </w:p>
        </w:tc>
      </w:tr>
      <w:tr>
        <w:tc>
          <w:tcPr>
            <w:tcW w:type="dxa" w:w="20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Use case</w:t>
            </w:r>
          </w:p>
        </w:tc>
        <w:tc>
          <w:tcPr>
            <w:tcW w:type="dxa" w:w="368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Flexible funding; matched book management; intraday collateral needs</w:t>
            </w:r>
          </w:p>
        </w:tc>
        <w:tc>
          <w:tcPr>
            <w:tcW w:type="dxa" w:w="368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Locked-in funding for a known horizon; collateral for structured trades</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Termination</w:t>
            </w:r>
          </w:p>
        </w:tc>
        <w:tc>
          <w:tcPr>
            <w:tcW w:type="dxa" w:w="36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Either party can terminate on any business day with notice</w:t>
            </w:r>
          </w:p>
        </w:tc>
        <w:tc>
          <w:tcPr>
            <w:tcW w:type="dxa" w:w="36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Cannot terminate early without bilateral agreement (except on credit events)</w:t>
            </w:r>
          </w:p>
        </w:tc>
      </w:tr>
    </w:tbl>
    <w:p>
      <w:pPr>
        <w:spacing w:after="0" w:before="80"/>
      </w:pPr>
      <w:r>
        <w:t xml:space="preserve"/>
      </w:r>
    </w:p>
    <w:p>
      <w:pPr>
        <w:pStyle w:val="Heading3"/>
        <w:spacing w:after="80" w:before="180"/>
      </w:pPr>
      <w:r>
        <w:rPr>
          <w:rFonts w:ascii="Calibri" w:cs="Calibri" w:eastAsia="Calibri" w:hAnsi="Calibri"/>
          <w:b/>
          <w:bCs/>
          <w:color w:val="0D1B2A"/>
          <w:sz w:val="28"/>
          <w:szCs w:val="28"/>
        </w:rPr>
        <w:t xml:space="preserve">General Collateral (GC) vs Special Repo</w:t>
      </w:r>
    </w:p>
    <w:tbl>
      <w:tblPr>
        <w:tblW w:type="dxa" w:w="9360"/>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Feature</w:t>
            </w:r>
          </w:p>
        </w:tc>
        <w:tc>
          <w:tcPr>
            <w:tcW w:type="dxa" w:w="3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General Collateral (GC)</w:t>
            </w:r>
          </w:p>
        </w:tc>
        <w:tc>
          <w:tcPr>
            <w:tcW w:type="dxa" w:w="3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Special Repo</w:t>
            </w:r>
          </w:p>
        </w:tc>
      </w:tr>
      <w:tr>
        <w:tc>
          <w:tcPr>
            <w:tcW w:type="dxa" w:w="20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Collateral</w:t>
            </w:r>
          </w:p>
        </w:tc>
        <w:tc>
          <w:tcPr>
            <w:tcW w:type="dxa" w:w="368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Any security from an eligible pool (e.g. any UST, any Bund). Cash lender has no preference.</w:t>
            </w:r>
          </w:p>
        </w:tc>
        <w:tc>
          <w:tcPr>
            <w:tcW w:type="dxa" w:w="368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Specific security identified (e.g. on-the-run 10Y UST). Cash lender requires this exact bond.</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Repo rate</w:t>
            </w:r>
          </w:p>
        </w:tc>
        <w:tc>
          <w:tcPr>
            <w:tcW w:type="dxa" w:w="36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Close to OIS/overnight rate. GC rate is the baseline funding rate for high-quality collateral.</w:t>
            </w:r>
          </w:p>
        </w:tc>
        <w:tc>
          <w:tcPr>
            <w:tcW w:type="dxa" w:w="36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Below GC rate — sometimes significantly. Cash lender accepts below-market return in exchange for securing the specific bond.</w:t>
            </w:r>
          </w:p>
        </w:tc>
      </w:tr>
      <w:tr>
        <w:tc>
          <w:tcPr>
            <w:tcW w:type="dxa" w:w="20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Driver</w:t>
            </w:r>
          </w:p>
        </w:tc>
        <w:tc>
          <w:tcPr>
            <w:tcW w:type="dxa" w:w="368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Pure funding: securities holder needs cash and posts whatever eligible bonds it holds.</w:t>
            </w:r>
          </w:p>
        </w:tc>
        <w:tc>
          <w:tcPr>
            <w:tcW w:type="dxa" w:w="368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Short-covering: dealer needs specific bond to deliver against a short position or to settle a customer trade.</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Specialness</w:t>
            </w:r>
          </w:p>
        </w:tc>
        <w:tc>
          <w:tcPr>
            <w:tcW w:type="dxa" w:w="36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No specialness premium — rate reflects pure credit/liquidity of collateral pool.</w:t>
            </w:r>
          </w:p>
        </w:tc>
        <w:tc>
          <w:tcPr>
            <w:tcW w:type="dxa" w:w="36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Specialness premium = GC rate minus special rate. Reflects scarcity value of the specific bond.</w:t>
            </w:r>
          </w:p>
        </w:tc>
      </w:tr>
    </w:tbl>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8.2  The Dealer's Repo Book</w:t>
      </w:r>
    </w:p>
    <w:p>
      <w:pPr>
        <w:spacing w:after="80" w:before="80"/>
        <w:jc w:val="both"/>
      </w:pPr>
      <w:r>
        <w:rPr>
          <w:rFonts w:ascii="Calibri" w:cs="Calibri" w:eastAsia="Calibri" w:hAnsi="Calibri"/>
          <w:color w:val="1A1A2E"/>
          <w:sz w:val="22"/>
          <w:szCs w:val="22"/>
        </w:rPr>
        <w:t xml:space="preserve">A global dealer operates a repo book as a core Treasury and funding function. The matched book is the foundation: the dealer simultaneously runs repos (borrowing securities, lending cash) and reverse repos (lending securities, borrowing cash) across a range of counterparties and maturities. The matched book is not perfectly matched — deliberate duration, credit, and basis mismatches generate revenue.</w:t>
      </w:r>
    </w:p>
    <w:p>
      <w:pPr>
        <w:spacing w:after="0" w:before="80"/>
      </w:pPr>
      <w:r>
        <w:t xml:space="preserve"/>
      </w:r>
    </w:p>
    <w:p>
      <w:pPr>
        <w:spacing w:after="80" w:before="80"/>
        <w:jc w:val="both"/>
      </w:pPr>
      <w:r>
        <w:rPr>
          <w:rFonts w:ascii="Calibri" w:cs="Calibri" w:eastAsia="Calibri" w:hAnsi="Calibri"/>
          <w:color w:val="1A1A2E"/>
          <w:sz w:val="22"/>
          <w:szCs w:val="22"/>
        </w:rPr>
        <w:t xml:space="preserve">Key functions of the dealer's repo book:</w:t>
      </w:r>
    </w:p>
    <w:p>
      <w:pPr>
        <w:spacing w:after="0" w:before="60"/>
      </w:pPr>
      <w:r>
        <w:t xml:space="preserve"/>
      </w:r>
    </w:p>
    <w:p>
      <w:pPr>
        <w:pStyle w:val="ListParagraph"/>
        <w:numPr>
          <w:ilvl w:val="0"/>
          <w:numId w:val="2"/>
        </w:numPr>
        <w:spacing w:after="60" w:before="60"/>
      </w:pPr>
      <w:r>
        <w:rPr>
          <w:rFonts w:ascii="Calibri" w:cs="Calibri" w:eastAsia="Calibri" w:hAnsi="Calibri"/>
          <w:color w:val="1A1A2E"/>
          <w:sz w:val="22"/>
          <w:szCs w:val="22"/>
        </w:rPr>
        <w:t xml:space="preserve">Funding the trading book: long securities positions in the trading book are typically financed via repo. The trading desk buys bonds; the repo desk funds that purchase by repoing the bonds to cash-rich counterparties.</w:t>
      </w:r>
    </w:p>
    <w:p>
      <w:pPr>
        <w:pStyle w:val="ListParagraph"/>
        <w:numPr>
          <w:ilvl w:val="0"/>
          <w:numId w:val="2"/>
        </w:numPr>
        <w:spacing w:after="60" w:before="60"/>
      </w:pPr>
      <w:r>
        <w:rPr>
          <w:rFonts w:ascii="Calibri" w:cs="Calibri" w:eastAsia="Calibri" w:hAnsi="Calibri"/>
          <w:color w:val="1A1A2E"/>
          <w:sz w:val="22"/>
          <w:szCs w:val="22"/>
        </w:rPr>
        <w:t xml:space="preserve">Short-covering: when a trading desk is short a specific bond (sold it to a customer without owning it), the repo desk sources that bond via reverse repo to enable delivery.</w:t>
      </w:r>
    </w:p>
    <w:p>
      <w:pPr>
        <w:pStyle w:val="ListParagraph"/>
        <w:numPr>
          <w:ilvl w:val="0"/>
          <w:numId w:val="2"/>
        </w:numPr>
        <w:spacing w:after="60" w:before="60"/>
      </w:pPr>
      <w:r>
        <w:rPr>
          <w:rFonts w:ascii="Calibri" w:cs="Calibri" w:eastAsia="Calibri" w:hAnsi="Calibri"/>
          <w:color w:val="1A1A2E"/>
          <w:sz w:val="22"/>
          <w:szCs w:val="22"/>
        </w:rPr>
        <w:t xml:space="preserve">Collateral transformation: repo enables the transformation of ineligible assets into CCP-eligible collateral (see Section 8.6).</w:t>
      </w:r>
    </w:p>
    <w:p>
      <w:pPr>
        <w:pStyle w:val="ListParagraph"/>
        <w:numPr>
          <w:ilvl w:val="0"/>
          <w:numId w:val="2"/>
        </w:numPr>
        <w:spacing w:after="60" w:before="60"/>
      </w:pPr>
      <w:r>
        <w:rPr>
          <w:rFonts w:ascii="Calibri" w:cs="Calibri" w:eastAsia="Calibri" w:hAnsi="Calibri"/>
          <w:color w:val="1A1A2E"/>
          <w:sz w:val="22"/>
          <w:szCs w:val="22"/>
        </w:rPr>
        <w:t xml:space="preserve">Funding curve construction: the rates at which the dealer can repo different asset classes form a key input to FVA and the XVA desk's funding curve.</w:t>
      </w:r>
    </w:p>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8.3  Securities Lending</w:t>
      </w:r>
    </w:p>
    <w:p>
      <w:pPr>
        <w:spacing w:after="80" w:before="80"/>
        <w:jc w:val="both"/>
      </w:pPr>
      <w:r>
        <w:rPr>
          <w:rFonts w:ascii="Calibri" w:cs="Calibri" w:eastAsia="Calibri" w:hAnsi="Calibri"/>
          <w:color w:val="1A1A2E"/>
          <w:sz w:val="22"/>
          <w:szCs w:val="22"/>
        </w:rPr>
        <w:t xml:space="preserve">Securities lending is structurally similar to repo but driven by a different economic motivation. The lender of securities (typically a long-term investor such as a pension fund, insurance company, or asset manager) lends securities to a borrower (typically a dealer) in exchange for a fee and collateral.</w:t>
      </w:r>
    </w:p>
    <w:p>
      <w:pPr>
        <w:spacing w:after="0" w:before="80"/>
      </w:pPr>
      <w:r>
        <w:t xml:space="preserve"/>
      </w:r>
    </w:p>
    <w:tbl>
      <w:tblPr>
        <w:tblW w:type="dxa" w:w="9360"/>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Feature</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Repo</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Securities Lending</w:t>
            </w:r>
          </w:p>
        </w:tc>
      </w:tr>
      <w:tr>
        <w:tc>
          <w:tcPr>
            <w:tcW w:type="dxa" w:w="24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Primary motivation</w:t>
            </w:r>
          </w:p>
        </w:tc>
        <w:tc>
          <w:tcPr>
            <w:tcW w:type="dxa" w:w="348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Funding — cash borrower needs liquidity</w:t>
            </w:r>
          </w:p>
        </w:tc>
        <w:tc>
          <w:tcPr>
            <w:tcW w:type="dxa" w:w="348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Fee income — securities owner monetises idle holdings</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Collateral direction</w:t>
            </w:r>
          </w:p>
        </w:tc>
        <w:tc>
          <w:tcPr>
            <w:tcW w:type="dxa" w:w="34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Securities flow to cash lender; cash flows to securities holder</w:t>
            </w:r>
          </w:p>
        </w:tc>
        <w:tc>
          <w:tcPr>
            <w:tcW w:type="dxa" w:w="34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Securities flow to borrower; cash or other securities flow back as collateral</w:t>
            </w:r>
          </w:p>
        </w:tc>
      </w:tr>
      <w:tr>
        <w:tc>
          <w:tcPr>
            <w:tcW w:type="dxa" w:w="24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Return to lender</w:t>
            </w:r>
          </w:p>
        </w:tc>
        <w:tc>
          <w:tcPr>
            <w:tcW w:type="dxa" w:w="348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Repo rate (received by cash lender as financing return)</w:t>
            </w:r>
          </w:p>
        </w:tc>
        <w:tc>
          <w:tcPr>
            <w:tcW w:type="dxa" w:w="348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Securities lending fee (typically 10–100 bps p.a. on notional; more for scarce/special securities)</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Agent structure</w:t>
            </w:r>
          </w:p>
        </w:tc>
        <w:tc>
          <w:tcPr>
            <w:tcW w:type="dxa" w:w="34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Directly between two principals (or via tri-party)</w:t>
            </w:r>
          </w:p>
        </w:tc>
        <w:tc>
          <w:tcPr>
            <w:tcW w:type="dxa" w:w="36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Typically intermediated by an agent lender (custodian bank) who manages the programme and provides borrower indemnification</w:t>
            </w:r>
          </w:p>
        </w:tc>
      </w:tr>
      <w:tr>
        <w:tc>
          <w:tcPr>
            <w:tcW w:type="dxa" w:w="24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Borrower motivation</w:t>
            </w:r>
          </w:p>
        </w:tc>
        <w:tc>
          <w:tcPr>
            <w:tcW w:type="dxa" w:w="348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Needs cash; posting securities as collateral</w:t>
            </w:r>
          </w:p>
        </w:tc>
        <w:tc>
          <w:tcPr>
            <w:tcW w:type="dxa" w:w="348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Needs specific securities — to cover shorts, to deliver to customers, or for collateral transformation</w:t>
            </w:r>
          </w:p>
        </w:tc>
      </w:tr>
    </w:tbl>
    <w:p>
      <w:pPr>
        <w:spacing w:after="0" w:before="80"/>
      </w:pPr>
      <w:r>
        <w:t xml:space="preserve"/>
      </w:r>
    </w:p>
    <w:p>
      <w:pPr>
        <w:pStyle w:val="Heading3"/>
        <w:spacing w:after="80" w:before="180"/>
      </w:pPr>
      <w:r>
        <w:rPr>
          <w:rFonts w:ascii="Calibri" w:cs="Calibri" w:eastAsia="Calibri" w:hAnsi="Calibri"/>
          <w:b/>
          <w:bCs/>
          <w:color w:val="0D1B2A"/>
          <w:sz w:val="28"/>
          <w:szCs w:val="28"/>
        </w:rPr>
        <w:t xml:space="preserve">Agent Lender Indemnification</w:t>
      </w:r>
    </w:p>
    <w:p>
      <w:pPr>
        <w:spacing w:after="80" w:before="80"/>
        <w:jc w:val="both"/>
      </w:pPr>
      <w:r>
        <w:rPr>
          <w:rFonts w:ascii="Calibri" w:cs="Calibri" w:eastAsia="Calibri" w:hAnsi="Calibri"/>
          <w:color w:val="1A1A2E"/>
          <w:sz w:val="22"/>
          <w:szCs w:val="22"/>
        </w:rPr>
        <w:t xml:space="preserve">A key feature of institutional securities lending programmes is the borrower default indemnification provided by the agent lender. If a borrower defaults and fails to return securities, the agent lender (typically a major custodian bank) indemnifies the lending client — replacing the securities from its own balance sheet. This indemnification is a major reason why securities lending is commercially attractive to conservative institutional investors: the credit risk is borne by the agent, not the beneficial owner.</w:t>
      </w:r>
    </w:p>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8.4  Haircuts</w:t>
      </w:r>
    </w:p>
    <w:p>
      <w:pPr>
        <w:spacing w:after="80" w:before="80"/>
        <w:jc w:val="both"/>
      </w:pPr>
      <w:r>
        <w:rPr>
          <w:rFonts w:ascii="Calibri" w:cs="Calibri" w:eastAsia="Calibri" w:hAnsi="Calibri"/>
          <w:color w:val="1A1A2E"/>
          <w:sz w:val="22"/>
          <w:szCs w:val="22"/>
        </w:rPr>
        <w:t xml:space="preserve">Haircuts are applied to collateral in both repo and securities lending to provide a buffer against the risk that collateral value falls below the cash amount lent before it can be liquidated.</w:t>
      </w:r>
    </w:p>
    <w:p>
      <w:pPr>
        <w:spacing w:after="0" w:before="80"/>
      </w:pPr>
      <w:r>
        <w:t xml:space="preserve"/>
      </w:r>
    </w:p>
    <w:p>
      <w:pPr>
        <w:spacing w:after="80" w:before="80"/>
        <w:jc w:val="both"/>
      </w:pPr>
      <w:r>
        <w:rPr>
          <w:rFonts w:ascii="Calibri" w:cs="Calibri" w:eastAsia="Calibri" w:hAnsi="Calibri"/>
          <w:color w:val="1A1A2E"/>
          <w:sz w:val="22"/>
          <w:szCs w:val="22"/>
        </w:rPr>
        <w:t xml:space="preserve">For a repo with a 2% haircut: if the bonds have a market value of EUR 100, the cash lender lends only EUR 98. If the borrower defaults and the bonds fall in value to EUR 95, the lender recovers EUR 95 against a EUR 98 exposure — a loss of EUR 3. The haircut partially but not fully protects against this scenario.</w:t>
      </w:r>
    </w:p>
    <w:p>
      <w:pPr>
        <w:spacing w:after="0" w:before="80"/>
      </w:pPr>
      <w:r>
        <w:t xml:space="preserve"/>
      </w:r>
    </w:p>
    <w:tbl>
      <w:tblPr>
        <w:tblW w:type="dxa" w:w="9360"/>
      </w:tblPr>
      <w:tblGrid>
        <w:gridCol w:w="2800"/>
        <w:gridCol w:w="1600"/>
        <w:gridCol w:w="49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Asset Class</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Typical Haircut</w:t>
            </w:r>
          </w:p>
        </w:tc>
        <w:tc>
          <w:tcPr>
            <w:tcW w:type="dxa" w:w="4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Rationale</w:t>
            </w:r>
          </w:p>
        </w:tc>
      </w:tr>
      <w:tr>
        <w:tc>
          <w:tcPr>
            <w:tcW w:type="dxa" w:w="28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G10 Government Bonds (≤2Y)</w:t>
            </w:r>
          </w:p>
        </w:tc>
        <w:tc>
          <w:tcPr>
            <w:tcW w:type="dxa" w:w="16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0.5–1%</w:t>
            </w:r>
          </w:p>
        </w:tc>
        <w:tc>
          <w:tcPr>
            <w:tcW w:type="dxa" w:w="49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Highest liquidity, near-zero credit risk, minimal duration. BCBS-IOSCO minimum haircut floor: 0.5% for ≤1Y sovereign.</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G10 Government Bonds (2–10Y)</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2–3%</w:t>
            </w:r>
          </w:p>
        </w:tc>
        <w:tc>
          <w:tcPr>
            <w:tcW w:type="dxa" w:w="4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Duration risk increases with tenor. 10-day liquidation horizon assumed in regulatory frameworks.</w:t>
            </w:r>
          </w:p>
        </w:tc>
      </w:tr>
      <w:tr>
        <w:tc>
          <w:tcPr>
            <w:tcW w:type="dxa" w:w="28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G10 Government Bonds (&gt;10Y)</w:t>
            </w:r>
          </w:p>
        </w:tc>
        <w:tc>
          <w:tcPr>
            <w:tcW w:type="dxa" w:w="16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4–6%</w:t>
            </w:r>
          </w:p>
        </w:tc>
        <w:tc>
          <w:tcPr>
            <w:tcW w:type="dxa" w:w="49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High duration; large DV01. Price volatility in stress scenarios justifies higher buffer.</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IG Corporate Bonds</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6–12%</w:t>
            </w:r>
          </w:p>
        </w:tc>
        <w:tc>
          <w:tcPr>
            <w:tcW w:type="dxa" w:w="4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Credit spread volatility on top of duration risk. Liquidity deteriorates sharply in stress.</w:t>
            </w:r>
          </w:p>
        </w:tc>
      </w:tr>
      <w:tr>
        <w:tc>
          <w:tcPr>
            <w:tcW w:type="dxa" w:w="28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HY / Non-rated Bonds</w:t>
            </w:r>
          </w:p>
        </w:tc>
        <w:tc>
          <w:tcPr>
            <w:tcW w:type="dxa" w:w="16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15–25%</w:t>
            </w:r>
          </w:p>
        </w:tc>
        <w:tc>
          <w:tcPr>
            <w:tcW w:type="dxa" w:w="49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Significant credit, duration, and liquidity risk combined. Often ineligible for bilateral VM CSAs.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Equities (major indices)</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15–25%</w:t>
            </w:r>
          </w:p>
        </w:tc>
        <w:tc>
          <w:tcPr>
            <w:tcW w:type="dxa" w:w="4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High volatility; sector concentration risk. BCBS-IOSCO floor: 15% for equities in SFTs.</w:t>
            </w:r>
          </w:p>
        </w:tc>
      </w:tr>
    </w:tbl>
    <w:p>
      <w:pPr>
        <w:spacing w:after="0" w:before="80"/>
      </w:pPr>
      <w:r>
        <w:t xml:space="preserve"/>
      </w:r>
    </w:p>
    <w:p>
      <w:pPr>
        <w:pStyle w:val="Heading3"/>
        <w:spacing w:after="80" w:before="180"/>
      </w:pPr>
      <w:r>
        <w:rPr>
          <w:rFonts w:ascii="Calibri" w:cs="Calibri" w:eastAsia="Calibri" w:hAnsi="Calibri"/>
          <w:b/>
          <w:bCs/>
          <w:color w:val="0D1B2A"/>
          <w:sz w:val="28"/>
          <w:szCs w:val="28"/>
        </w:rPr>
        <w:t xml:space="preserve">Procyclicality of Haircuts</w:t>
      </w:r>
    </w:p>
    <w:p>
      <w:pPr>
        <w:spacing w:after="80" w:before="80"/>
        <w:jc w:val="both"/>
      </w:pPr>
      <w:r>
        <w:rPr>
          <w:rFonts w:ascii="Calibri" w:cs="Calibri" w:eastAsia="Calibri" w:hAnsi="Calibri"/>
          <w:color w:val="1A1A2E"/>
          <w:sz w:val="22"/>
          <w:szCs w:val="22"/>
        </w:rPr>
        <w:t xml:space="preserve">A well-documented weakness of haircut-based collateral frameworks is their procyclicality. In benign markets, haircuts compress as competition among lenders drives down margins. In stress, haircuts spike simultaneously across all participants — exactly when liquidity is most needed. This dynamic was a significant amplifier of the 2008 financial crisis: rising haircuts forced collateral sellers to liquidate positions to meet increased margin calls, further depressing prices, further increasing haircuts.</w:t>
      </w:r>
    </w:p>
    <w:p>
      <w:pPr>
        <w:spacing w:after="0" w:before="80"/>
      </w:pPr>
      <w:r>
        <w:t xml:space="preserve"/>
      </w:r>
    </w:p>
    <w:p>
      <w:pPr>
        <w:spacing w:after="80" w:before="80"/>
        <w:jc w:val="both"/>
      </w:pPr>
      <w:r>
        <w:rPr>
          <w:rFonts w:ascii="Calibri" w:cs="Calibri" w:eastAsia="Calibri" w:hAnsi="Calibri"/>
          <w:color w:val="1A1A2E"/>
          <w:sz w:val="22"/>
          <w:szCs w:val="22"/>
        </w:rPr>
        <w:t xml:space="preserve">The FSB's minimum haircut floors (introduced through BCBS-IOSCO frameworks and incorporated into SFTR/10c-3 regulatory standards) were designed to prevent haircuts from compressing to zero in good times, thereby reducing the violent upswing in stress.</w:t>
      </w:r>
    </w:p>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8.5  Collateral Transformation</w:t>
      </w:r>
    </w:p>
    <w:p>
      <w:pPr>
        <w:spacing w:after="80" w:before="80"/>
        <w:jc w:val="both"/>
      </w:pPr>
      <w:r>
        <w:rPr>
          <w:rFonts w:ascii="Calibri" w:cs="Calibri" w:eastAsia="Calibri" w:hAnsi="Calibri"/>
          <w:color w:val="1A1A2E"/>
          <w:sz w:val="22"/>
          <w:szCs w:val="22"/>
        </w:rPr>
        <w:t xml:space="preserve">Collateral transformation is the process of converting ineligible or lower-quality assets into the form of collateral required by a counterparty — typically CCP-eligible securities (cash or high-grade government bonds) in exchange for less liquid assets.</w:t>
      </w:r>
    </w:p>
    <w:p>
      <w:pPr>
        <w:spacing w:after="0" w:before="80"/>
      </w:pPr>
      <w:r>
        <w:t xml:space="preserve"/>
      </w:r>
    </w:p>
    <w:p>
      <w:pPr>
        <w:spacing w:after="80" w:before="80"/>
        <w:jc w:val="both"/>
      </w:pPr>
      <w:r>
        <w:rPr>
          <w:rFonts w:ascii="Calibri" w:cs="Calibri" w:eastAsia="Calibri" w:hAnsi="Calibri"/>
          <w:color w:val="1A1A2E"/>
          <w:sz w:val="22"/>
          <w:szCs w:val="22"/>
        </w:rPr>
        <w:t xml:space="preserve">The standard collateral upgrade trade works as follows:</w:t>
      </w:r>
    </w:p>
    <w:p>
      <w:pPr>
        <w:spacing w:after="0" w:before="60"/>
      </w:pPr>
      <w:r>
        <w:t xml:space="preserve"/>
      </w:r>
    </w:p>
    <w:p>
      <w:pPr>
        <w:pStyle w:val="ListParagraph"/>
        <w:numPr>
          <w:ilvl w:val="0"/>
          <w:numId w:val="3"/>
        </w:numPr>
        <w:spacing w:after="60" w:before="60"/>
      </w:pPr>
      <w:r>
        <w:rPr>
          <w:rFonts w:ascii="Calibri" w:cs="Calibri" w:eastAsia="Calibri" w:hAnsi="Calibri"/>
          <w:color w:val="1A1A2E"/>
          <w:sz w:val="22"/>
          <w:szCs w:val="22"/>
        </w:rPr>
        <w:t xml:space="preserve">A bank or buy-side firm holds assets that are ineligible as CCP margin (e.g. IG corporate bonds, ABS, or equities).</w:t>
      </w:r>
    </w:p>
    <w:p>
      <w:pPr>
        <w:pStyle w:val="ListParagraph"/>
        <w:numPr>
          <w:ilvl w:val="0"/>
          <w:numId w:val="3"/>
        </w:numPr>
        <w:spacing w:after="60" w:before="60"/>
      </w:pPr>
      <w:r>
        <w:rPr>
          <w:rFonts w:ascii="Calibri" w:cs="Calibri" w:eastAsia="Calibri" w:hAnsi="Calibri"/>
          <w:color w:val="1A1A2E"/>
          <w:sz w:val="22"/>
          <w:szCs w:val="22"/>
        </w:rPr>
        <w:t xml:space="preserve">It approaches a collateral transformation provider (typically a large dealer or custodian) to exchange its ineligible assets for eligible ones.</w:t>
      </w:r>
    </w:p>
    <w:p>
      <w:pPr>
        <w:pStyle w:val="ListParagraph"/>
        <w:numPr>
          <w:ilvl w:val="0"/>
          <w:numId w:val="3"/>
        </w:numPr>
        <w:spacing w:after="60" w:before="60"/>
      </w:pPr>
      <w:r>
        <w:rPr>
          <w:rFonts w:ascii="Calibri" w:cs="Calibri" w:eastAsia="Calibri" w:hAnsi="Calibri"/>
          <w:color w:val="1A1A2E"/>
          <w:sz w:val="22"/>
          <w:szCs w:val="22"/>
        </w:rPr>
        <w:t xml:space="preserve">The transformation provider lends the eligible assets (e.g. government bonds) to the client in exchange for the ineligible assets as collateral, plus a transformation fee.</w:t>
      </w:r>
    </w:p>
    <w:p>
      <w:pPr>
        <w:pStyle w:val="ListParagraph"/>
        <w:numPr>
          <w:ilvl w:val="0"/>
          <w:numId w:val="3"/>
        </w:numPr>
        <w:spacing w:after="60" w:before="60"/>
      </w:pPr>
      <w:r>
        <w:rPr>
          <w:rFonts w:ascii="Calibri" w:cs="Calibri" w:eastAsia="Calibri" w:hAnsi="Calibri"/>
          <w:color w:val="1A1A2E"/>
          <w:sz w:val="22"/>
          <w:szCs w:val="22"/>
        </w:rPr>
        <w:t xml:space="preserve">The client posts the eligible government bonds as CCP margin. At maturity, the trade unwinds and both sides reclaim their original assets.</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100"/>
              <w:left w:type="dxa" w:w="160"/>
              <w:bottom w:type="dxa" w:w="100"/>
              <w:right w:type="dxa" w:w="160"/>
            </w:tcMar>
            <w:vAlign w:val="center"/>
          </w:tcPr>
          <w:p>
            <w:pPr>
              <w:jc w:val="center"/>
            </w:pPr>
            <w:r>
              <w:rPr>
                <w:rFonts w:ascii="Calibri" w:cs="Calibri" w:eastAsia="Calibri" w:hAnsi="Calibri"/>
                <w:b/>
                <w:bCs/>
                <w:color w:val="C8953A"/>
                <w:sz w:val="20"/>
                <w:szCs w:val="20"/>
              </w:rPr>
              <w:t xml:space="preserve">TRANSFORMATION FEE</w:t>
            </w:r>
          </w:p>
        </w:tc>
        <w:tc>
          <w:tcPr>
            <w:tcW w:type="dxa" w:w="7920"/>
            <w:tcBorders>
              <w:top w:val="none" w:color="FFFFFF" w:sz="0"/>
              <w:left w:val="none" w:color="FFFFFF" w:sz="0"/>
              <w:bottom w:val="none" w:color="FFFFFF" w:sz="0"/>
              <w:right w:val="none" w:color="FFFFFF" w:sz="0"/>
            </w:tcBorders>
            <w:shd w:fill="E0F4F7" w:val="clear"/>
            <w:tcMar>
              <w:top w:type="dxa" w:w="100"/>
              <w:left w:type="dxa" w:w="160"/>
              <w:bottom w:type="dxa" w:w="100"/>
              <w:right w:type="dxa" w:w="160"/>
            </w:tcMar>
          </w:tcPr>
          <w:p>
            <w:pPr>
              <w:jc w:val="both"/>
            </w:pPr>
            <w:r>
              <w:rPr>
                <w:rFonts w:ascii="Calibri" w:cs="Calibri" w:eastAsia="Calibri" w:hAnsi="Calibri"/>
                <w:i/>
                <w:iCs/>
                <w:color w:val="1A1A2E"/>
                <w:sz w:val="20"/>
                <w:szCs w:val="20"/>
              </w:rPr>
              <w:t xml:space="preserve">The transformation fee compensates the provider for: (1) funding the acquisition of eligible assets to lend; (2) accepting lower-quality collateral; and (3) bearing the liquidity risk of the ineligible assets. Fees range from 10–50 bps p.a. depending on the quality gap between the two asset classes and market conditions.</w:t>
            </w:r>
          </w:p>
        </w:tc>
      </w:tr>
    </w:tbl>
    <w:p>
      <w:pPr>
        <w:spacing w:after="0" w:before="80"/>
      </w:pPr>
      <w:r>
        <w:t xml:space="preserve"/>
      </w:r>
    </w:p>
    <w:p>
      <w:pPr>
        <w:pStyle w:val="Heading3"/>
        <w:spacing w:after="80" w:before="180"/>
      </w:pPr>
      <w:r>
        <w:rPr>
          <w:rFonts w:ascii="Calibri" w:cs="Calibri" w:eastAsia="Calibri" w:hAnsi="Calibri"/>
          <w:b/>
          <w:bCs/>
          <w:color w:val="0D1B2A"/>
          <w:sz w:val="28"/>
          <w:szCs w:val="28"/>
        </w:rPr>
        <w:t xml:space="preserve">XVA Implications of Collateral Transformation</w:t>
      </w:r>
    </w:p>
    <w:p>
      <w:pPr>
        <w:spacing w:after="80" w:before="80"/>
        <w:jc w:val="both"/>
      </w:pPr>
      <w:r>
        <w:rPr>
          <w:rFonts w:ascii="Calibri" w:cs="Calibri" w:eastAsia="Calibri" w:hAnsi="Calibri"/>
          <w:color w:val="1A1A2E"/>
          <w:sz w:val="22"/>
          <w:szCs w:val="22"/>
        </w:rPr>
        <w:t xml:space="preserve">Collateral transformation creates a funding cost that enters the XVA framework in two ways:</w:t>
      </w:r>
    </w:p>
    <w:p>
      <w:pPr>
        <w:spacing w:after="0" w:before="60"/>
      </w:pPr>
      <w:r>
        <w:t xml:space="preserve"/>
      </w:r>
    </w:p>
    <w:p>
      <w:pPr>
        <w:pStyle w:val="ListParagraph"/>
        <w:numPr>
          <w:ilvl w:val="0"/>
          <w:numId w:val="2"/>
        </w:numPr>
        <w:spacing w:after="60" w:before="60"/>
      </w:pPr>
      <w:r>
        <w:rPr>
          <w:rFonts w:ascii="Calibri" w:cs="Calibri" w:eastAsia="Calibri" w:hAnsi="Calibri"/>
          <w:color w:val="1A1A2E"/>
          <w:sz w:val="22"/>
          <w:szCs w:val="22"/>
        </w:rPr>
        <w:t xml:space="preserve">FVA channel: the transformation provider must finance the government bonds it lends out. If it funds via repo (bonds out, cash in, repo rate paid), the spread between the repo rate and the OIS rate enters its funding cost — and therefore its FVA pricing on the transformation trade.</w:t>
      </w:r>
    </w:p>
    <w:p>
      <w:pPr>
        <w:pStyle w:val="ListParagraph"/>
        <w:numPr>
          <w:ilvl w:val="0"/>
          <w:numId w:val="2"/>
        </w:numPr>
        <w:spacing w:after="60" w:before="60"/>
      </w:pPr>
      <w:r>
        <w:rPr>
          <w:rFonts w:ascii="Calibri" w:cs="Calibri" w:eastAsia="Calibri" w:hAnsi="Calibri"/>
          <w:color w:val="1A1A2E"/>
          <w:sz w:val="22"/>
          <w:szCs w:val="22"/>
        </w:rPr>
        <w:t xml:space="preserve">MVA channel: for the client, the transformation fee is effectively an additional cost of posting IM. It should be included in the MVA calculation as the all-in cost of sourcing eligible collateral, not just the SIMM-derived IM amount multiplied by the funding spread.</w:t>
      </w:r>
    </w:p>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8.6  Repo and the Dealer's Funding Curve</w:t>
      </w:r>
    </w:p>
    <w:p>
      <w:pPr>
        <w:spacing w:after="80" w:before="80"/>
        <w:jc w:val="both"/>
      </w:pPr>
      <w:r>
        <w:rPr>
          <w:rFonts w:ascii="Calibri" w:cs="Calibri" w:eastAsia="Calibri" w:hAnsi="Calibri"/>
          <w:color w:val="1A1A2E"/>
          <w:sz w:val="22"/>
          <w:szCs w:val="22"/>
        </w:rPr>
        <w:t xml:space="preserve">The repo market is the primary source of short-term funding for dealer balance sheets. The rates at which dealers can repo different asset classes form a term structure of collateral-specific funding rates that is central to FVA construction:</w:t>
      </w:r>
    </w:p>
    <w:p>
      <w:pPr>
        <w:spacing w:after="0" w:before="80"/>
      </w:pPr>
      <w:r>
        <w:t xml:space="preserve"/>
      </w:r>
    </w:p>
    <w:tbl>
      <w:tblPr>
        <w:tblW w:type="dxa" w:w="9360"/>
      </w:tblPr>
      <w:tblGrid>
        <w:gridCol w:w="2800"/>
        <w:gridCol w:w="2280"/>
        <w:gridCol w:w="428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Funding Source</w:t>
            </w:r>
          </w:p>
        </w:tc>
        <w:tc>
          <w:tcPr>
            <w:tcW w:type="dxa" w:w="2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Typical Rate</w:t>
            </w:r>
          </w:p>
        </w:tc>
        <w:tc>
          <w:tcPr>
            <w:tcW w:type="dxa" w:w="4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XVA Relevance</w:t>
            </w:r>
          </w:p>
        </w:tc>
      </w:tr>
      <w:tr>
        <w:tc>
          <w:tcPr>
            <w:tcW w:type="dxa" w:w="28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OIS (ESTR/SOFR)</w:t>
            </w:r>
          </w:p>
        </w:tc>
        <w:tc>
          <w:tcPr>
            <w:tcW w:type="dxa" w:w="228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Risk-free baseline</w:t>
            </w:r>
          </w:p>
        </w:tc>
        <w:tc>
          <w:tcPr>
            <w:tcW w:type="dxa" w:w="428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Discount rate for collateralised trades. FVA = 0 for OIS-funded, fully-collateralised book.</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GC Repo (sovereign bonds)</w:t>
            </w:r>
          </w:p>
        </w:tc>
        <w:tc>
          <w:tcPr>
            <w:tcW w:type="dxa" w:w="22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OIS + 5–15 bps</w:t>
            </w:r>
          </w:p>
        </w:tc>
        <w:tc>
          <w:tcPr>
            <w:tcW w:type="dxa" w:w="42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Cheapest form of secured funding. Used for vanilla bond inventory. Feeds the lower bound of FVA curves.</w:t>
            </w:r>
          </w:p>
        </w:tc>
      </w:tr>
      <w:tr>
        <w:tc>
          <w:tcPr>
            <w:tcW w:type="dxa" w:w="28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Unsecured interbank (CD/CP)</w:t>
            </w:r>
          </w:p>
        </w:tc>
        <w:tc>
          <w:tcPr>
            <w:tcW w:type="dxa" w:w="228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OIS + 30–80 bps</w:t>
            </w:r>
          </w:p>
        </w:tc>
        <w:tc>
          <w:tcPr>
            <w:tcW w:type="dxa" w:w="428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Funding for uncollateralised derivative exposures. Primary driver of FVA on uncollateralised trades.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Dealer's own bonds (TLAC/bail-in)</w:t>
            </w:r>
          </w:p>
        </w:tc>
        <w:tc>
          <w:tcPr>
            <w:tcW w:type="dxa" w:w="22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OIS + 60–150 bps</w:t>
            </w:r>
          </w:p>
        </w:tc>
        <w:tc>
          <w:tcPr>
            <w:tcW w:type="dxa" w:w="42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Long-term structural funding. Used in FVA for long-dated uncollateralised exposures.</w:t>
            </w:r>
          </w:p>
        </w:tc>
      </w:tr>
    </w:tbl>
    <w:p>
      <w:pPr>
        <w:spacing w:after="0" w:before="80"/>
      </w:pPr>
      <w:r>
        <w:t xml:space="preserve"/>
      </w:r>
    </w:p>
    <w:p>
      <w:pPr>
        <w:spacing w:after="80" w:before="80"/>
        <w:jc w:val="both"/>
      </w:pPr>
      <w:r>
        <w:rPr>
          <w:rFonts w:ascii="Calibri" w:cs="Calibri" w:eastAsia="Calibri" w:hAnsi="Calibri"/>
          <w:color w:val="1A1A2E"/>
          <w:sz w:val="22"/>
          <w:szCs w:val="22"/>
        </w:rPr>
        <w:t xml:space="preserve">The XVA desk combines these funding curves with the EPE/ENE profile of the uncollateralised portfolio to produce the FVA charge. Crucially, the funding spread (sᵒ) used in Module 4's FVA calculation (80 bps) represents the dealer's blended unsecured funding cost above OIS — derived from this funding curve framework.</w:t>
      </w:r>
    </w:p>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8.7  Regulatory Framework for Repo and Securities Lending</w:t>
      </w:r>
    </w:p>
    <w:p>
      <w:pPr>
        <w:spacing w:after="80" w:before="80"/>
        <w:jc w:val="both"/>
      </w:pPr>
      <w:r>
        <w:rPr>
          <w:rFonts w:ascii="Calibri" w:cs="Calibri" w:eastAsia="Calibri" w:hAnsi="Calibri"/>
          <w:color w:val="1A1A2E"/>
          <w:sz w:val="22"/>
          <w:szCs w:val="22"/>
        </w:rPr>
        <w:t xml:space="preserve">The repo and securities lending markets are subject to a range of regulatory frameworks designed to improve transparency, constrain procyclicality, and reduce systemic risk:</w:t>
      </w:r>
    </w:p>
    <w:p>
      <w:pPr>
        <w:spacing w:after="0" w:before="80"/>
      </w:pPr>
      <w:r>
        <w:t xml:space="preserve"/>
      </w:r>
    </w:p>
    <w:tbl>
      <w:tblPr>
        <w:tblW w:type="dxa" w:w="9360"/>
      </w:tblPr>
      <w:tblGrid>
        <w:gridCol w:w="2000"/>
        <w:gridCol w:w="1600"/>
        <w:gridCol w:w="57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Regulation</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Jurisdiction</w:t>
            </w:r>
          </w:p>
        </w:tc>
        <w:tc>
          <w:tcPr>
            <w:tcW w:type="dxa" w:w="5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Key Requirements</w:t>
            </w:r>
          </w:p>
        </w:tc>
      </w:tr>
      <w:tr>
        <w:tc>
          <w:tcPr>
            <w:tcW w:type="dxa" w:w="20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SFTR (Securities Financing Transactions Regulation)</w:t>
            </w:r>
          </w:p>
        </w:tc>
        <w:tc>
          <w:tcPr>
            <w:tcW w:type="dxa" w:w="16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EU / UK</w:t>
            </w:r>
          </w:p>
        </w:tc>
        <w:tc>
          <w:tcPr>
            <w:tcW w:type="dxa" w:w="57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Daily reporting of all SFTs (repo, reverse repo, securities lending, margin lending) to a trade repository. Over 150 fields per transaction. Designed to make the rehypothecation chain transparent to regulators.</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Rule 10c-3 (SEC)</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US</w:t>
            </w:r>
          </w:p>
        </w:tc>
        <w:tc>
          <w:tcPr>
            <w:tcW w:type="dxa" w:w="5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Regulates securities lending by broker-dealers. Requires segregation of customer fully paid securities; limits rehypothecation to 140% of customer debit balances.</w:t>
            </w:r>
          </w:p>
        </w:tc>
      </w:tr>
      <w:tr>
        <w:tc>
          <w:tcPr>
            <w:tcW w:type="dxa" w:w="20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BCBS-IOSCO Haircut Standards</w:t>
            </w:r>
          </w:p>
        </w:tc>
        <w:tc>
          <w:tcPr>
            <w:tcW w:type="dxa" w:w="16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Global</w:t>
            </w:r>
          </w:p>
        </w:tc>
        <w:tc>
          <w:tcPr>
            <w:tcW w:type="dxa" w:w="57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Minimum haircut floors for non-centrally cleared SFTs. Designed to prevent haircut compression in good times and reduce procyclicality.</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MAS Notice SFA 04-N02</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Singapore</w:t>
            </w:r>
          </w:p>
        </w:tc>
        <w:tc>
          <w:tcPr>
            <w:tcW w:type="dxa" w:w="5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MAS framework for securities financing transactions by capital markets intermediaries. Incorporates BCBS-IOSCO standards; imposes local reporting and conduct requirements.</w:t>
            </w:r>
          </w:p>
        </w:tc>
      </w:tr>
      <w:tr>
        <w:tc>
          <w:tcPr>
            <w:tcW w:type="dxa" w:w="20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HKMA SPM CR-G-12</w:t>
            </w:r>
          </w:p>
        </w:tc>
        <w:tc>
          <w:tcPr>
            <w:tcW w:type="dxa" w:w="16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Hong Kong</w:t>
            </w:r>
          </w:p>
        </w:tc>
        <w:tc>
          <w:tcPr>
            <w:tcW w:type="dxa" w:w="57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HKMA guidance on counterparty risk management for SFTs. Requires authorised institutions to maintain adequate haircut and concentration limits.</w:t>
            </w:r>
          </w:p>
        </w:tc>
      </w:tr>
    </w:tbl>
    <w:p>
      <w:pPr>
        <w:spacing w:after="0" w:before="160"/>
      </w:pPr>
      <w:r>
        <w:t xml:space="preserve"/>
      </w:r>
    </w:p>
    <w:p>
      <w:r>
        <w:br w:type="page"/>
      </w:r>
    </w:p>
    <w:p>
      <w:pPr>
        <w:pStyle w:val="Heading1"/>
        <w:spacing w:after="160" w:before="320"/>
      </w:pPr>
      <w:r>
        <w:rPr>
          <w:rFonts w:ascii="Calibri" w:cs="Calibri" w:eastAsia="Calibri" w:hAnsi="Calibri"/>
          <w:b/>
          <w:bCs/>
          <w:color w:val="0D1B2A"/>
          <w:sz w:val="48"/>
          <w:szCs w:val="48"/>
        </w:rPr>
        <w:t xml:space="preserve">Section 9 — Regulatory &amp; Operational Dimensions</w:t>
      </w:r>
    </w:p>
    <w:p>
      <w:pPr>
        <w:pBdr>
          <w:bottom w:val="single" w:color="028090" w:sz="6" w:space="1"/>
        </w:pBdr>
        <w:spacing w:after="120" w:before="120"/>
      </w:pPr>
      <w:r>
        <w:t xml:space="preserve"/>
      </w:r>
    </w:p>
    <w:p>
      <w:pPr>
        <w:spacing w:after="0" w:before="80"/>
      </w:pPr>
      <w:r>
        <w:t xml:space="preserve"/>
      </w:r>
    </w:p>
    <w:p>
      <w:pPr>
        <w:pStyle w:val="Heading2"/>
        <w:spacing w:after="120" w:before="240"/>
      </w:pPr>
      <w:r>
        <w:rPr>
          <w:rFonts w:ascii="Calibri" w:cs="Calibri" w:eastAsia="Calibri" w:hAnsi="Calibri"/>
          <w:b/>
          <w:bCs/>
          <w:color w:val="028090"/>
          <w:sz w:val="36"/>
          <w:szCs w:val="36"/>
        </w:rPr>
        <w:t xml:space="preserve">9.1  EMIR — European Market Infrastructure Regulation</w:t>
      </w:r>
    </w:p>
    <w:p>
      <w:pPr>
        <w:spacing w:after="80" w:before="80"/>
        <w:jc w:val="both"/>
      </w:pPr>
      <w:r>
        <w:rPr>
          <w:rFonts w:ascii="Calibri" w:cs="Calibri" w:eastAsia="Calibri" w:hAnsi="Calibri"/>
          <w:color w:val="1A1A2E"/>
          <w:sz w:val="22"/>
          <w:szCs w:val="22"/>
        </w:rPr>
        <w:t xml:space="preserve">EMIR (EU Regulation 648/2012) is the principal EU framework governing OTC derivatives. Its three pillars mirror the G20 Pittsburgh commitments:</w:t>
      </w:r>
    </w:p>
    <w:p>
      <w:pPr>
        <w:spacing w:after="0" w:before="60"/>
      </w:pPr>
      <w:r>
        <w:t xml:space="preserve"/>
      </w:r>
    </w:p>
    <w:p>
      <w:pPr>
        <w:pStyle w:val="ListParagraph"/>
        <w:numPr>
          <w:ilvl w:val="0"/>
          <w:numId w:val="2"/>
        </w:numPr>
        <w:spacing w:after="60" w:before="60"/>
      </w:pPr>
      <w:r>
        <w:rPr>
          <w:rFonts w:ascii="Calibri" w:cs="Calibri" w:eastAsia="Calibri" w:hAnsi="Calibri"/>
          <w:color w:val="1A1A2E"/>
          <w:sz w:val="22"/>
          <w:szCs w:val="22"/>
        </w:rPr>
        <w:t xml:space="preserve">Clearing obligation: standardised OTC derivatives (primarily vanilla IRS and CDS index) must be cleared through an authorised CCP. This eliminates bilateral CCR for covered products and concentrates it in CCPs.</w:t>
      </w:r>
    </w:p>
    <w:p>
      <w:pPr>
        <w:pStyle w:val="ListParagraph"/>
        <w:numPr>
          <w:ilvl w:val="0"/>
          <w:numId w:val="2"/>
        </w:numPr>
        <w:spacing w:after="60" w:before="60"/>
      </w:pPr>
      <w:r>
        <w:rPr>
          <w:rFonts w:ascii="Calibri" w:cs="Calibri" w:eastAsia="Calibri" w:hAnsi="Calibri"/>
          <w:color w:val="1A1A2E"/>
          <w:sz w:val="22"/>
          <w:szCs w:val="22"/>
        </w:rPr>
        <w:t xml:space="preserve">Bilateral margining: non-cleared OTC derivatives between financial counterparties above the clearing threshold must exchange VM and IM under UMR. EMIR incorporates the BCBS-IOSCO margin standards.</w:t>
      </w:r>
    </w:p>
    <w:p>
      <w:pPr>
        <w:pStyle w:val="ListParagraph"/>
        <w:numPr>
          <w:ilvl w:val="0"/>
          <w:numId w:val="2"/>
        </w:numPr>
        <w:spacing w:after="60" w:before="60"/>
      </w:pPr>
      <w:r>
        <w:rPr>
          <w:rFonts w:ascii="Calibri" w:cs="Calibri" w:eastAsia="Calibri" w:hAnsi="Calibri"/>
          <w:color w:val="1A1A2E"/>
          <w:sz w:val="22"/>
          <w:szCs w:val="22"/>
        </w:rPr>
        <w:t xml:space="preserve">Trade reporting: all OTC derivative trades must be reported to an authorised trade repository within one business day. EMIR Refit (2024) updated the reporting framework to align with CPMI-IOSCO critical data element standards.</w:t>
      </w:r>
    </w:p>
    <w:p>
      <w:pPr>
        <w:spacing w:after="0" w:before="80"/>
      </w:pPr>
      <w:r>
        <w:t xml:space="preserve"/>
      </w:r>
    </w:p>
    <w:p>
      <w:pPr>
        <w:pStyle w:val="Heading2"/>
        <w:spacing w:after="120" w:before="240"/>
      </w:pPr>
      <w:r>
        <w:rPr>
          <w:rFonts w:ascii="Calibri" w:cs="Calibri" w:eastAsia="Calibri" w:hAnsi="Calibri"/>
          <w:b/>
          <w:bCs/>
          <w:color w:val="028090"/>
          <w:sz w:val="36"/>
          <w:szCs w:val="36"/>
        </w:rPr>
        <w:t xml:space="preserve">9.2  Dodd-Frank — US Parallel Framework</w:t>
      </w:r>
    </w:p>
    <w:p>
      <w:pPr>
        <w:spacing w:after="80" w:before="80"/>
        <w:jc w:val="both"/>
      </w:pPr>
      <w:r>
        <w:rPr>
          <w:rFonts w:ascii="Calibri" w:cs="Calibri" w:eastAsia="Calibri" w:hAnsi="Calibri"/>
          <w:color w:val="1A1A2E"/>
          <w:sz w:val="22"/>
          <w:szCs w:val="22"/>
        </w:rPr>
        <w:t xml:space="preserve">The Dodd-Frank Wall Street Reform and Consumer Protection Act (2010) established the US framework for OTC derivative regulation, implemented principally by the CFTC for swaps and the SEC for security-based swaps:</w:t>
      </w:r>
    </w:p>
    <w:p>
      <w:pPr>
        <w:spacing w:after="0" w:before="60"/>
      </w:pPr>
      <w:r>
        <w:t xml:space="preserve"/>
      </w:r>
    </w:p>
    <w:p>
      <w:pPr>
        <w:pStyle w:val="ListParagraph"/>
        <w:numPr>
          <w:ilvl w:val="0"/>
          <w:numId w:val="2"/>
        </w:numPr>
        <w:spacing w:after="60" w:before="60"/>
      </w:pPr>
      <w:r>
        <w:rPr>
          <w:rFonts w:ascii="Calibri" w:cs="Calibri" w:eastAsia="Calibri" w:hAnsi="Calibri"/>
          <w:color w:val="1A1A2E"/>
          <w:sz w:val="22"/>
          <w:szCs w:val="22"/>
        </w:rPr>
        <w:t xml:space="preserve">SEF trading: standardised swaps must be executed on a Swap Execution Facility (SEF), promoting pre-trade price transparency.</w:t>
      </w:r>
    </w:p>
    <w:p>
      <w:pPr>
        <w:pStyle w:val="ListParagraph"/>
        <w:numPr>
          <w:ilvl w:val="0"/>
          <w:numId w:val="2"/>
        </w:numPr>
        <w:spacing w:after="60" w:before="60"/>
      </w:pPr>
      <w:r>
        <w:rPr>
          <w:rFonts w:ascii="Calibri" w:cs="Calibri" w:eastAsia="Calibri" w:hAnsi="Calibri"/>
          <w:color w:val="1A1A2E"/>
          <w:sz w:val="22"/>
          <w:szCs w:val="22"/>
        </w:rPr>
        <w:t xml:space="preserve">CCP clearing: standardised swaps must be cleared through a CFTC-registered DCO (Derivatives Clearing Organisation).</w:t>
      </w:r>
    </w:p>
    <w:p>
      <w:pPr>
        <w:pStyle w:val="ListParagraph"/>
        <w:numPr>
          <w:ilvl w:val="0"/>
          <w:numId w:val="2"/>
        </w:numPr>
        <w:spacing w:after="60" w:before="60"/>
      </w:pPr>
      <w:r>
        <w:rPr>
          <w:rFonts w:ascii="Calibri" w:cs="Calibri" w:eastAsia="Calibri" w:hAnsi="Calibri"/>
          <w:color w:val="1A1A2E"/>
          <w:sz w:val="22"/>
          <w:szCs w:val="22"/>
        </w:rPr>
        <w:t xml:space="preserve">Margin rules: CFTC and prudential regulator margin rules implement the BCBS-IOSCO bilateral IM requirements for covered swap entities.</w:t>
      </w:r>
    </w:p>
    <w:p>
      <w:pPr>
        <w:pStyle w:val="ListParagraph"/>
        <w:numPr>
          <w:ilvl w:val="0"/>
          <w:numId w:val="2"/>
        </w:numPr>
        <w:spacing w:after="60" w:before="60"/>
      </w:pPr>
      <w:r>
        <w:rPr>
          <w:rFonts w:ascii="Calibri" w:cs="Calibri" w:eastAsia="Calibri" w:hAnsi="Calibri"/>
          <w:color w:val="1A1A2E"/>
          <w:sz w:val="22"/>
          <w:szCs w:val="22"/>
        </w:rPr>
        <w:t xml:space="preserve">Swap data reporting: all swaps must be reported to a CFTC-registered Swap Data Repository (SDR).</w:t>
      </w:r>
    </w:p>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9.3  APAC Implementation — MAS and HKMA</w:t>
      </w:r>
    </w:p>
    <w:p>
      <w:pPr>
        <w:spacing w:after="80" w:before="80"/>
        <w:jc w:val="both"/>
      </w:pPr>
      <w:r>
        <w:rPr>
          <w:rFonts w:ascii="Calibri" w:cs="Calibri" w:eastAsia="Calibri" w:hAnsi="Calibri"/>
          <w:color w:val="1A1A2E"/>
          <w:sz w:val="22"/>
          <w:szCs w:val="22"/>
        </w:rPr>
        <w:t xml:space="preserve">Both MAS (Singapore) and HKMA (Hong Kong) have implemented the G20 OTC derivative reforms, with local adaptations:</w:t>
      </w:r>
    </w:p>
    <w:p>
      <w:pPr>
        <w:spacing w:after="0" w:before="80"/>
      </w:pPr>
      <w:r>
        <w:t xml:space="preserve"/>
      </w:r>
    </w:p>
    <w:tbl>
      <w:tblPr>
        <w:tblW w:type="dxa" w:w="9360"/>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Dimension</w:t>
            </w:r>
          </w:p>
        </w:tc>
        <w:tc>
          <w:tcPr>
            <w:tcW w:type="dxa" w:w="3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MAS (Singapore)</w:t>
            </w:r>
          </w:p>
        </w:tc>
        <w:tc>
          <w:tcPr>
            <w:tcW w:type="dxa" w:w="3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HKMA (Hong Kong)</w:t>
            </w:r>
          </w:p>
        </w:tc>
      </w:tr>
      <w:tr>
        <w:tc>
          <w:tcPr>
            <w:tcW w:type="dxa" w:w="20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Clearing obligation</w:t>
            </w:r>
          </w:p>
        </w:tc>
        <w:tc>
          <w:tcPr>
            <w:tcW w:type="dxa" w:w="368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MAS Notice SFA 04-N14: mandatory clearing for SGD IRS and selected USD/EUR IRS above threshold. ASX Clear (Futures) and LCH Ltd recognised.</w:t>
            </w:r>
          </w:p>
        </w:tc>
        <w:tc>
          <w:tcPr>
            <w:tcW w:type="dxa" w:w="368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HKMA mandatory clearing: HKD IRS from 2016; USD/EUR IRS for AIs above threshold. HKEX OTC Clear recognised.</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Margin rules</w:t>
            </w:r>
          </w:p>
        </w:tc>
        <w:tc>
          <w:tcPr>
            <w:tcW w:type="dxa" w:w="36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MAS Notice SFA 04-N12: VM and IM requirements aligned with BCBS-IOSCO phases. Phase 5 and 6 extended timelines applied.</w:t>
            </w:r>
          </w:p>
        </w:tc>
        <w:tc>
          <w:tcPr>
            <w:tcW w:type="dxa" w:w="36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HKMA Supervisory Policy Manual CR-G-14: bilateral margin requirements for AIs. Phase-in aligned with international timeline.</w:t>
            </w:r>
          </w:p>
        </w:tc>
      </w:tr>
      <w:tr>
        <w:tc>
          <w:tcPr>
            <w:tcW w:type="dxa" w:w="20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Trade reporting</w:t>
            </w:r>
          </w:p>
        </w:tc>
        <w:tc>
          <w:tcPr>
            <w:tcW w:type="dxa" w:w="368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MAS Notice SFA 04-N05: reporting to MAS-designated trade repository (DTCC and others). Real-time for electronically executed trades.</w:t>
            </w:r>
          </w:p>
        </w:tc>
        <w:tc>
          <w:tcPr>
            <w:tcW w:type="dxa" w:w="368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HKMA OTC Derivatives Trade Repository (HKMA-TR) under Hong Kong Trade Repository (HKTR) framework.</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Local nuance</w:t>
            </w:r>
          </w:p>
        </w:tc>
        <w:tc>
          <w:tcPr>
            <w:tcW w:type="dxa" w:w="36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SGD notional threshold for clearing obligation differs from global threshold. MAS has been active in defining cross-border equivalence with EMIR and CFTC.</w:t>
            </w:r>
          </w:p>
        </w:tc>
        <w:tc>
          <w:tcPr>
            <w:tcW w:type="dxa" w:w="36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HKEX OTC Clear capacity limited vs LCH — many HK entities clear USD IRS at LCH. Cross-border recognition of LCH clearing confirmed by HKMA.</w:t>
            </w:r>
          </w:p>
        </w:tc>
      </w:tr>
    </w:tbl>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9.4  Collateral Operations Infrastructure</w:t>
      </w:r>
    </w:p>
    <w:p>
      <w:pPr>
        <w:spacing w:after="80" w:before="80"/>
        <w:jc w:val="both"/>
      </w:pPr>
      <w:r>
        <w:rPr>
          <w:rFonts w:ascii="Calibri" w:cs="Calibri" w:eastAsia="Calibri" w:hAnsi="Calibri"/>
          <w:color w:val="1A1A2E"/>
          <w:sz w:val="22"/>
          <w:szCs w:val="22"/>
        </w:rPr>
        <w:t xml:space="preserve">The operational plumbing that supports the collateral framework is complex and interconnected:</w:t>
      </w:r>
    </w:p>
    <w:p>
      <w:pPr>
        <w:spacing w:after="0" w:before="80"/>
      </w:pPr>
      <w:r>
        <w:t xml:space="preserve"/>
      </w:r>
    </w:p>
    <w:tbl>
      <w:tblPr>
        <w:tblW w:type="dxa" w:w="9360"/>
      </w:tblPr>
      <w:tblGrid>
        <w:gridCol w:w="2400"/>
        <w:gridCol w:w="2880"/>
        <w:gridCol w:w="408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Infrastructure Component</w:t>
            </w:r>
          </w:p>
        </w:tc>
        <w:tc>
          <w:tcPr>
            <w:tcW w:type="dxa" w:w="2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Key Providers</w:t>
            </w:r>
          </w:p>
        </w:tc>
        <w:tc>
          <w:tcPr>
            <w:tcW w:type="dxa" w:w="40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Function</w:t>
            </w:r>
          </w:p>
        </w:tc>
      </w:tr>
      <w:tr>
        <w:tc>
          <w:tcPr>
            <w:tcW w:type="dxa" w:w="24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Tri-party Repo Agents</w:t>
            </w:r>
          </w:p>
        </w:tc>
        <w:tc>
          <w:tcPr>
            <w:tcW w:type="dxa" w:w="288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Euroclear, Clearstream, DTCC (BNY Mellon)</w:t>
            </w:r>
          </w:p>
        </w:tc>
        <w:tc>
          <w:tcPr>
            <w:tcW w:type="dxa" w:w="408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Automate collateral selection, substitution, and settlement. Manage eligibility and haircut schedules. Essential for large-scale repo books.</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IM Custodians</w:t>
            </w:r>
          </w:p>
        </w:tc>
        <w:tc>
          <w:tcPr>
            <w:tcW w:type="dxa" w:w="28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BNY Mellon, State Street, Euroclear, Clearstream</w:t>
            </w:r>
          </w:p>
        </w:tc>
        <w:tc>
          <w:tcPr>
            <w:tcW w:type="dxa" w:w="40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Hold UMR-segregated IM in bankruptcy-remote accounts. Confirm eligibility. Facilitate substitutions.</w:t>
            </w:r>
          </w:p>
        </w:tc>
      </w:tr>
      <w:tr>
        <w:tc>
          <w:tcPr>
            <w:tcW w:type="dxa" w:w="24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Collateral Management Systems</w:t>
            </w:r>
          </w:p>
        </w:tc>
        <w:tc>
          <w:tcPr>
            <w:tcW w:type="dxa" w:w="288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Finastra Fusion, Vermeg Colline, CloudMargin, Acadiasoft MarginSphere</w:t>
            </w:r>
          </w:p>
        </w:tc>
        <w:tc>
          <w:tcPr>
            <w:tcW w:type="dxa" w:w="408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Automate margin call calculation, dispute management, collateral scheduling, and regulatory reporting. Integration with SIMM calculation engines.</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SIMM Calculation</w:t>
            </w:r>
          </w:p>
        </w:tc>
        <w:tc>
          <w:tcPr>
            <w:tcW w:type="dxa" w:w="28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AcadiaFX, OpenGamma, internal models (major dealers)</w:t>
            </w:r>
          </w:p>
        </w:tc>
        <w:tc>
          <w:tcPr>
            <w:tcW w:type="dxa" w:w="40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Compute SIMM-based IM from trade sensitivities. Bilateral reconciliation via AcadiaFX portal to resolve SIMM disputes.</w:t>
            </w:r>
          </w:p>
        </w:tc>
      </w:tr>
      <w:tr>
        <w:tc>
          <w:tcPr>
            <w:tcW w:type="dxa" w:w="24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Settlement</w:t>
            </w:r>
          </w:p>
        </w:tc>
        <w:tc>
          <w:tcPr>
            <w:tcW w:type="dxa" w:w="288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Euroclear, Clearstream, DTCC (DTC/NSCC)</w:t>
            </w:r>
          </w:p>
        </w:tc>
        <w:tc>
          <w:tcPr>
            <w:tcW w:type="dxa" w:w="408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Settle securities movements associated with collateral posting, repo, and securities lending. T+1 or same-day for cash; T+1 or T+2 for bonds.</w:t>
            </w:r>
          </w:p>
        </w:tc>
      </w:tr>
    </w:tbl>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9.5  Legal Risk in Practice — Three Case Studies</w:t>
      </w:r>
    </w:p>
    <w:p>
      <w:pPr>
        <w:spacing w:after="0" w:before="60"/>
      </w:pPr>
      <w:r>
        <w:t xml:space="preserve"/>
      </w:r>
    </w:p>
    <w:p>
      <w:pPr>
        <w:pStyle w:val="Heading3"/>
        <w:spacing w:after="80" w:before="180"/>
      </w:pPr>
      <w:r>
        <w:rPr>
          <w:rFonts w:ascii="Calibri" w:cs="Calibri" w:eastAsia="Calibri" w:hAnsi="Calibri"/>
          <w:b/>
          <w:bCs/>
          <w:color w:val="0D1B2A"/>
          <w:sz w:val="28"/>
          <w:szCs w:val="28"/>
        </w:rPr>
        <w:t xml:space="preserve">Hammersmith &amp; Fulham LBC (1991)</w:t>
      </w:r>
    </w:p>
    <w:p>
      <w:pPr>
        <w:spacing w:after="80" w:before="80"/>
        <w:jc w:val="both"/>
      </w:pPr>
      <w:r>
        <w:rPr>
          <w:rFonts w:ascii="Calibri" w:cs="Calibri" w:eastAsia="Calibri" w:hAnsi="Calibri"/>
          <w:color w:val="1A1A2E"/>
          <w:sz w:val="22"/>
          <w:szCs w:val="22"/>
        </w:rPr>
        <w:t xml:space="preserve">Hammersmith &amp; Fulham London Borough Council entered into a large portfolio of interest rate swaps with numerous UK banks in the late 1980s, speculating on interest rate movements. When rates moved against the Council, the House of Lords ruled in 1991 that local authorities lacked the legal capacity to enter into speculative swap transactions — the contracts were ultra vires and therefore void ab initio. Banks that had relied on netting to manage their exposure found that the netting agreements themselves were void because the underlying contracts were void. Recovery against the Council was severely limited.</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100"/>
              <w:left w:type="dxa" w:w="160"/>
              <w:bottom w:type="dxa" w:w="100"/>
              <w:right w:type="dxa" w:w="160"/>
            </w:tcMar>
            <w:vAlign w:val="center"/>
          </w:tcPr>
          <w:p>
            <w:pPr>
              <w:jc w:val="center"/>
            </w:pPr>
            <w:r>
              <w:rPr>
                <w:rFonts w:ascii="Calibri" w:cs="Calibri" w:eastAsia="Calibri" w:hAnsi="Calibri"/>
                <w:b/>
                <w:bCs/>
                <w:color w:val="C8953A"/>
                <w:sz w:val="20"/>
                <w:szCs w:val="20"/>
              </w:rPr>
              <w:t xml:space="preserve">LESSON</w:t>
            </w:r>
          </w:p>
        </w:tc>
        <w:tc>
          <w:tcPr>
            <w:tcW w:type="dxa" w:w="7920"/>
            <w:tcBorders>
              <w:top w:val="none" w:color="FFFFFF" w:sz="0"/>
              <w:left w:val="none" w:color="FFFFFF" w:sz="0"/>
              <w:bottom w:val="none" w:color="FFFFFF" w:sz="0"/>
              <w:right w:val="none" w:color="FFFFFF" w:sz="0"/>
            </w:tcBorders>
            <w:shd w:fill="E0F4F7" w:val="clear"/>
            <w:tcMar>
              <w:top w:type="dxa" w:w="100"/>
              <w:left w:type="dxa" w:w="160"/>
              <w:bottom w:type="dxa" w:w="100"/>
              <w:right w:type="dxa" w:w="160"/>
            </w:tcMar>
          </w:tcPr>
          <w:p>
            <w:pPr>
              <w:jc w:val="both"/>
            </w:pPr>
            <w:r>
              <w:rPr>
                <w:rFonts w:ascii="Calibri" w:cs="Calibri" w:eastAsia="Calibri" w:hAnsi="Calibri"/>
                <w:i/>
                <w:iCs/>
                <w:color w:val="1A1A2E"/>
                <w:sz w:val="20"/>
                <w:szCs w:val="20"/>
              </w:rPr>
              <w:t xml:space="preserve">Legal capacity of the counterparty is a prerequisite for ISDA documentation to be effective. Netting opinions confirm enforceability in insolvency — they do not address capacity or authorisation issues. Counterparty legal due diligence remains a separate, essential step.</w:t>
            </w:r>
          </w:p>
        </w:tc>
      </w:tr>
    </w:tbl>
    <w:p>
      <w:pPr>
        <w:spacing w:after="0" w:before="80"/>
      </w:pPr>
      <w:r>
        <w:t xml:space="preserve"/>
      </w:r>
    </w:p>
    <w:p>
      <w:pPr>
        <w:pStyle w:val="Heading3"/>
        <w:spacing w:after="80" w:before="180"/>
      </w:pPr>
      <w:r>
        <w:rPr>
          <w:rFonts w:ascii="Calibri" w:cs="Calibri" w:eastAsia="Calibri" w:hAnsi="Calibri"/>
          <w:b/>
          <w:bCs/>
          <w:color w:val="0D1B2A"/>
          <w:sz w:val="28"/>
          <w:szCs w:val="28"/>
        </w:rPr>
        <w:t xml:space="preserve">Lehman Brothers (2008)</w:t>
      </w:r>
    </w:p>
    <w:p>
      <w:pPr>
        <w:spacing w:after="80" w:before="80"/>
        <w:jc w:val="both"/>
      </w:pPr>
      <w:r>
        <w:rPr>
          <w:rFonts w:ascii="Calibri" w:cs="Calibri" w:eastAsia="Calibri" w:hAnsi="Calibri"/>
          <w:color w:val="1A1A2E"/>
          <w:sz w:val="22"/>
          <w:szCs w:val="22"/>
        </w:rPr>
        <w:t xml:space="preserve">As discussed in Section 3.2, the Lehman collapse was the definitive stress test of the ISDA close-out netting framework. The principal legal outcomes:</w:t>
      </w:r>
    </w:p>
    <w:p>
      <w:pPr>
        <w:spacing w:after="0" w:before="60"/>
      </w:pPr>
      <w:r>
        <w:t xml:space="preserve"/>
      </w:r>
    </w:p>
    <w:p>
      <w:pPr>
        <w:pStyle w:val="ListParagraph"/>
        <w:numPr>
          <w:ilvl w:val="0"/>
          <w:numId w:val="2"/>
        </w:numPr>
        <w:spacing w:after="60" w:before="60"/>
      </w:pPr>
      <w:r>
        <w:rPr>
          <w:rFonts w:ascii="Calibri" w:cs="Calibri" w:eastAsia="Calibri" w:hAnsi="Calibri"/>
          <w:color w:val="1A1A2E"/>
          <w:sz w:val="22"/>
          <w:szCs w:val="22"/>
        </w:rPr>
        <w:t xml:space="preserve">Close-out netting held in all major jurisdictions — English and US courts confirmed that the ISDA Master Agreement's netting provisions were enforceable in insolvency.</w:t>
      </w:r>
    </w:p>
    <w:p>
      <w:pPr>
        <w:pStyle w:val="ListParagraph"/>
        <w:numPr>
          <w:ilvl w:val="0"/>
          <w:numId w:val="2"/>
        </w:numPr>
        <w:spacing w:after="60" w:before="60"/>
      </w:pPr>
      <w:r>
        <w:rPr>
          <w:rFonts w:ascii="Calibri" w:cs="Calibri" w:eastAsia="Calibri" w:hAnsi="Calibri"/>
          <w:color w:val="1A1A2E"/>
          <w:sz w:val="22"/>
          <w:szCs w:val="22"/>
        </w:rPr>
        <w:t xml:space="preserve">The resolution process nevertheless took years: Lehman's administrators (PwC in the UK, Alvarez &amp; Marsal in the US) faced the challenge of unwinding ~66,000 trades across ~8,000 counterparties with complex, bespoke documentation.</w:t>
      </w:r>
    </w:p>
    <w:p>
      <w:pPr>
        <w:pStyle w:val="ListParagraph"/>
        <w:numPr>
          <w:ilvl w:val="0"/>
          <w:numId w:val="2"/>
        </w:numPr>
        <w:spacing w:after="60" w:before="60"/>
      </w:pPr>
      <w:r>
        <w:rPr>
          <w:rFonts w:ascii="Calibri" w:cs="Calibri" w:eastAsia="Calibri" w:hAnsi="Calibri"/>
          <w:color w:val="1A1A2E"/>
          <w:sz w:val="22"/>
          <w:szCs w:val="22"/>
        </w:rPr>
        <w:t xml:space="preserve">The 2002 Master Agreement's single Close-out Amount methodology proved more workable in practice than the 1992 Market Quotation/Loss dual approach in illiquid conditions.</w:t>
      </w:r>
    </w:p>
    <w:p>
      <w:pPr>
        <w:spacing w:after="0" w:before="80"/>
      </w:pPr>
      <w:r>
        <w:t xml:space="preserve"/>
      </w:r>
    </w:p>
    <w:p>
      <w:pPr>
        <w:pStyle w:val="Heading3"/>
        <w:spacing w:after="80" w:before="180"/>
      </w:pPr>
      <w:r>
        <w:rPr>
          <w:rFonts w:ascii="Calibri" w:cs="Calibri" w:eastAsia="Calibri" w:hAnsi="Calibri"/>
          <w:b/>
          <w:bCs/>
          <w:color w:val="0D1B2A"/>
          <w:sz w:val="28"/>
          <w:szCs w:val="28"/>
        </w:rPr>
        <w:t xml:space="preserve">Archegos Capital Management (2021)</w:t>
      </w:r>
    </w:p>
    <w:p>
      <w:pPr>
        <w:spacing w:after="80" w:before="80"/>
        <w:jc w:val="both"/>
      </w:pPr>
      <w:r>
        <w:rPr>
          <w:rFonts w:ascii="Calibri" w:cs="Calibri" w:eastAsia="Calibri" w:hAnsi="Calibri"/>
          <w:color w:val="1A1A2E"/>
          <w:sz w:val="22"/>
          <w:szCs w:val="22"/>
        </w:rPr>
        <w:t xml:space="preserve">Archegos was a family office that accumulated massive leveraged exposures to a small number of stocks through Total Return Swaps (TRS) with multiple prime brokers simultaneously. Key features of the failure:</w:t>
      </w:r>
    </w:p>
    <w:p>
      <w:pPr>
        <w:spacing w:after="0" w:before="60"/>
      </w:pPr>
      <w:r>
        <w:t xml:space="preserve"/>
      </w:r>
    </w:p>
    <w:p>
      <w:pPr>
        <w:pStyle w:val="ListParagraph"/>
        <w:numPr>
          <w:ilvl w:val="0"/>
          <w:numId w:val="2"/>
        </w:numPr>
        <w:spacing w:after="60" w:before="60"/>
      </w:pPr>
      <w:r>
        <w:rPr>
          <w:rFonts w:ascii="Calibri" w:cs="Calibri" w:eastAsia="Calibri" w:hAnsi="Calibri"/>
          <w:color w:val="1A1A2E"/>
          <w:sz w:val="22"/>
          <w:szCs w:val="22"/>
        </w:rPr>
        <w:t xml:space="preserve">No ISDA netting across prime brokers: each dealer had its own bilateral exposure to Archegos. No single dealer had visibility into the aggregate position across all counterparties. There was no cross-dealer netting set.</w:t>
      </w:r>
    </w:p>
    <w:p>
      <w:pPr>
        <w:pStyle w:val="ListParagraph"/>
        <w:numPr>
          <w:ilvl w:val="0"/>
          <w:numId w:val="2"/>
        </w:numPr>
        <w:spacing w:after="60" w:before="60"/>
      </w:pPr>
      <w:r>
        <w:rPr>
          <w:rFonts w:ascii="Calibri" w:cs="Calibri" w:eastAsia="Calibri" w:hAnsi="Calibri"/>
          <w:color w:val="1A1A2E"/>
          <w:sz w:val="22"/>
          <w:szCs w:val="22"/>
        </w:rPr>
        <w:t xml:space="preserve">No IM — or insufficient IM: Archegos was below the UMR threshold (Phase 5/6 came into force in 2021–2022). Several dealers had negotiated limited or no IM requirements, leaving them with large uncollateralised exposures.</w:t>
      </w:r>
    </w:p>
    <w:p>
      <w:pPr>
        <w:pStyle w:val="ListParagraph"/>
        <w:numPr>
          <w:ilvl w:val="0"/>
          <w:numId w:val="2"/>
        </w:numPr>
        <w:spacing w:after="60" w:before="60"/>
      </w:pPr>
      <w:r>
        <w:rPr>
          <w:rFonts w:ascii="Calibri" w:cs="Calibri" w:eastAsia="Calibri" w:hAnsi="Calibri"/>
          <w:color w:val="1A1A2E"/>
          <w:sz w:val="22"/>
          <w:szCs w:val="22"/>
        </w:rPr>
        <w:t xml:space="preserve">Margin calls triggered fire sales: when the underlying stocks fell, simultaneous margin calls from multiple dealers forced Archegos to liquidate. The liquidation further depressed prices, triggering further calls — a classic collateral spiral.</w:t>
      </w:r>
    </w:p>
    <w:p>
      <w:pPr>
        <w:pStyle w:val="ListParagraph"/>
        <w:numPr>
          <w:ilvl w:val="0"/>
          <w:numId w:val="2"/>
        </w:numPr>
        <w:spacing w:after="60" w:before="60"/>
      </w:pPr>
      <w:r>
        <w:rPr>
          <w:rFonts w:ascii="Calibri" w:cs="Calibri" w:eastAsia="Calibri" w:hAnsi="Calibri"/>
          <w:color w:val="1A1A2E"/>
          <w:sz w:val="22"/>
          <w:szCs w:val="22"/>
        </w:rPr>
        <w:t xml:space="preserve">Aggregate losses: Credit Suisse lost ~USD 5.5B; Nomura ~USD 2.9B; Morgan Stanley ~USD 900M. Total industry losses exceeded USD 10B.</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100"/>
              <w:left w:type="dxa" w:w="160"/>
              <w:bottom w:type="dxa" w:w="100"/>
              <w:right w:type="dxa" w:w="160"/>
            </w:tcMar>
            <w:vAlign w:val="center"/>
          </w:tcPr>
          <w:p>
            <w:pPr>
              <w:jc w:val="center"/>
            </w:pPr>
            <w:r>
              <w:rPr>
                <w:rFonts w:ascii="Calibri" w:cs="Calibri" w:eastAsia="Calibri" w:hAnsi="Calibri"/>
                <w:b/>
                <w:bCs/>
                <w:color w:val="C8953A"/>
                <w:sz w:val="20"/>
                <w:szCs w:val="20"/>
              </w:rPr>
              <w:t xml:space="preserve">LESSON</w:t>
            </w:r>
          </w:p>
        </w:tc>
        <w:tc>
          <w:tcPr>
            <w:tcW w:type="dxa" w:w="7920"/>
            <w:tcBorders>
              <w:top w:val="none" w:color="FFFFFF" w:sz="0"/>
              <w:left w:val="none" w:color="FFFFFF" w:sz="0"/>
              <w:bottom w:val="none" w:color="FFFFFF" w:sz="0"/>
              <w:right w:val="none" w:color="FFFFFF" w:sz="0"/>
            </w:tcBorders>
            <w:shd w:fill="E0F4F7" w:val="clear"/>
            <w:tcMar>
              <w:top w:type="dxa" w:w="100"/>
              <w:left w:type="dxa" w:w="160"/>
              <w:bottom w:type="dxa" w:w="100"/>
              <w:right w:type="dxa" w:w="160"/>
            </w:tcMar>
          </w:tcPr>
          <w:p>
            <w:pPr>
              <w:jc w:val="both"/>
            </w:pPr>
            <w:r>
              <w:rPr>
                <w:rFonts w:ascii="Calibri" w:cs="Calibri" w:eastAsia="Calibri" w:hAnsi="Calibri"/>
                <w:i/>
                <w:iCs/>
                <w:color w:val="1A1A2E"/>
                <w:sz w:val="20"/>
                <w:szCs w:val="20"/>
              </w:rPr>
              <w:t xml:space="preserve">Archegos demonstrated that the bilateral netting framework creates information asymmetry at the system level — each dealer sees its own net exposure but not the aggregate. UMR Phase 5/6 and enhanced prime brokerage due diligence (including mandatory disclosure of aggregate leverage) are the post-Archegos industry responses.</w:t>
            </w:r>
          </w:p>
        </w:tc>
      </w:tr>
    </w:tbl>
    <w:p>
      <w:pPr>
        <w:spacing w:after="0" w:before="160"/>
      </w:pPr>
      <w:r>
        <w:t xml:space="preserve"/>
      </w:r>
    </w:p>
    <w:p>
      <w:r>
        <w:br w:type="page"/>
      </w:r>
    </w:p>
    <w:p>
      <w:pPr>
        <w:pStyle w:val="Heading1"/>
        <w:spacing w:after="160" w:before="320"/>
      </w:pPr>
      <w:r>
        <w:rPr>
          <w:rFonts w:ascii="Calibri" w:cs="Calibri" w:eastAsia="Calibri" w:hAnsi="Calibri"/>
          <w:b/>
          <w:bCs/>
          <w:color w:val="0D1B2A"/>
          <w:sz w:val="48"/>
          <w:szCs w:val="48"/>
        </w:rPr>
        <w:t xml:space="preserve">Glossary — New Terms from Module 5</w:t>
      </w:r>
    </w:p>
    <w:p>
      <w:pPr>
        <w:pBdr>
          <w:bottom w:val="single" w:color="028090" w:sz="6" w:space="1"/>
        </w:pBdr>
        <w:spacing w:after="120" w:before="120"/>
      </w:pPr>
      <w:r>
        <w:t xml:space="preserve"/>
      </w:r>
    </w:p>
    <w:p>
      <w:pPr>
        <w:spacing w:after="0" w:before="80"/>
      </w:pPr>
      <w:r>
        <w:t xml:space="preserve"/>
      </w:r>
    </w:p>
    <w:p>
      <w:pPr>
        <w:spacing w:after="80" w:before="80"/>
        <w:jc w:val="both"/>
      </w:pPr>
      <w:r>
        <w:rPr>
          <w:rFonts w:ascii="Calibri" w:cs="Calibri" w:eastAsia="Calibri" w:hAnsi="Calibri"/>
          <w:color w:val="1A1A2E"/>
          <w:sz w:val="22"/>
          <w:szCs w:val="22"/>
        </w:rPr>
        <w:t xml:space="preserve">The following terms are introduced in Module 5 and will be carried forward to Module D (the Practitioner's Dictionary) with full three-layer entries (definition + formula + practitioner usage note).</w:t>
      </w:r>
    </w:p>
    <w:p>
      <w:pPr>
        <w:spacing w:after="0" w:before="80"/>
      </w:pPr>
      <w:r>
        <w:t xml:space="preserve"/>
      </w:r>
    </w:p>
    <w:tbl>
      <w:tblPr>
        <w:tblW w:type="dxa" w:w="9360"/>
      </w:tblPr>
      <w:tblGrid>
        <w:gridCol w:w="1600"/>
        <w:gridCol w:w="6560"/>
        <w:gridCol w:w="120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Definition</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Module</w:t>
            </w:r>
          </w:p>
        </w:tc>
      </w:tr>
      <w:tr>
        <w:tc>
          <w:tcPr>
            <w:tcW w:type="dxa" w:w="16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ISDA</w:t>
            </w:r>
          </w:p>
        </w:tc>
        <w:tc>
          <w:tcPr>
            <w:tcW w:type="dxa" w:w="65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International Swaps and Derivatives Association. Publisher of standardised OTC derivative documentation including the Master Agreement, Schedule, and CSA.</w:t>
            </w:r>
          </w:p>
        </w:tc>
        <w:tc>
          <w:tcPr>
            <w:tcW w:type="dxa" w:w="12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M5</w:t>
            </w:r>
          </w:p>
        </w:tc>
      </w:tr>
      <w:tr>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Master Agreement</w:t>
            </w:r>
          </w:p>
        </w:tc>
        <w:tc>
          <w:tcPr>
            <w:tcW w:type="dxa" w:w="6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The ISDA Master Agreement — the governing document for all OTC derivative transactions between two counterparties. Can exist without a CSA.</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M5</w:t>
            </w:r>
          </w:p>
        </w:tc>
      </w:tr>
      <w:tr>
        <w:tc>
          <w:tcPr>
            <w:tcW w:type="dxa" w:w="16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Schedule</w:t>
            </w:r>
          </w:p>
        </w:tc>
        <w:tc>
          <w:tcPr>
            <w:tcW w:type="dxa" w:w="65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Document that amends and supplements the ISDA Master Agreement with bilateral elections. Legally part of the Master; cannot exist separately.</w:t>
            </w:r>
          </w:p>
        </w:tc>
        <w:tc>
          <w:tcPr>
            <w:tcW w:type="dxa" w:w="12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M5</w:t>
            </w:r>
          </w:p>
        </w:tc>
      </w:tr>
      <w:tr>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CSA</w:t>
            </w:r>
          </w:p>
        </w:tc>
        <w:tc>
          <w:tcPr>
            <w:tcW w:type="dxa" w:w="6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Credit Support Annex — the collateral agreement under the ISDA framework. Governs VM and IM posting. Cannot exist without a Master Agreement.</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M5</w:t>
            </w:r>
          </w:p>
        </w:tc>
      </w:tr>
      <w:tr>
        <w:tc>
          <w:tcPr>
            <w:tcW w:type="dxa" w:w="16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Payment Netting</w:t>
            </w:r>
          </w:p>
        </w:tc>
        <w:tc>
          <w:tcPr>
            <w:tcW w:type="dxa" w:w="65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Section 2(c) netting of same-currency, same-date payment obligations within a single transaction to a single net flow.</w:t>
            </w:r>
          </w:p>
        </w:tc>
        <w:tc>
          <w:tcPr>
            <w:tcW w:type="dxa" w:w="12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M5</w:t>
            </w:r>
          </w:p>
        </w:tc>
      </w:tr>
      <w:tr>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Close-out Netting</w:t>
            </w:r>
          </w:p>
        </w:tc>
        <w:tc>
          <w:tcPr>
            <w:tcW w:type="dxa" w:w="6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Termination of all transactions under a Master Agreement on default, with a single Close-out Amount replacing all gross obligations.</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M5</w:t>
            </w:r>
          </w:p>
        </w:tc>
      </w:tr>
      <w:tr>
        <w:tc>
          <w:tcPr>
            <w:tcW w:type="dxa" w:w="16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Netting Set</w:t>
            </w:r>
          </w:p>
        </w:tc>
        <w:tc>
          <w:tcPr>
            <w:tcW w:type="dxa" w:w="65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All transactions with a single counterparty covered by a legally enforceable netting agreement. The fundamental unit for SA-CCR EAD calculation.</w:t>
            </w:r>
          </w:p>
        </w:tc>
        <w:tc>
          <w:tcPr>
            <w:tcW w:type="dxa" w:w="12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M5</w:t>
            </w:r>
          </w:p>
        </w:tc>
      </w:tr>
      <w:tr>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Cherry-picking</w:t>
            </w:r>
          </w:p>
        </w:tc>
        <w:tc>
          <w:tcPr>
            <w:tcW w:type="dxa" w:w="6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The attempt by a defaulting party's administrator to enforce only profitable contracts and disclaim loss-making ones. Eliminated by close-out netting.</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M5</w:t>
            </w:r>
          </w:p>
        </w:tc>
      </w:tr>
      <w:tr>
        <w:tc>
          <w:tcPr>
            <w:tcW w:type="dxa" w:w="16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MTA</w:t>
            </w:r>
          </w:p>
        </w:tc>
        <w:tc>
          <w:tcPr>
            <w:tcW w:type="dxa" w:w="65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Minimum Transfer Amount — minimum size of a collateral call. Amounts below MTA are not transferred, leaving a band of uncollateralised exposure.</w:t>
            </w:r>
          </w:p>
        </w:tc>
        <w:tc>
          <w:tcPr>
            <w:tcW w:type="dxa" w:w="12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M5</w:t>
            </w:r>
          </w:p>
        </w:tc>
      </w:tr>
      <w:tr>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Threshold (TH)</w:t>
            </w:r>
          </w:p>
        </w:tc>
        <w:tc>
          <w:tcPr>
            <w:tcW w:type="dxa" w:w="6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Exposure level below which no collateral is required. Creates a permanent uncollateralised buffer. Often rating-linked.</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M5</w:t>
            </w:r>
          </w:p>
        </w:tc>
      </w:tr>
      <w:tr>
        <w:tc>
          <w:tcPr>
            <w:tcW w:type="dxa" w:w="16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VM</w:t>
            </w:r>
          </w:p>
        </w:tc>
        <w:tc>
          <w:tcPr>
            <w:tcW w:type="dxa" w:w="65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Variation Margin — daily MtM settlement collateral. Eliminates accumulated exposure; fully rehypothecable.</w:t>
            </w:r>
          </w:p>
        </w:tc>
        <w:tc>
          <w:tcPr>
            <w:tcW w:type="dxa" w:w="12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M5</w:t>
            </w:r>
          </w:p>
        </w:tc>
      </w:tr>
      <w:tr>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IM</w:t>
            </w:r>
          </w:p>
        </w:tc>
        <w:tc>
          <w:tcPr>
            <w:tcW w:type="dxa" w:w="6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Initial Margin — buffer against MPoR exposure. Sized to cover potential market movement during the close-out period. Must be segregated under UMR.</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M5</w:t>
            </w:r>
          </w:p>
        </w:tc>
      </w:tr>
      <w:tr>
        <w:tc>
          <w:tcPr>
            <w:tcW w:type="dxa" w:w="16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MPoR</w:t>
            </w:r>
          </w:p>
        </w:tc>
        <w:tc>
          <w:tcPr>
            <w:tcW w:type="dxa" w:w="65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Margin Period of Risk — time from last VM exchange to full close-out and replacement of positions. Regulatory floor: 10 days bilateral, 5 days cleared.</w:t>
            </w:r>
          </w:p>
        </w:tc>
        <w:tc>
          <w:tcPr>
            <w:tcW w:type="dxa" w:w="12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M5</w:t>
            </w:r>
          </w:p>
        </w:tc>
      </w:tr>
      <w:tr>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Rehypothecation</w:t>
            </w:r>
          </w:p>
        </w:tc>
        <w:tc>
          <w:tcPr>
            <w:tcW w:type="dxa" w:w="6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Reuse of posted collateral by the receiving party. Permitted for VM; prohibited for UMR-segregated IM.</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M5</w:t>
            </w:r>
          </w:p>
        </w:tc>
      </w:tr>
      <w:tr>
        <w:tc>
          <w:tcPr>
            <w:tcW w:type="dxa" w:w="16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Repo</w:t>
            </w:r>
          </w:p>
        </w:tc>
        <w:tc>
          <w:tcPr>
            <w:tcW w:type="dxa" w:w="65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Repurchase Agreement — sale of securities with an agreement to repurchase at a later date. Economically a collateralised loan. Financing cost = repo rate x notional x t/360.</w:t>
            </w:r>
          </w:p>
        </w:tc>
        <w:tc>
          <w:tcPr>
            <w:tcW w:type="dxa" w:w="12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M5</w:t>
            </w:r>
          </w:p>
        </w:tc>
      </w:tr>
      <w:tr>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GC Repo</w:t>
            </w:r>
          </w:p>
        </w:tc>
        <w:tc>
          <w:tcPr>
            <w:tcW w:type="dxa" w:w="6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General Collateral repo — cash lender accepts any eligible security. Rate approximates OIS. No specialness premium.</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M5</w:t>
            </w:r>
          </w:p>
        </w:tc>
      </w:tr>
      <w:tr>
        <w:tc>
          <w:tcPr>
            <w:tcW w:type="dxa" w:w="16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Special Repo</w:t>
            </w:r>
          </w:p>
        </w:tc>
        <w:tc>
          <w:tcPr>
            <w:tcW w:type="dxa" w:w="65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Repo for a specific security in demand (e.g. on-the-run bond). Rate below GC — specialness premium reflects scarcity of the specific bond.</w:t>
            </w:r>
          </w:p>
        </w:tc>
        <w:tc>
          <w:tcPr>
            <w:tcW w:type="dxa" w:w="12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M5</w:t>
            </w:r>
          </w:p>
        </w:tc>
      </w:tr>
      <w:tr>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Securities Lending</w:t>
            </w:r>
          </w:p>
        </w:tc>
        <w:tc>
          <w:tcPr>
            <w:tcW w:type="dxa" w:w="6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Loan of securities from a long-term holder to a borrower in exchange for a fee and collateral. Agent lender typically provides borrower default indemnification.</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M5</w:t>
            </w:r>
          </w:p>
        </w:tc>
      </w:tr>
      <w:tr>
        <w:tc>
          <w:tcPr>
            <w:tcW w:type="dxa" w:w="16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Haircut</w:t>
            </w:r>
          </w:p>
        </w:tc>
        <w:tc>
          <w:tcPr>
            <w:tcW w:type="dxa" w:w="65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Reduction applied to collateral value in repo/SFTs. Buffer against collateral price fall before liquidation. Haircut = 1 − (cash lent / collateral MV).</w:t>
            </w:r>
          </w:p>
        </w:tc>
        <w:tc>
          <w:tcPr>
            <w:tcW w:type="dxa" w:w="12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M5</w:t>
            </w:r>
          </w:p>
        </w:tc>
      </w:tr>
      <w:tr>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Collateral Transformation</w:t>
            </w:r>
          </w:p>
        </w:tc>
        <w:tc>
          <w:tcPr>
            <w:tcW w:type="dxa" w:w="6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Exchange of ineligible assets for eligible CCP collateral (e.g. IG corporate bonds → government bonds) via a repo/securities lending structure, for a transformation fee.</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M5</w:t>
            </w:r>
          </w:p>
        </w:tc>
      </w:tr>
      <w:tr>
        <w:tc>
          <w:tcPr>
            <w:tcW w:type="dxa" w:w="16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Netting Opinion</w:t>
            </w:r>
          </w:p>
        </w:tc>
        <w:tc>
          <w:tcPr>
            <w:tcW w:type="dxa" w:w="65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Legal opinion from local counsel confirming enforceability of ISDA close-out netting in a jurisdiction's insolvency regime. Required for regulatory capital netting benefit.</w:t>
            </w:r>
          </w:p>
        </w:tc>
        <w:tc>
          <w:tcPr>
            <w:tcW w:type="dxa" w:w="12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M5</w:t>
            </w:r>
          </w:p>
        </w:tc>
      </w:tr>
      <w:tr>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SFTR</w:t>
            </w:r>
          </w:p>
        </w:tc>
        <w:tc>
          <w:tcPr>
            <w:tcW w:type="dxa" w:w="6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Securities Financing Transactions Regulation (EU/UK) — requires daily reporting of all SFTs to a trade repository. Makes the rehypothecation chain visible to regulators.</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M5</w:t>
            </w:r>
          </w:p>
        </w:tc>
      </w:tr>
      <w:tr>
        <w:tc>
          <w:tcPr>
            <w:tcW w:type="dxa" w:w="16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EMIR</w:t>
            </w:r>
          </w:p>
        </w:tc>
        <w:tc>
          <w:tcPr>
            <w:tcW w:type="dxa" w:w="65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European Market Infrastructure Regulation — EU framework: clearing obligation, bilateral margining, trade reporting for OTC derivatives.</w:t>
            </w:r>
          </w:p>
        </w:tc>
        <w:tc>
          <w:tcPr>
            <w:tcW w:type="dxa" w:w="120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M5</w:t>
            </w:r>
          </w:p>
        </w:tc>
      </w:tr>
    </w:tbl>
    <w:p>
      <w:pPr>
        <w:spacing w:after="0" w:before="160"/>
      </w:pPr>
      <w:r>
        <w:t xml:space="preserve"/>
      </w:r>
    </w:p>
    <w:p>
      <w:r>
        <w:br w:type="page"/>
      </w:r>
    </w:p>
    <w:p>
      <w:pPr>
        <w:pStyle w:val="Heading1"/>
        <w:spacing w:after="160" w:before="320"/>
      </w:pPr>
      <w:r>
        <w:rPr>
          <w:rFonts w:ascii="Calibri" w:cs="Calibri" w:eastAsia="Calibri" w:hAnsi="Calibri"/>
          <w:b/>
          <w:bCs/>
          <w:color w:val="0D1B2A"/>
          <w:sz w:val="48"/>
          <w:szCs w:val="48"/>
        </w:rPr>
        <w:t xml:space="preserve">Credits &amp; Series Trail</w:t>
      </w:r>
    </w:p>
    <w:p>
      <w:pPr>
        <w:pBdr>
          <w:bottom w:val="single" w:color="028090" w:sz="6" w:space="1"/>
        </w:pBdr>
        <w:spacing w:after="120" w:before="120"/>
      </w:pPr>
      <w:r>
        <w:t xml:space="preserve"/>
      </w:r>
    </w:p>
    <w:p>
      <w:pPr>
        <w:spacing w:after="0" w:before="80"/>
      </w:pPr>
      <w:r>
        <w:t xml:space="preserve"/>
      </w:r>
    </w:p>
    <w:tbl>
      <w:tblPr>
        <w:tblW w:type="dxa" w:w="9360"/>
      </w:tblPr>
      <w:tblGrid>
        <w:gridCol w:w="9360"/>
      </w:tblGrid>
      <w:tr>
        <w:tc>
          <w:tcPr>
            <w:tcW w:type="dxa" w:w="9360"/>
            <w:tcBorders>
              <w:top w:val="none" w:color="FFFFFF" w:sz="0"/>
              <w:left w:val="single" w:color="C8953A" w:sz="12"/>
              <w:bottom w:val="none" w:color="FFFFFF" w:sz="0"/>
              <w:right w:val="none" w:color="FFFFFF" w:sz="0"/>
            </w:tcBorders>
            <w:shd w:fill="F5DFA8" w:val="clear"/>
            <w:tcMar>
              <w:top w:type="dxa" w:w="160"/>
              <w:left w:type="dxa" w:w="240"/>
              <w:bottom w:type="dxa" w:w="160"/>
              <w:right w:type="dxa" w:w="240"/>
            </w:tcMar>
          </w:tcPr>
          <w:p>
            <w:r>
              <w:rPr>
                <w:rFonts w:ascii="Calibri" w:cs="Calibri" w:eastAsia="Calibri" w:hAnsi="Calibri"/>
                <w:b/>
                <w:bCs/>
                <w:color w:val="0D1B2A"/>
                <w:sz w:val="24"/>
                <w:szCs w:val="24"/>
              </w:rPr>
              <w:t xml:space="preserve">Curated by Sarthaka Nanda (with Anthropic Claude)</w:t>
            </w:r>
          </w:p>
          <w:p>
            <w:r>
              <w:rPr>
                <w:rFonts w:ascii="Calibri" w:cs="Calibri" w:eastAsia="Calibri" w:hAnsi="Calibri"/>
                <w:color w:val="8A9BB0"/>
                <w:sz w:val="20"/>
                <w:szCs w:val="20"/>
              </w:rPr>
              <w:t xml:space="preserve">Creative Commons Attribution-NonCommercial 4.0 International (CC BY-NC 4.0)</w:t>
            </w:r>
          </w:p>
          <w:p>
            <w:r>
              <w:rPr>
                <w:rFonts w:ascii="Calibri" w:cs="Calibri" w:eastAsia="Calibri" w:hAnsi="Calibri"/>
                <w:color w:val="8A9BB0"/>
                <w:sz w:val="20"/>
                <w:szCs w:val="20"/>
              </w:rPr>
              <w:t xml:space="preserve">© 2026 Sarthaka Nanda • Practitioner Knowledge Repository on Banking Regulation and Risk Management</w:t>
            </w:r>
          </w:p>
        </w:tc>
      </w:tr>
    </w:tbl>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20-60-20 Methodology Declaration</w:t>
      </w:r>
    </w:p>
    <w:p>
      <w:pPr>
        <w:spacing w:after="80" w:before="80"/>
        <w:jc w:val="both"/>
      </w:pPr>
      <w:r>
        <w:rPr>
          <w:rFonts w:ascii="Calibri" w:cs="Calibri" w:eastAsia="Calibri" w:hAnsi="Calibri"/>
          <w:color w:val="1A1A2E"/>
          <w:sz w:val="22"/>
          <w:szCs w:val="22"/>
        </w:rPr>
        <w:t xml:space="preserve">This document was produced following the 20-60-20 methodology: 20% human direction (topic selection, structural design, worked example parameters, quality direction), 60% AI generation (technical content drafting, table construction, regulatory mapping), 20% mandatory human review and editing before publication. AI-generated content without mandatory human review is not professional-grade content — it is a liability.</w:t>
      </w:r>
    </w:p>
    <w:p>
      <w:pPr>
        <w:spacing w:after="0" w:before="120"/>
      </w:pPr>
      <w:r>
        <w:t xml:space="preserve"/>
      </w:r>
    </w:p>
    <w:p>
      <w:pPr>
        <w:pStyle w:val="Heading2"/>
        <w:spacing w:after="120" w:before="240"/>
      </w:pPr>
      <w:r>
        <w:rPr>
          <w:rFonts w:ascii="Calibri" w:cs="Calibri" w:eastAsia="Calibri" w:hAnsi="Calibri"/>
          <w:b/>
          <w:bCs/>
          <w:color w:val="028090"/>
          <w:sz w:val="36"/>
          <w:szCs w:val="36"/>
        </w:rPr>
        <w:t xml:space="preserve">Full Series</w:t>
      </w:r>
    </w:p>
    <w:tbl>
      <w:tblPr>
        <w:tblW w:type="dxa" w:w="9360"/>
      </w:tblPr>
      <w:tblGrid>
        <w:gridCol w:w="800"/>
        <w:gridCol w:w="8560"/>
      </w:tblGrid>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M0</w:t>
            </w:r>
          </w:p>
        </w:tc>
        <w:tc>
          <w:tcPr>
            <w:tcW w:type="dxa" w:w="85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Greeks &amp; Sensitivities — Mathematical Foundation</w:t>
            </w:r>
          </w:p>
        </w:tc>
      </w:tr>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M1</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Basel Accord Evolution — Basel I through Basel IV / Endgame</w:t>
            </w:r>
          </w:p>
        </w:tc>
      </w:tr>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M2</w:t>
            </w:r>
          </w:p>
        </w:tc>
        <w:tc>
          <w:tcPr>
            <w:tcW w:type="dxa" w:w="85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FRTB — Fundamental Review of the Trading Book</w:t>
            </w:r>
          </w:p>
        </w:tc>
      </w:tr>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M3</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CVA, DVA &amp; Counterparty Credit Risk</w:t>
            </w:r>
          </w:p>
        </w:tc>
      </w:tr>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M4</w:t>
            </w:r>
          </w:p>
        </w:tc>
        <w:tc>
          <w:tcPr>
            <w:tcW w:type="dxa" w:w="85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FVA &amp; MVA — Funding &amp; Margin Valuation Adjustments</w:t>
            </w:r>
          </w:p>
        </w:tc>
      </w:tr>
      <w:tr>
        <w:tc>
          <w:tcPr>
            <w:tcW w:type="dxa" w:w="800"/>
            <w:tcBorders>
              <w:top w:val="single" w:color="CCCCCC" w:sz="1"/>
              <w:left w:val="single" w:color="CCCCCC" w:sz="1"/>
              <w:bottom w:val="single" w:color="CCCCCC" w:sz="1"/>
              <w:right w:val="single" w:color="CCCCCC" w:sz="1"/>
            </w:tcBorders>
            <w:shd w:fill="028090"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M5</w:t>
            </w:r>
          </w:p>
        </w:tc>
        <w:tc>
          <w:tcPr>
            <w:tcW w:type="dxa" w:w="8560"/>
            <w:tcBorders>
              <w:top w:val="single" w:color="CCCCCC" w:sz="1"/>
              <w:left w:val="single" w:color="CCCCCC" w:sz="1"/>
              <w:bottom w:val="single" w:color="CCCCCC" w:sz="1"/>
              <w:right w:val="single" w:color="CCCCCC" w:sz="1"/>
            </w:tcBorders>
            <w:shd w:fill="F5DFA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ISDA, Netting &amp; Collateral ✔ THIS MODULE</w:t>
            </w:r>
          </w:p>
        </w:tc>
      </w:tr>
      <w:tr>
        <w:tc>
          <w:tcPr>
            <w:tcW w:type="dxa" w:w="800"/>
            <w:tcBorders>
              <w:top w:val="single" w:color="CCCCCC" w:sz="1"/>
              <w:left w:val="single" w:color="CCCCCC" w:sz="1"/>
              <w:bottom w:val="single" w:color="CCCCCC" w:sz="1"/>
              <w:right w:val="single" w:color="CCCCCC" w:sz="1"/>
            </w:tcBorders>
            <w:shd w:fill="8A9BB0"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M6</w:t>
            </w:r>
          </w:p>
        </w:tc>
        <w:tc>
          <w:tcPr>
            <w:tcW w:type="dxa" w:w="8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KVA, ColVA &amp; Capital Costs — forthcoming</w:t>
            </w:r>
          </w:p>
        </w:tc>
      </w:tr>
      <w:tr>
        <w:tc>
          <w:tcPr>
            <w:tcW w:type="dxa" w:w="800"/>
            <w:tcBorders>
              <w:top w:val="single" w:color="CCCCCC" w:sz="1"/>
              <w:left w:val="single" w:color="CCCCCC" w:sz="1"/>
              <w:bottom w:val="single" w:color="CCCCCC" w:sz="1"/>
              <w:right w:val="single" w:color="CCCCCC" w:sz="1"/>
            </w:tcBorders>
            <w:shd w:fill="8A9BB0"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MD</w:t>
            </w:r>
          </w:p>
        </w:tc>
        <w:tc>
          <w:tcPr>
            <w:tcW w:type="dxa" w:w="8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Practitioner's Dictionary — XVA &amp; Banking Regulation — forthcoming</w:t>
            </w:r>
          </w:p>
        </w:tc>
      </w:tr>
    </w:tbl>
    <w:p>
      <w:pPr>
        <w:spacing w:after="0" w:before="160"/>
      </w:pPr>
      <w:r>
        <w:t xml:space="preserve"/>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28090" w:sz="4" w:space="1"/>
      </w:pBdr>
      <w:tabs>
        <w:tab w:val="right" w:pos="9026"/>
      </w:tabs>
    </w:pPr>
    <w:r>
      <w:rPr>
        <w:rFonts w:ascii="Calibri" w:cs="Calibri" w:eastAsia="Calibri" w:hAnsi="Calibri"/>
        <w:color w:val="8A9BB0"/>
        <w:sz w:val="16"/>
        <w:szCs w:val="16"/>
      </w:rPr>
      <w:t xml:space="preserve">© 2026 Sarthaka Nanda  •  CC BY-NC 4.0</w:t>
    </w:r>
    <w:r>
      <w:rPr>
        <w:sz w:val="16"/>
        <w:szCs w:val="16"/>
      </w:rPr>
      <w:t xml:space="preserve">	</w:t>
    </w:r>
    <w:r>
      <w:rPr>
        <w:rFonts w:ascii="Calibri" w:cs="Calibri" w:eastAsia="Calibri" w:hAnsi="Calibri"/>
        <w:color w:val="8A9BB0"/>
        <w:sz w:val="16"/>
        <w:szCs w:val="16"/>
      </w:rPr>
      <w:t xml:space="preserve">Page </w:t>
    </w:r>
    <w:r>
      <w:rPr>
        <w:rFonts w:ascii="Calibri" w:cs="Calibri" w:eastAsia="Calibri" w:hAnsi="Calibri"/>
        <w:color w:val="8A9BB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28090" w:sz="4" w:space="1"/>
      </w:pBdr>
      <w:tabs>
        <w:tab w:val="right" w:pos="9026"/>
      </w:tabs>
    </w:pPr>
    <w:r>
      <w:rPr>
        <w:rFonts w:ascii="Calibri" w:cs="Calibri" w:eastAsia="Calibri" w:hAnsi="Calibri"/>
        <w:color w:val="8A9BB0"/>
        <w:sz w:val="16"/>
        <w:szCs w:val="16"/>
      </w:rPr>
      <w:t xml:space="preserve">Practitioner Knowledge Repository  —  Module 5: ISDA, Netting &amp; Collateral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0D1B2A"/>
      <w:sz w:val="48"/>
      <w:szCs w:val="48"/>
    </w:rPr>
  </w:style>
  <w:style w:type="paragraph" w:styleId="Heading2">
    <w:name w:val="Heading 2"/>
    <w:basedOn w:val="Normal"/>
    <w:next w:val="Normal"/>
    <w:qFormat/>
    <w:pPr>
      <w:spacing w:after="120" w:before="240"/>
      <w:outlineLvl w:val="1"/>
    </w:pPr>
    <w:rPr>
      <w:rFonts w:ascii="Calibri" w:cs="Calibri" w:eastAsia="Calibri" w:hAnsi="Calibri"/>
      <w:b/>
      <w:bCs/>
      <w:color w:val="028090"/>
      <w:sz w:val="36"/>
      <w:szCs w:val="36"/>
    </w:rPr>
  </w:style>
  <w:style w:type="paragraph" w:styleId="Heading3">
    <w:name w:val="Heading 3"/>
    <w:basedOn w:val="Normal"/>
    <w:next w:val="Normal"/>
    <w:qFormat/>
    <w:pPr>
      <w:spacing w:after="80" w:before="180"/>
      <w:outlineLvl w:val="2"/>
    </w:pPr>
    <w:rPr>
      <w:rFonts w:ascii="Calibri" w:cs="Calibri" w:eastAsia="Calibri" w:hAnsi="Calibri"/>
      <w:b/>
      <w:bCs/>
      <w:color w:val="0D1B2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2026-04-20T04:26:42.001Z</dcterms:created>
  <dcterms:modified xsi:type="dcterms:W3CDTF">2026-04-20T04:26:42.002Z</dcterms:modified>
</cp:coreProperties>
</file>

<file path=docProps/custom.xml><?xml version="1.0" encoding="utf-8"?>
<Properties xmlns="http://schemas.openxmlformats.org/officeDocument/2006/custom-properties" xmlns:vt="http://schemas.openxmlformats.org/officeDocument/2006/docPropsVTypes"/>
</file>