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left w:w="10" w:type="dxa"/>
          <w:right w:w="10" w:type="dxa"/>
        </w:tblCellMar>
        <w:tblLook w:val="04A0" w:firstRow="1" w:lastRow="0" w:firstColumn="1" w:lastColumn="0" w:noHBand="0" w:noVBand="1"/>
      </w:tblPr>
      <w:tblGrid>
        <w:gridCol w:w="1440"/>
        <w:gridCol w:w="7920"/>
      </w:tblGrid>
      <w:tr w:rsidR="0004652A" w14:paraId="50EBE65C"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400" w:type="dxa"/>
              <w:left w:w="400" w:type="dxa"/>
              <w:bottom w:w="80" w:type="dxa"/>
              <w:right w:w="400" w:type="dxa"/>
            </w:tcMar>
          </w:tcPr>
          <w:p w14:paraId="3C3BB52F" w14:textId="77777777" w:rsidR="0004652A" w:rsidRDefault="00000000">
            <w:r>
              <w:rPr>
                <w:b/>
                <w:bCs/>
                <w:caps/>
                <w:color w:val="8A9BB0"/>
                <w:sz w:val="18"/>
                <w:szCs w:val="18"/>
              </w:rPr>
              <w:t>PRACTITIONER KNOWLEDGE REPOSITORY</w:t>
            </w:r>
          </w:p>
          <w:p w14:paraId="59A2ADA1" w14:textId="77777777" w:rsidR="0004652A" w:rsidRDefault="00000000">
            <w:r>
              <w:rPr>
                <w:i/>
                <w:iCs/>
                <w:color w:val="8A9BB0"/>
                <w:sz w:val="18"/>
                <w:szCs w:val="18"/>
              </w:rPr>
              <w:t>on Banking Regulation and Risk Management</w:t>
            </w:r>
          </w:p>
        </w:tc>
      </w:tr>
      <w:tr w:rsidR="0004652A" w14:paraId="338B8E0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04F12E58" w14:textId="77777777" w:rsidR="0004652A" w:rsidRDefault="00000000">
            <w:r>
              <w:rPr>
                <w:b/>
                <w:bCs/>
                <w:caps/>
                <w:color w:val="C8953A"/>
                <w:sz w:val="36"/>
                <w:szCs w:val="36"/>
              </w:rPr>
              <w:t>MODULE 5</w:t>
            </w:r>
          </w:p>
        </w:tc>
      </w:tr>
      <w:tr w:rsidR="0004652A" w14:paraId="1AF85201"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0BD58FBF" w14:textId="77777777" w:rsidR="0004652A" w:rsidRDefault="00000000">
            <w:r>
              <w:rPr>
                <w:b/>
                <w:bCs/>
                <w:color w:val="FFFFFF"/>
                <w:sz w:val="64"/>
                <w:szCs w:val="64"/>
              </w:rPr>
              <w:t>ISDA, Netting &amp; Collateral</w:t>
            </w:r>
          </w:p>
        </w:tc>
      </w:tr>
      <w:tr w:rsidR="0004652A" w14:paraId="07C992AF"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80" w:type="dxa"/>
              <w:left w:w="400" w:type="dxa"/>
              <w:bottom w:w="80" w:type="dxa"/>
              <w:right w:w="400" w:type="dxa"/>
            </w:tcMar>
          </w:tcPr>
          <w:p w14:paraId="436EAC02" w14:textId="77777777" w:rsidR="0004652A" w:rsidRDefault="00000000">
            <w:r>
              <w:rPr>
                <w:i/>
                <w:iCs/>
                <w:color w:val="028090"/>
                <w:sz w:val="32"/>
                <w:szCs w:val="32"/>
              </w:rPr>
              <w:t>The Legal Architecture of Derivative Markets</w:t>
            </w:r>
          </w:p>
        </w:tc>
      </w:tr>
      <w:tr w:rsidR="0004652A" w14:paraId="51C803D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28090"/>
            <w:tcMar>
              <w:top w:w="200" w:type="dxa"/>
              <w:left w:w="400" w:type="dxa"/>
              <w:bottom w:w="200" w:type="dxa"/>
              <w:right w:w="200" w:type="dxa"/>
            </w:tcMar>
          </w:tcPr>
          <w:p w14:paraId="5B0D01C3" w14:textId="77777777" w:rsidR="0004652A" w:rsidRDefault="0004652A"/>
        </w:tc>
        <w:tc>
          <w:tcPr>
            <w:tcW w:w="7920" w:type="dxa"/>
            <w:tcBorders>
              <w:top w:val="none" w:sz="0" w:space="0" w:color="FFFFFF"/>
              <w:left w:val="none" w:sz="0" w:space="0" w:color="FFFFFF"/>
              <w:bottom w:val="none" w:sz="0" w:space="0" w:color="FFFFFF"/>
              <w:right w:val="none" w:sz="0" w:space="0" w:color="FFFFFF"/>
            </w:tcBorders>
            <w:shd w:val="clear" w:color="auto" w:fill="0D1B2A"/>
            <w:tcMar>
              <w:top w:w="200" w:type="dxa"/>
              <w:left w:w="200" w:type="dxa"/>
              <w:bottom w:w="200" w:type="dxa"/>
              <w:right w:w="400" w:type="dxa"/>
            </w:tcMar>
          </w:tcPr>
          <w:p w14:paraId="1D098CE7" w14:textId="77777777" w:rsidR="0004652A" w:rsidRDefault="00000000">
            <w:r>
              <w:rPr>
                <w:b/>
                <w:bCs/>
                <w:color w:val="C8953A"/>
              </w:rPr>
              <w:t>The Blueprint Analogy</w:t>
            </w:r>
          </w:p>
          <w:p w14:paraId="126F4573" w14:textId="77777777" w:rsidR="0004652A" w:rsidRDefault="00000000">
            <w:pPr>
              <w:jc w:val="both"/>
            </w:pPr>
            <w:r>
              <w:rPr>
                <w:i/>
                <w:iCs/>
                <w:color w:val="F4F6F8"/>
                <w:sz w:val="20"/>
                <w:szCs w:val="20"/>
              </w:rPr>
              <w:t>A derivative contract without an ISDA Master Agreement is like a building without foundations — the superstructure may look solid until stress is applied. The Master Agreement is the foundation; the Schedule configures the walls; the CSA is the roof. Each layer is load-bearing only if the layer beneath exists. This module maps that architecture, traces its evolution across three decades, and shows how netting and collateral transform bilateral risk into manageable exposure.</w:t>
            </w:r>
          </w:p>
        </w:tc>
      </w:tr>
      <w:tr w:rsidR="0004652A" w14:paraId="5B7F17F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1B2A"/>
            <w:tcMar>
              <w:top w:w="240" w:type="dxa"/>
              <w:left w:w="400" w:type="dxa"/>
              <w:bottom w:w="240" w:type="dxa"/>
              <w:right w:w="400" w:type="dxa"/>
            </w:tcMar>
          </w:tcPr>
          <w:p w14:paraId="01488915" w14:textId="77777777" w:rsidR="0004652A" w:rsidRDefault="00000000">
            <w:r>
              <w:rPr>
                <w:color w:val="8A9BB0"/>
                <w:sz w:val="18"/>
                <w:szCs w:val="18"/>
              </w:rPr>
              <w:t>Curated by Sarthaka Nanda (with Anthropic Claude)</w:t>
            </w:r>
          </w:p>
          <w:p w14:paraId="56BF97A9" w14:textId="77777777" w:rsidR="0004652A" w:rsidRDefault="00000000">
            <w:r>
              <w:rPr>
                <w:color w:val="8A9BB0"/>
                <w:sz w:val="18"/>
                <w:szCs w:val="18"/>
              </w:rPr>
              <w:t>Creative Commons Attribution-</w:t>
            </w:r>
            <w:proofErr w:type="spellStart"/>
            <w:r>
              <w:rPr>
                <w:color w:val="8A9BB0"/>
                <w:sz w:val="18"/>
                <w:szCs w:val="18"/>
              </w:rPr>
              <w:t>NonCommercial</w:t>
            </w:r>
            <w:proofErr w:type="spellEnd"/>
            <w:r>
              <w:rPr>
                <w:color w:val="8A9BB0"/>
                <w:sz w:val="18"/>
                <w:szCs w:val="18"/>
              </w:rPr>
              <w:t xml:space="preserve"> 4.0 International (CC BY-NC 4.0)  |  © 2026</w:t>
            </w:r>
          </w:p>
          <w:p w14:paraId="0F2A0E9B" w14:textId="77777777" w:rsidR="0004652A" w:rsidRDefault="00000000">
            <w:r>
              <w:rPr>
                <w:i/>
                <w:iCs/>
                <w:color w:val="028090"/>
                <w:sz w:val="18"/>
                <w:szCs w:val="18"/>
              </w:rPr>
              <w:t xml:space="preserve">Series: Basel I–IV → FRTB → CVA/DVA → FVA/MVA → ISDA, Netting &amp; Collateral → KVA, </w:t>
            </w:r>
            <w:proofErr w:type="spellStart"/>
            <w:r>
              <w:rPr>
                <w:i/>
                <w:iCs/>
                <w:color w:val="028090"/>
                <w:sz w:val="18"/>
                <w:szCs w:val="18"/>
              </w:rPr>
              <w:t>ColVA</w:t>
            </w:r>
            <w:proofErr w:type="spellEnd"/>
            <w:r>
              <w:rPr>
                <w:i/>
                <w:iCs/>
                <w:color w:val="028090"/>
                <w:sz w:val="18"/>
                <w:szCs w:val="18"/>
              </w:rPr>
              <w:t xml:space="preserve"> &amp; Capital Costs → Practitioner’s Dictionary</w:t>
            </w:r>
          </w:p>
        </w:tc>
      </w:tr>
    </w:tbl>
    <w:p w14:paraId="35C644E7" w14:textId="77777777" w:rsidR="0004652A" w:rsidRDefault="00000000">
      <w:r>
        <w:br w:type="page"/>
      </w:r>
    </w:p>
    <w:sdt>
      <w:sdtPr>
        <w:alias w:val="Table of Contents"/>
        <w:id w:val="-1541284885"/>
      </w:sdtPr>
      <w:sdtContent>
        <w:p w14:paraId="124E2F48" w14:textId="77777777" w:rsidR="00857A6E" w:rsidRDefault="00000000">
          <w:pPr>
            <w:pStyle w:val="TOC2"/>
            <w:tabs>
              <w:tab w:val="right" w:leader="dot" w:pos="9350"/>
            </w:tabs>
            <w:rPr>
              <w:noProof/>
            </w:rPr>
          </w:pPr>
          <w:r>
            <w:fldChar w:fldCharType="begin"/>
          </w:r>
          <w:r>
            <w:instrText>TOC \h \o "1-3"</w:instrText>
          </w:r>
          <w:r>
            <w:fldChar w:fldCharType="separate"/>
          </w:r>
          <w:hyperlink w:anchor="_Toc228131609" w:history="1">
            <w:r w:rsidR="00857A6E" w:rsidRPr="001E19F5">
              <w:rPr>
                <w:rStyle w:val="Hyperlink"/>
                <w:noProof/>
              </w:rPr>
              <w:t>About This Document</w:t>
            </w:r>
            <w:r w:rsidR="00857A6E">
              <w:rPr>
                <w:noProof/>
              </w:rPr>
              <w:tab/>
            </w:r>
            <w:r w:rsidR="00857A6E">
              <w:rPr>
                <w:noProof/>
              </w:rPr>
              <w:fldChar w:fldCharType="begin"/>
            </w:r>
            <w:r w:rsidR="00857A6E">
              <w:rPr>
                <w:noProof/>
              </w:rPr>
              <w:instrText xml:space="preserve"> PAGEREF _Toc228131609 \h </w:instrText>
            </w:r>
            <w:r w:rsidR="00857A6E">
              <w:rPr>
                <w:noProof/>
              </w:rPr>
            </w:r>
            <w:r w:rsidR="00857A6E">
              <w:rPr>
                <w:noProof/>
              </w:rPr>
              <w:fldChar w:fldCharType="separate"/>
            </w:r>
            <w:r w:rsidR="00857A6E">
              <w:rPr>
                <w:noProof/>
              </w:rPr>
              <w:t>5</w:t>
            </w:r>
            <w:r w:rsidR="00857A6E">
              <w:rPr>
                <w:noProof/>
              </w:rPr>
              <w:fldChar w:fldCharType="end"/>
            </w:r>
          </w:hyperlink>
        </w:p>
        <w:p w14:paraId="5C789D12" w14:textId="77777777" w:rsidR="00857A6E" w:rsidRDefault="00857A6E">
          <w:pPr>
            <w:pStyle w:val="TOC1"/>
            <w:tabs>
              <w:tab w:val="right" w:leader="dot" w:pos="9350"/>
            </w:tabs>
            <w:rPr>
              <w:noProof/>
            </w:rPr>
          </w:pPr>
          <w:hyperlink w:anchor="_Toc228131610" w:history="1">
            <w:r w:rsidRPr="001E19F5">
              <w:rPr>
                <w:rStyle w:val="Hyperlink"/>
                <w:noProof/>
              </w:rPr>
              <w:t>Section 1 — Why ISDA Exists</w:t>
            </w:r>
            <w:r>
              <w:rPr>
                <w:noProof/>
              </w:rPr>
              <w:tab/>
            </w:r>
            <w:r>
              <w:rPr>
                <w:noProof/>
              </w:rPr>
              <w:fldChar w:fldCharType="begin"/>
            </w:r>
            <w:r>
              <w:rPr>
                <w:noProof/>
              </w:rPr>
              <w:instrText xml:space="preserve"> PAGEREF _Toc228131610 \h </w:instrText>
            </w:r>
            <w:r>
              <w:rPr>
                <w:noProof/>
              </w:rPr>
            </w:r>
            <w:r>
              <w:rPr>
                <w:noProof/>
              </w:rPr>
              <w:fldChar w:fldCharType="separate"/>
            </w:r>
            <w:r>
              <w:rPr>
                <w:noProof/>
              </w:rPr>
              <w:t>5</w:t>
            </w:r>
            <w:r>
              <w:rPr>
                <w:noProof/>
              </w:rPr>
              <w:fldChar w:fldCharType="end"/>
            </w:r>
          </w:hyperlink>
        </w:p>
        <w:p w14:paraId="1A2E930F" w14:textId="77777777" w:rsidR="00857A6E" w:rsidRDefault="00857A6E">
          <w:pPr>
            <w:pStyle w:val="TOC2"/>
            <w:tabs>
              <w:tab w:val="right" w:leader="dot" w:pos="9350"/>
            </w:tabs>
            <w:rPr>
              <w:noProof/>
            </w:rPr>
          </w:pPr>
          <w:hyperlink w:anchor="_Toc228131611" w:history="1">
            <w:r w:rsidRPr="001E19F5">
              <w:rPr>
                <w:rStyle w:val="Hyperlink"/>
                <w:noProof/>
              </w:rPr>
              <w:t>1.1  The Pre-Netting World</w:t>
            </w:r>
            <w:r>
              <w:rPr>
                <w:noProof/>
              </w:rPr>
              <w:tab/>
            </w:r>
            <w:r>
              <w:rPr>
                <w:noProof/>
              </w:rPr>
              <w:fldChar w:fldCharType="begin"/>
            </w:r>
            <w:r>
              <w:rPr>
                <w:noProof/>
              </w:rPr>
              <w:instrText xml:space="preserve"> PAGEREF _Toc228131611 \h </w:instrText>
            </w:r>
            <w:r>
              <w:rPr>
                <w:noProof/>
              </w:rPr>
            </w:r>
            <w:r>
              <w:rPr>
                <w:noProof/>
              </w:rPr>
              <w:fldChar w:fldCharType="separate"/>
            </w:r>
            <w:r>
              <w:rPr>
                <w:noProof/>
              </w:rPr>
              <w:t>5</w:t>
            </w:r>
            <w:r>
              <w:rPr>
                <w:noProof/>
              </w:rPr>
              <w:fldChar w:fldCharType="end"/>
            </w:r>
          </w:hyperlink>
        </w:p>
        <w:p w14:paraId="07CC5FEC" w14:textId="77777777" w:rsidR="00857A6E" w:rsidRDefault="00857A6E">
          <w:pPr>
            <w:pStyle w:val="TOC2"/>
            <w:tabs>
              <w:tab w:val="right" w:leader="dot" w:pos="9350"/>
            </w:tabs>
            <w:rPr>
              <w:noProof/>
            </w:rPr>
          </w:pPr>
          <w:hyperlink w:anchor="_Toc228131612" w:history="1">
            <w:r w:rsidRPr="001E19F5">
              <w:rPr>
                <w:rStyle w:val="Hyperlink"/>
                <w:noProof/>
              </w:rPr>
              <w:t>1.2  The 1987 Catalyst</w:t>
            </w:r>
            <w:r>
              <w:rPr>
                <w:noProof/>
              </w:rPr>
              <w:tab/>
            </w:r>
            <w:r>
              <w:rPr>
                <w:noProof/>
              </w:rPr>
              <w:fldChar w:fldCharType="begin"/>
            </w:r>
            <w:r>
              <w:rPr>
                <w:noProof/>
              </w:rPr>
              <w:instrText xml:space="preserve"> PAGEREF _Toc228131612 \h </w:instrText>
            </w:r>
            <w:r>
              <w:rPr>
                <w:noProof/>
              </w:rPr>
            </w:r>
            <w:r>
              <w:rPr>
                <w:noProof/>
              </w:rPr>
              <w:fldChar w:fldCharType="separate"/>
            </w:r>
            <w:r>
              <w:rPr>
                <w:noProof/>
              </w:rPr>
              <w:t>5</w:t>
            </w:r>
            <w:r>
              <w:rPr>
                <w:noProof/>
              </w:rPr>
              <w:fldChar w:fldCharType="end"/>
            </w:r>
          </w:hyperlink>
        </w:p>
        <w:p w14:paraId="4688A06C" w14:textId="77777777" w:rsidR="00857A6E" w:rsidRDefault="00857A6E">
          <w:pPr>
            <w:pStyle w:val="TOC2"/>
            <w:tabs>
              <w:tab w:val="right" w:leader="dot" w:pos="9350"/>
            </w:tabs>
            <w:rPr>
              <w:noProof/>
            </w:rPr>
          </w:pPr>
          <w:hyperlink w:anchor="_Toc228131613" w:history="1">
            <w:r w:rsidRPr="001E19F5">
              <w:rPr>
                <w:rStyle w:val="Hyperlink"/>
                <w:noProof/>
              </w:rPr>
              <w:t>1.3  ISDA's Founding Mandate</w:t>
            </w:r>
            <w:r>
              <w:rPr>
                <w:noProof/>
              </w:rPr>
              <w:tab/>
            </w:r>
            <w:r>
              <w:rPr>
                <w:noProof/>
              </w:rPr>
              <w:fldChar w:fldCharType="begin"/>
            </w:r>
            <w:r>
              <w:rPr>
                <w:noProof/>
              </w:rPr>
              <w:instrText xml:space="preserve"> PAGEREF _Toc228131613 \h </w:instrText>
            </w:r>
            <w:r>
              <w:rPr>
                <w:noProof/>
              </w:rPr>
            </w:r>
            <w:r>
              <w:rPr>
                <w:noProof/>
              </w:rPr>
              <w:fldChar w:fldCharType="separate"/>
            </w:r>
            <w:r>
              <w:rPr>
                <w:noProof/>
              </w:rPr>
              <w:t>6</w:t>
            </w:r>
            <w:r>
              <w:rPr>
                <w:noProof/>
              </w:rPr>
              <w:fldChar w:fldCharType="end"/>
            </w:r>
          </w:hyperlink>
        </w:p>
        <w:p w14:paraId="027F3837" w14:textId="77777777" w:rsidR="00857A6E" w:rsidRDefault="00857A6E">
          <w:pPr>
            <w:pStyle w:val="TOC2"/>
            <w:tabs>
              <w:tab w:val="right" w:leader="dot" w:pos="9350"/>
            </w:tabs>
            <w:rPr>
              <w:noProof/>
            </w:rPr>
          </w:pPr>
          <w:hyperlink w:anchor="_Toc228131614" w:history="1">
            <w:r w:rsidRPr="001E19F5">
              <w:rPr>
                <w:rStyle w:val="Hyperlink"/>
                <w:noProof/>
              </w:rPr>
              <w:t>1.4  What ISDA Solved — and What It Did Not</w:t>
            </w:r>
            <w:r>
              <w:rPr>
                <w:noProof/>
              </w:rPr>
              <w:tab/>
            </w:r>
            <w:r>
              <w:rPr>
                <w:noProof/>
              </w:rPr>
              <w:fldChar w:fldCharType="begin"/>
            </w:r>
            <w:r>
              <w:rPr>
                <w:noProof/>
              </w:rPr>
              <w:instrText xml:space="preserve"> PAGEREF _Toc228131614 \h </w:instrText>
            </w:r>
            <w:r>
              <w:rPr>
                <w:noProof/>
              </w:rPr>
            </w:r>
            <w:r>
              <w:rPr>
                <w:noProof/>
              </w:rPr>
              <w:fldChar w:fldCharType="separate"/>
            </w:r>
            <w:r>
              <w:rPr>
                <w:noProof/>
              </w:rPr>
              <w:t>6</w:t>
            </w:r>
            <w:r>
              <w:rPr>
                <w:noProof/>
              </w:rPr>
              <w:fldChar w:fldCharType="end"/>
            </w:r>
          </w:hyperlink>
        </w:p>
        <w:p w14:paraId="659C3573" w14:textId="77777777" w:rsidR="00857A6E" w:rsidRDefault="00857A6E">
          <w:pPr>
            <w:pStyle w:val="TOC1"/>
            <w:tabs>
              <w:tab w:val="right" w:leader="dot" w:pos="9350"/>
            </w:tabs>
            <w:rPr>
              <w:noProof/>
            </w:rPr>
          </w:pPr>
          <w:hyperlink w:anchor="_Toc228131615" w:history="1">
            <w:r w:rsidRPr="001E19F5">
              <w:rPr>
                <w:rStyle w:val="Hyperlink"/>
                <w:noProof/>
              </w:rPr>
              <w:t>Section 2 — The ISDA Document Hierarchy</w:t>
            </w:r>
            <w:r>
              <w:rPr>
                <w:noProof/>
              </w:rPr>
              <w:tab/>
            </w:r>
            <w:r>
              <w:rPr>
                <w:noProof/>
              </w:rPr>
              <w:fldChar w:fldCharType="begin"/>
            </w:r>
            <w:r>
              <w:rPr>
                <w:noProof/>
              </w:rPr>
              <w:instrText xml:space="preserve"> PAGEREF _Toc228131615 \h </w:instrText>
            </w:r>
            <w:r>
              <w:rPr>
                <w:noProof/>
              </w:rPr>
            </w:r>
            <w:r>
              <w:rPr>
                <w:noProof/>
              </w:rPr>
              <w:fldChar w:fldCharType="separate"/>
            </w:r>
            <w:r>
              <w:rPr>
                <w:noProof/>
              </w:rPr>
              <w:t>7</w:t>
            </w:r>
            <w:r>
              <w:rPr>
                <w:noProof/>
              </w:rPr>
              <w:fldChar w:fldCharType="end"/>
            </w:r>
          </w:hyperlink>
        </w:p>
        <w:p w14:paraId="34BB61B6" w14:textId="77777777" w:rsidR="00857A6E" w:rsidRDefault="00857A6E">
          <w:pPr>
            <w:pStyle w:val="TOC2"/>
            <w:tabs>
              <w:tab w:val="right" w:leader="dot" w:pos="9350"/>
            </w:tabs>
            <w:rPr>
              <w:noProof/>
            </w:rPr>
          </w:pPr>
          <w:hyperlink w:anchor="_Toc228131616" w:history="1">
            <w:r w:rsidRPr="001E19F5">
              <w:rPr>
                <w:rStyle w:val="Hyperlink"/>
                <w:noProof/>
              </w:rPr>
              <w:t>2.1  The Three-Layer Stack</w:t>
            </w:r>
            <w:r>
              <w:rPr>
                <w:noProof/>
              </w:rPr>
              <w:tab/>
            </w:r>
            <w:r>
              <w:rPr>
                <w:noProof/>
              </w:rPr>
              <w:fldChar w:fldCharType="begin"/>
            </w:r>
            <w:r>
              <w:rPr>
                <w:noProof/>
              </w:rPr>
              <w:instrText xml:space="preserve"> PAGEREF _Toc228131616 \h </w:instrText>
            </w:r>
            <w:r>
              <w:rPr>
                <w:noProof/>
              </w:rPr>
            </w:r>
            <w:r>
              <w:rPr>
                <w:noProof/>
              </w:rPr>
              <w:fldChar w:fldCharType="separate"/>
            </w:r>
            <w:r>
              <w:rPr>
                <w:noProof/>
              </w:rPr>
              <w:t>7</w:t>
            </w:r>
            <w:r>
              <w:rPr>
                <w:noProof/>
              </w:rPr>
              <w:fldChar w:fldCharType="end"/>
            </w:r>
          </w:hyperlink>
        </w:p>
        <w:p w14:paraId="13A040F0" w14:textId="77777777" w:rsidR="00857A6E" w:rsidRDefault="00857A6E">
          <w:pPr>
            <w:pStyle w:val="TOC2"/>
            <w:tabs>
              <w:tab w:val="right" w:leader="dot" w:pos="9350"/>
            </w:tabs>
            <w:rPr>
              <w:noProof/>
            </w:rPr>
          </w:pPr>
          <w:hyperlink w:anchor="_Toc228131617" w:history="1">
            <w:r w:rsidRPr="001E19F5">
              <w:rPr>
                <w:rStyle w:val="Hyperlink"/>
                <w:noProof/>
              </w:rPr>
              <w:t>2.2  Dependency Rules — What Can Exist Without What</w:t>
            </w:r>
            <w:r>
              <w:rPr>
                <w:noProof/>
              </w:rPr>
              <w:tab/>
            </w:r>
            <w:r>
              <w:rPr>
                <w:noProof/>
              </w:rPr>
              <w:fldChar w:fldCharType="begin"/>
            </w:r>
            <w:r>
              <w:rPr>
                <w:noProof/>
              </w:rPr>
              <w:instrText xml:space="preserve"> PAGEREF _Toc228131617 \h </w:instrText>
            </w:r>
            <w:r>
              <w:rPr>
                <w:noProof/>
              </w:rPr>
            </w:r>
            <w:r>
              <w:rPr>
                <w:noProof/>
              </w:rPr>
              <w:fldChar w:fldCharType="separate"/>
            </w:r>
            <w:r>
              <w:rPr>
                <w:noProof/>
              </w:rPr>
              <w:t>7</w:t>
            </w:r>
            <w:r>
              <w:rPr>
                <w:noProof/>
              </w:rPr>
              <w:fldChar w:fldCharType="end"/>
            </w:r>
          </w:hyperlink>
        </w:p>
        <w:p w14:paraId="05E7E50C" w14:textId="77777777" w:rsidR="00857A6E" w:rsidRDefault="00857A6E">
          <w:pPr>
            <w:pStyle w:val="TOC2"/>
            <w:tabs>
              <w:tab w:val="right" w:leader="dot" w:pos="9350"/>
            </w:tabs>
            <w:rPr>
              <w:noProof/>
            </w:rPr>
          </w:pPr>
          <w:hyperlink w:anchor="_Toc228131618" w:history="1">
            <w:r w:rsidRPr="001E19F5">
              <w:rPr>
                <w:rStyle w:val="Hyperlink"/>
                <w:noProof/>
              </w:rPr>
              <w:t>2.3  Annotated Hierarchy — Key Clauses by Layer</w:t>
            </w:r>
            <w:r>
              <w:rPr>
                <w:noProof/>
              </w:rPr>
              <w:tab/>
            </w:r>
            <w:r>
              <w:rPr>
                <w:noProof/>
              </w:rPr>
              <w:fldChar w:fldCharType="begin"/>
            </w:r>
            <w:r>
              <w:rPr>
                <w:noProof/>
              </w:rPr>
              <w:instrText xml:space="preserve"> PAGEREF _Toc228131618 \h </w:instrText>
            </w:r>
            <w:r>
              <w:rPr>
                <w:noProof/>
              </w:rPr>
            </w:r>
            <w:r>
              <w:rPr>
                <w:noProof/>
              </w:rPr>
              <w:fldChar w:fldCharType="separate"/>
            </w:r>
            <w:r>
              <w:rPr>
                <w:noProof/>
              </w:rPr>
              <w:t>8</w:t>
            </w:r>
            <w:r>
              <w:rPr>
                <w:noProof/>
              </w:rPr>
              <w:fldChar w:fldCharType="end"/>
            </w:r>
          </w:hyperlink>
        </w:p>
        <w:p w14:paraId="2C4AB721" w14:textId="77777777" w:rsidR="00857A6E" w:rsidRDefault="00857A6E">
          <w:pPr>
            <w:pStyle w:val="TOC3"/>
            <w:tabs>
              <w:tab w:val="right" w:leader="dot" w:pos="9350"/>
            </w:tabs>
            <w:rPr>
              <w:noProof/>
            </w:rPr>
          </w:pPr>
          <w:hyperlink w:anchor="_Toc228131619" w:history="1">
            <w:r w:rsidRPr="001E19F5">
              <w:rPr>
                <w:rStyle w:val="Hyperlink"/>
                <w:noProof/>
              </w:rPr>
              <w:t>Master Agreement Clauses</w:t>
            </w:r>
            <w:r>
              <w:rPr>
                <w:noProof/>
              </w:rPr>
              <w:tab/>
            </w:r>
            <w:r>
              <w:rPr>
                <w:noProof/>
              </w:rPr>
              <w:fldChar w:fldCharType="begin"/>
            </w:r>
            <w:r>
              <w:rPr>
                <w:noProof/>
              </w:rPr>
              <w:instrText xml:space="preserve"> PAGEREF _Toc228131619 \h </w:instrText>
            </w:r>
            <w:r>
              <w:rPr>
                <w:noProof/>
              </w:rPr>
            </w:r>
            <w:r>
              <w:rPr>
                <w:noProof/>
              </w:rPr>
              <w:fldChar w:fldCharType="separate"/>
            </w:r>
            <w:r>
              <w:rPr>
                <w:noProof/>
              </w:rPr>
              <w:t>8</w:t>
            </w:r>
            <w:r>
              <w:rPr>
                <w:noProof/>
              </w:rPr>
              <w:fldChar w:fldCharType="end"/>
            </w:r>
          </w:hyperlink>
        </w:p>
        <w:p w14:paraId="4960488D" w14:textId="77777777" w:rsidR="00857A6E" w:rsidRDefault="00857A6E">
          <w:pPr>
            <w:pStyle w:val="TOC3"/>
            <w:tabs>
              <w:tab w:val="right" w:leader="dot" w:pos="9350"/>
            </w:tabs>
            <w:rPr>
              <w:noProof/>
            </w:rPr>
          </w:pPr>
          <w:hyperlink w:anchor="_Toc228131620" w:history="1">
            <w:r w:rsidRPr="001E19F5">
              <w:rPr>
                <w:rStyle w:val="Hyperlink"/>
                <w:noProof/>
              </w:rPr>
              <w:t>Schedule Clauses (Elections)</w:t>
            </w:r>
            <w:r>
              <w:rPr>
                <w:noProof/>
              </w:rPr>
              <w:tab/>
            </w:r>
            <w:r>
              <w:rPr>
                <w:noProof/>
              </w:rPr>
              <w:fldChar w:fldCharType="begin"/>
            </w:r>
            <w:r>
              <w:rPr>
                <w:noProof/>
              </w:rPr>
              <w:instrText xml:space="preserve"> PAGEREF _Toc228131620 \h </w:instrText>
            </w:r>
            <w:r>
              <w:rPr>
                <w:noProof/>
              </w:rPr>
            </w:r>
            <w:r>
              <w:rPr>
                <w:noProof/>
              </w:rPr>
              <w:fldChar w:fldCharType="separate"/>
            </w:r>
            <w:r>
              <w:rPr>
                <w:noProof/>
              </w:rPr>
              <w:t>8</w:t>
            </w:r>
            <w:r>
              <w:rPr>
                <w:noProof/>
              </w:rPr>
              <w:fldChar w:fldCharType="end"/>
            </w:r>
          </w:hyperlink>
        </w:p>
        <w:p w14:paraId="0DCC21B7" w14:textId="77777777" w:rsidR="00857A6E" w:rsidRDefault="00857A6E">
          <w:pPr>
            <w:pStyle w:val="TOC3"/>
            <w:tabs>
              <w:tab w:val="right" w:leader="dot" w:pos="9350"/>
            </w:tabs>
            <w:rPr>
              <w:noProof/>
            </w:rPr>
          </w:pPr>
          <w:hyperlink w:anchor="_Toc228131621" w:history="1">
            <w:r w:rsidRPr="001E19F5">
              <w:rPr>
                <w:rStyle w:val="Hyperlink"/>
                <w:noProof/>
              </w:rPr>
              <w:t>CSA Clauses</w:t>
            </w:r>
            <w:r>
              <w:rPr>
                <w:noProof/>
              </w:rPr>
              <w:tab/>
            </w:r>
            <w:r>
              <w:rPr>
                <w:noProof/>
              </w:rPr>
              <w:fldChar w:fldCharType="begin"/>
            </w:r>
            <w:r>
              <w:rPr>
                <w:noProof/>
              </w:rPr>
              <w:instrText xml:space="preserve"> PAGEREF _Toc228131621 \h </w:instrText>
            </w:r>
            <w:r>
              <w:rPr>
                <w:noProof/>
              </w:rPr>
            </w:r>
            <w:r>
              <w:rPr>
                <w:noProof/>
              </w:rPr>
              <w:fldChar w:fldCharType="separate"/>
            </w:r>
            <w:r>
              <w:rPr>
                <w:noProof/>
              </w:rPr>
              <w:t>9</w:t>
            </w:r>
            <w:r>
              <w:rPr>
                <w:noProof/>
              </w:rPr>
              <w:fldChar w:fldCharType="end"/>
            </w:r>
          </w:hyperlink>
        </w:p>
        <w:p w14:paraId="6B3630CF" w14:textId="77777777" w:rsidR="00857A6E" w:rsidRDefault="00857A6E">
          <w:pPr>
            <w:pStyle w:val="TOC2"/>
            <w:tabs>
              <w:tab w:val="right" w:leader="dot" w:pos="9350"/>
            </w:tabs>
            <w:rPr>
              <w:noProof/>
            </w:rPr>
          </w:pPr>
          <w:hyperlink w:anchor="_Toc228131622" w:history="1">
            <w:r w:rsidRPr="001E19F5">
              <w:rPr>
                <w:rStyle w:val="Hyperlink"/>
                <w:noProof/>
              </w:rPr>
              <w:t>2.4  Governing Law — English vs New York</w:t>
            </w:r>
            <w:r>
              <w:rPr>
                <w:noProof/>
              </w:rPr>
              <w:tab/>
            </w:r>
            <w:r>
              <w:rPr>
                <w:noProof/>
              </w:rPr>
              <w:fldChar w:fldCharType="begin"/>
            </w:r>
            <w:r>
              <w:rPr>
                <w:noProof/>
              </w:rPr>
              <w:instrText xml:space="preserve"> PAGEREF _Toc228131622 \h </w:instrText>
            </w:r>
            <w:r>
              <w:rPr>
                <w:noProof/>
              </w:rPr>
            </w:r>
            <w:r>
              <w:rPr>
                <w:noProof/>
              </w:rPr>
              <w:fldChar w:fldCharType="separate"/>
            </w:r>
            <w:r>
              <w:rPr>
                <w:noProof/>
              </w:rPr>
              <w:t>9</w:t>
            </w:r>
            <w:r>
              <w:rPr>
                <w:noProof/>
              </w:rPr>
              <w:fldChar w:fldCharType="end"/>
            </w:r>
          </w:hyperlink>
        </w:p>
        <w:p w14:paraId="18FB7268" w14:textId="77777777" w:rsidR="00857A6E" w:rsidRDefault="00857A6E">
          <w:pPr>
            <w:pStyle w:val="TOC1"/>
            <w:tabs>
              <w:tab w:val="right" w:leader="dot" w:pos="9350"/>
            </w:tabs>
            <w:rPr>
              <w:noProof/>
            </w:rPr>
          </w:pPr>
          <w:hyperlink w:anchor="_Toc228131623" w:history="1">
            <w:r w:rsidRPr="001E19F5">
              <w:rPr>
                <w:rStyle w:val="Hyperlink"/>
                <w:noProof/>
              </w:rPr>
              <w:t>Section 3 — ISDA Evolution: 1992 → 2002 → Current</w:t>
            </w:r>
            <w:r>
              <w:rPr>
                <w:noProof/>
              </w:rPr>
              <w:tab/>
            </w:r>
            <w:r>
              <w:rPr>
                <w:noProof/>
              </w:rPr>
              <w:fldChar w:fldCharType="begin"/>
            </w:r>
            <w:r>
              <w:rPr>
                <w:noProof/>
              </w:rPr>
              <w:instrText xml:space="preserve"> PAGEREF _Toc228131623 \h </w:instrText>
            </w:r>
            <w:r>
              <w:rPr>
                <w:noProof/>
              </w:rPr>
            </w:r>
            <w:r>
              <w:rPr>
                <w:noProof/>
              </w:rPr>
              <w:fldChar w:fldCharType="separate"/>
            </w:r>
            <w:r>
              <w:rPr>
                <w:noProof/>
              </w:rPr>
              <w:t>10</w:t>
            </w:r>
            <w:r>
              <w:rPr>
                <w:noProof/>
              </w:rPr>
              <w:fldChar w:fldCharType="end"/>
            </w:r>
          </w:hyperlink>
        </w:p>
        <w:p w14:paraId="0160C758" w14:textId="77777777" w:rsidR="00857A6E" w:rsidRDefault="00857A6E">
          <w:pPr>
            <w:pStyle w:val="TOC2"/>
            <w:tabs>
              <w:tab w:val="right" w:leader="dot" w:pos="9350"/>
            </w:tabs>
            <w:rPr>
              <w:noProof/>
            </w:rPr>
          </w:pPr>
          <w:hyperlink w:anchor="_Toc228131624" w:history="1">
            <w:r w:rsidRPr="001E19F5">
              <w:rPr>
                <w:rStyle w:val="Hyperlink"/>
                <w:noProof/>
              </w:rPr>
              <w:t>3.1  ISDA 1992 — The Original Framework</w:t>
            </w:r>
            <w:r>
              <w:rPr>
                <w:noProof/>
              </w:rPr>
              <w:tab/>
            </w:r>
            <w:r>
              <w:rPr>
                <w:noProof/>
              </w:rPr>
              <w:fldChar w:fldCharType="begin"/>
            </w:r>
            <w:r>
              <w:rPr>
                <w:noProof/>
              </w:rPr>
              <w:instrText xml:space="preserve"> PAGEREF _Toc228131624 \h </w:instrText>
            </w:r>
            <w:r>
              <w:rPr>
                <w:noProof/>
              </w:rPr>
            </w:r>
            <w:r>
              <w:rPr>
                <w:noProof/>
              </w:rPr>
              <w:fldChar w:fldCharType="separate"/>
            </w:r>
            <w:r>
              <w:rPr>
                <w:noProof/>
              </w:rPr>
              <w:t>10</w:t>
            </w:r>
            <w:r>
              <w:rPr>
                <w:noProof/>
              </w:rPr>
              <w:fldChar w:fldCharType="end"/>
            </w:r>
          </w:hyperlink>
        </w:p>
        <w:p w14:paraId="78CC19FC" w14:textId="77777777" w:rsidR="00857A6E" w:rsidRDefault="00857A6E">
          <w:pPr>
            <w:pStyle w:val="TOC3"/>
            <w:tabs>
              <w:tab w:val="right" w:leader="dot" w:pos="9350"/>
            </w:tabs>
            <w:rPr>
              <w:noProof/>
            </w:rPr>
          </w:pPr>
          <w:hyperlink w:anchor="_Toc228131625" w:history="1">
            <w:r w:rsidRPr="001E19F5">
              <w:rPr>
                <w:rStyle w:val="Hyperlink"/>
                <w:noProof/>
              </w:rPr>
              <w:t>Close-out Methodology: Market Quotation vs Loss</w:t>
            </w:r>
            <w:r>
              <w:rPr>
                <w:noProof/>
              </w:rPr>
              <w:tab/>
            </w:r>
            <w:r>
              <w:rPr>
                <w:noProof/>
              </w:rPr>
              <w:fldChar w:fldCharType="begin"/>
            </w:r>
            <w:r>
              <w:rPr>
                <w:noProof/>
              </w:rPr>
              <w:instrText xml:space="preserve"> PAGEREF _Toc228131625 \h </w:instrText>
            </w:r>
            <w:r>
              <w:rPr>
                <w:noProof/>
              </w:rPr>
            </w:r>
            <w:r>
              <w:rPr>
                <w:noProof/>
              </w:rPr>
              <w:fldChar w:fldCharType="separate"/>
            </w:r>
            <w:r>
              <w:rPr>
                <w:noProof/>
              </w:rPr>
              <w:t>10</w:t>
            </w:r>
            <w:r>
              <w:rPr>
                <w:noProof/>
              </w:rPr>
              <w:fldChar w:fldCharType="end"/>
            </w:r>
          </w:hyperlink>
        </w:p>
        <w:p w14:paraId="490DE065" w14:textId="77777777" w:rsidR="00857A6E" w:rsidRDefault="00857A6E">
          <w:pPr>
            <w:pStyle w:val="TOC3"/>
            <w:tabs>
              <w:tab w:val="right" w:leader="dot" w:pos="9350"/>
            </w:tabs>
            <w:rPr>
              <w:noProof/>
            </w:rPr>
          </w:pPr>
          <w:hyperlink w:anchor="_Toc228131626" w:history="1">
            <w:r w:rsidRPr="001E19F5">
              <w:rPr>
                <w:rStyle w:val="Hyperlink"/>
                <w:noProof/>
              </w:rPr>
              <w:t>Settlement Currency</w:t>
            </w:r>
            <w:r>
              <w:rPr>
                <w:noProof/>
              </w:rPr>
              <w:tab/>
            </w:r>
            <w:r>
              <w:rPr>
                <w:noProof/>
              </w:rPr>
              <w:fldChar w:fldCharType="begin"/>
            </w:r>
            <w:r>
              <w:rPr>
                <w:noProof/>
              </w:rPr>
              <w:instrText xml:space="preserve"> PAGEREF _Toc228131626 \h </w:instrText>
            </w:r>
            <w:r>
              <w:rPr>
                <w:noProof/>
              </w:rPr>
            </w:r>
            <w:r>
              <w:rPr>
                <w:noProof/>
              </w:rPr>
              <w:fldChar w:fldCharType="separate"/>
            </w:r>
            <w:r>
              <w:rPr>
                <w:noProof/>
              </w:rPr>
              <w:t>10</w:t>
            </w:r>
            <w:r>
              <w:rPr>
                <w:noProof/>
              </w:rPr>
              <w:fldChar w:fldCharType="end"/>
            </w:r>
          </w:hyperlink>
        </w:p>
        <w:p w14:paraId="34664DD8" w14:textId="77777777" w:rsidR="00857A6E" w:rsidRDefault="00857A6E">
          <w:pPr>
            <w:pStyle w:val="TOC3"/>
            <w:tabs>
              <w:tab w:val="right" w:leader="dot" w:pos="9350"/>
            </w:tabs>
            <w:rPr>
              <w:noProof/>
            </w:rPr>
          </w:pPr>
          <w:hyperlink w:anchor="_Toc228131627" w:history="1">
            <w:r w:rsidRPr="001E19F5">
              <w:rPr>
                <w:rStyle w:val="Hyperlink"/>
                <w:noProof/>
              </w:rPr>
              <w:t>Two-Method Problem</w:t>
            </w:r>
            <w:r>
              <w:rPr>
                <w:noProof/>
              </w:rPr>
              <w:tab/>
            </w:r>
            <w:r>
              <w:rPr>
                <w:noProof/>
              </w:rPr>
              <w:fldChar w:fldCharType="begin"/>
            </w:r>
            <w:r>
              <w:rPr>
                <w:noProof/>
              </w:rPr>
              <w:instrText xml:space="preserve"> PAGEREF _Toc228131627 \h </w:instrText>
            </w:r>
            <w:r>
              <w:rPr>
                <w:noProof/>
              </w:rPr>
            </w:r>
            <w:r>
              <w:rPr>
                <w:noProof/>
              </w:rPr>
              <w:fldChar w:fldCharType="separate"/>
            </w:r>
            <w:r>
              <w:rPr>
                <w:noProof/>
              </w:rPr>
              <w:t>10</w:t>
            </w:r>
            <w:r>
              <w:rPr>
                <w:noProof/>
              </w:rPr>
              <w:fldChar w:fldCharType="end"/>
            </w:r>
          </w:hyperlink>
        </w:p>
        <w:p w14:paraId="53C5386D" w14:textId="77777777" w:rsidR="00857A6E" w:rsidRDefault="00857A6E">
          <w:pPr>
            <w:pStyle w:val="TOC2"/>
            <w:tabs>
              <w:tab w:val="right" w:leader="dot" w:pos="9350"/>
            </w:tabs>
            <w:rPr>
              <w:noProof/>
            </w:rPr>
          </w:pPr>
          <w:hyperlink w:anchor="_Toc228131628" w:history="1">
            <w:r w:rsidRPr="001E19F5">
              <w:rPr>
                <w:rStyle w:val="Hyperlink"/>
                <w:noProof/>
              </w:rPr>
              <w:t>3.2  The Lehman Stress Test (2008)</w:t>
            </w:r>
            <w:r>
              <w:rPr>
                <w:noProof/>
              </w:rPr>
              <w:tab/>
            </w:r>
            <w:r>
              <w:rPr>
                <w:noProof/>
              </w:rPr>
              <w:fldChar w:fldCharType="begin"/>
            </w:r>
            <w:r>
              <w:rPr>
                <w:noProof/>
              </w:rPr>
              <w:instrText xml:space="preserve"> PAGEREF _Toc228131628 \h </w:instrText>
            </w:r>
            <w:r>
              <w:rPr>
                <w:noProof/>
              </w:rPr>
            </w:r>
            <w:r>
              <w:rPr>
                <w:noProof/>
              </w:rPr>
              <w:fldChar w:fldCharType="separate"/>
            </w:r>
            <w:r>
              <w:rPr>
                <w:noProof/>
              </w:rPr>
              <w:t>11</w:t>
            </w:r>
            <w:r>
              <w:rPr>
                <w:noProof/>
              </w:rPr>
              <w:fldChar w:fldCharType="end"/>
            </w:r>
          </w:hyperlink>
        </w:p>
        <w:p w14:paraId="50128916" w14:textId="77777777" w:rsidR="00857A6E" w:rsidRDefault="00857A6E">
          <w:pPr>
            <w:pStyle w:val="TOC2"/>
            <w:tabs>
              <w:tab w:val="right" w:leader="dot" w:pos="9350"/>
            </w:tabs>
            <w:rPr>
              <w:noProof/>
            </w:rPr>
          </w:pPr>
          <w:hyperlink w:anchor="_Toc228131629" w:history="1">
            <w:r w:rsidRPr="001E19F5">
              <w:rPr>
                <w:rStyle w:val="Hyperlink"/>
                <w:noProof/>
              </w:rPr>
              <w:t>3.3  ISDA 2002 — The Redesign</w:t>
            </w:r>
            <w:r>
              <w:rPr>
                <w:noProof/>
              </w:rPr>
              <w:tab/>
            </w:r>
            <w:r>
              <w:rPr>
                <w:noProof/>
              </w:rPr>
              <w:fldChar w:fldCharType="begin"/>
            </w:r>
            <w:r>
              <w:rPr>
                <w:noProof/>
              </w:rPr>
              <w:instrText xml:space="preserve"> PAGEREF _Toc228131629 \h </w:instrText>
            </w:r>
            <w:r>
              <w:rPr>
                <w:noProof/>
              </w:rPr>
            </w:r>
            <w:r>
              <w:rPr>
                <w:noProof/>
              </w:rPr>
              <w:fldChar w:fldCharType="separate"/>
            </w:r>
            <w:r>
              <w:rPr>
                <w:noProof/>
              </w:rPr>
              <w:t>11</w:t>
            </w:r>
            <w:r>
              <w:rPr>
                <w:noProof/>
              </w:rPr>
              <w:fldChar w:fldCharType="end"/>
            </w:r>
          </w:hyperlink>
        </w:p>
        <w:p w14:paraId="7221E283" w14:textId="77777777" w:rsidR="00857A6E" w:rsidRDefault="00857A6E">
          <w:pPr>
            <w:pStyle w:val="TOC3"/>
            <w:tabs>
              <w:tab w:val="right" w:leader="dot" w:pos="9350"/>
            </w:tabs>
            <w:rPr>
              <w:noProof/>
            </w:rPr>
          </w:pPr>
          <w:hyperlink w:anchor="_Toc228131630" w:history="1">
            <w:r w:rsidRPr="001E19F5">
              <w:rPr>
                <w:rStyle w:val="Hyperlink"/>
                <w:noProof/>
              </w:rPr>
              <w:t>Single Close-out Amount</w:t>
            </w:r>
            <w:r>
              <w:rPr>
                <w:noProof/>
              </w:rPr>
              <w:tab/>
            </w:r>
            <w:r>
              <w:rPr>
                <w:noProof/>
              </w:rPr>
              <w:fldChar w:fldCharType="begin"/>
            </w:r>
            <w:r>
              <w:rPr>
                <w:noProof/>
              </w:rPr>
              <w:instrText xml:space="preserve"> PAGEREF _Toc228131630 \h </w:instrText>
            </w:r>
            <w:r>
              <w:rPr>
                <w:noProof/>
              </w:rPr>
            </w:r>
            <w:r>
              <w:rPr>
                <w:noProof/>
              </w:rPr>
              <w:fldChar w:fldCharType="separate"/>
            </w:r>
            <w:r>
              <w:rPr>
                <w:noProof/>
              </w:rPr>
              <w:t>11</w:t>
            </w:r>
            <w:r>
              <w:rPr>
                <w:noProof/>
              </w:rPr>
              <w:fldChar w:fldCharType="end"/>
            </w:r>
          </w:hyperlink>
        </w:p>
        <w:p w14:paraId="18FBAD69" w14:textId="77777777" w:rsidR="00857A6E" w:rsidRDefault="00857A6E">
          <w:pPr>
            <w:pStyle w:val="TOC3"/>
            <w:tabs>
              <w:tab w:val="right" w:leader="dot" w:pos="9350"/>
            </w:tabs>
            <w:rPr>
              <w:noProof/>
            </w:rPr>
          </w:pPr>
          <w:hyperlink w:anchor="_Toc228131631" w:history="1">
            <w:r w:rsidRPr="001E19F5">
              <w:rPr>
                <w:rStyle w:val="Hyperlink"/>
                <w:noProof/>
              </w:rPr>
              <w:t>Force Majeure Termination Event</w:t>
            </w:r>
            <w:r>
              <w:rPr>
                <w:noProof/>
              </w:rPr>
              <w:tab/>
            </w:r>
            <w:r>
              <w:rPr>
                <w:noProof/>
              </w:rPr>
              <w:fldChar w:fldCharType="begin"/>
            </w:r>
            <w:r>
              <w:rPr>
                <w:noProof/>
              </w:rPr>
              <w:instrText xml:space="preserve"> PAGEREF _Toc228131631 \h </w:instrText>
            </w:r>
            <w:r>
              <w:rPr>
                <w:noProof/>
              </w:rPr>
            </w:r>
            <w:r>
              <w:rPr>
                <w:noProof/>
              </w:rPr>
              <w:fldChar w:fldCharType="separate"/>
            </w:r>
            <w:r>
              <w:rPr>
                <w:noProof/>
              </w:rPr>
              <w:t>11</w:t>
            </w:r>
            <w:r>
              <w:rPr>
                <w:noProof/>
              </w:rPr>
              <w:fldChar w:fldCharType="end"/>
            </w:r>
          </w:hyperlink>
        </w:p>
        <w:p w14:paraId="0A384554" w14:textId="77777777" w:rsidR="00857A6E" w:rsidRDefault="00857A6E">
          <w:pPr>
            <w:pStyle w:val="TOC3"/>
            <w:tabs>
              <w:tab w:val="right" w:leader="dot" w:pos="9350"/>
            </w:tabs>
            <w:rPr>
              <w:noProof/>
            </w:rPr>
          </w:pPr>
          <w:hyperlink w:anchor="_Toc228131632" w:history="1">
            <w:r w:rsidRPr="001E19F5">
              <w:rPr>
                <w:rStyle w:val="Hyperlink"/>
                <w:noProof/>
              </w:rPr>
              <w:t>Payment Netting Enhancement</w:t>
            </w:r>
            <w:r>
              <w:rPr>
                <w:noProof/>
              </w:rPr>
              <w:tab/>
            </w:r>
            <w:r>
              <w:rPr>
                <w:noProof/>
              </w:rPr>
              <w:fldChar w:fldCharType="begin"/>
            </w:r>
            <w:r>
              <w:rPr>
                <w:noProof/>
              </w:rPr>
              <w:instrText xml:space="preserve"> PAGEREF _Toc228131632 \h </w:instrText>
            </w:r>
            <w:r>
              <w:rPr>
                <w:noProof/>
              </w:rPr>
            </w:r>
            <w:r>
              <w:rPr>
                <w:noProof/>
              </w:rPr>
              <w:fldChar w:fldCharType="separate"/>
            </w:r>
            <w:r>
              <w:rPr>
                <w:noProof/>
              </w:rPr>
              <w:t>11</w:t>
            </w:r>
            <w:r>
              <w:rPr>
                <w:noProof/>
              </w:rPr>
              <w:fldChar w:fldCharType="end"/>
            </w:r>
          </w:hyperlink>
        </w:p>
        <w:p w14:paraId="2BC85320" w14:textId="77777777" w:rsidR="00857A6E" w:rsidRDefault="00857A6E">
          <w:pPr>
            <w:pStyle w:val="TOC3"/>
            <w:tabs>
              <w:tab w:val="right" w:leader="dot" w:pos="9350"/>
            </w:tabs>
            <w:rPr>
              <w:noProof/>
            </w:rPr>
          </w:pPr>
          <w:hyperlink w:anchor="_Toc228131633" w:history="1">
            <w:r w:rsidRPr="001E19F5">
              <w:rPr>
                <w:rStyle w:val="Hyperlink"/>
                <w:noProof/>
              </w:rPr>
              <w:t>1992 vs 2002 — Key Differences</w:t>
            </w:r>
            <w:r>
              <w:rPr>
                <w:noProof/>
              </w:rPr>
              <w:tab/>
            </w:r>
            <w:r>
              <w:rPr>
                <w:noProof/>
              </w:rPr>
              <w:fldChar w:fldCharType="begin"/>
            </w:r>
            <w:r>
              <w:rPr>
                <w:noProof/>
              </w:rPr>
              <w:instrText xml:space="preserve"> PAGEREF _Toc228131633 \h </w:instrText>
            </w:r>
            <w:r>
              <w:rPr>
                <w:noProof/>
              </w:rPr>
            </w:r>
            <w:r>
              <w:rPr>
                <w:noProof/>
              </w:rPr>
              <w:fldChar w:fldCharType="separate"/>
            </w:r>
            <w:r>
              <w:rPr>
                <w:noProof/>
              </w:rPr>
              <w:t>12</w:t>
            </w:r>
            <w:r>
              <w:rPr>
                <w:noProof/>
              </w:rPr>
              <w:fldChar w:fldCharType="end"/>
            </w:r>
          </w:hyperlink>
        </w:p>
        <w:p w14:paraId="3F29C186" w14:textId="77777777" w:rsidR="00857A6E" w:rsidRDefault="00857A6E">
          <w:pPr>
            <w:pStyle w:val="TOC2"/>
            <w:tabs>
              <w:tab w:val="right" w:leader="dot" w:pos="9350"/>
            </w:tabs>
            <w:rPr>
              <w:noProof/>
            </w:rPr>
          </w:pPr>
          <w:hyperlink w:anchor="_Toc228131634" w:history="1">
            <w:r w:rsidRPr="001E19F5">
              <w:rPr>
                <w:rStyle w:val="Hyperlink"/>
                <w:noProof/>
              </w:rPr>
              <w:t>3.4  Post-2002 Protocols and Supplements</w:t>
            </w:r>
            <w:r>
              <w:rPr>
                <w:noProof/>
              </w:rPr>
              <w:tab/>
            </w:r>
            <w:r>
              <w:rPr>
                <w:noProof/>
              </w:rPr>
              <w:fldChar w:fldCharType="begin"/>
            </w:r>
            <w:r>
              <w:rPr>
                <w:noProof/>
              </w:rPr>
              <w:instrText xml:space="preserve"> PAGEREF _Toc228131634 \h </w:instrText>
            </w:r>
            <w:r>
              <w:rPr>
                <w:noProof/>
              </w:rPr>
            </w:r>
            <w:r>
              <w:rPr>
                <w:noProof/>
              </w:rPr>
              <w:fldChar w:fldCharType="separate"/>
            </w:r>
            <w:r>
              <w:rPr>
                <w:noProof/>
              </w:rPr>
              <w:t>12</w:t>
            </w:r>
            <w:r>
              <w:rPr>
                <w:noProof/>
              </w:rPr>
              <w:fldChar w:fldCharType="end"/>
            </w:r>
          </w:hyperlink>
        </w:p>
        <w:p w14:paraId="3FF215C9" w14:textId="77777777" w:rsidR="00857A6E" w:rsidRDefault="00857A6E">
          <w:pPr>
            <w:pStyle w:val="TOC1"/>
            <w:tabs>
              <w:tab w:val="right" w:leader="dot" w:pos="9350"/>
            </w:tabs>
            <w:rPr>
              <w:noProof/>
            </w:rPr>
          </w:pPr>
          <w:hyperlink w:anchor="_Toc228131635" w:history="1">
            <w:r w:rsidRPr="001E19F5">
              <w:rPr>
                <w:rStyle w:val="Hyperlink"/>
                <w:noProof/>
              </w:rPr>
              <w:t>Section 4 — Netting: Mechanics &amp; Legal Foundation</w:t>
            </w:r>
            <w:r>
              <w:rPr>
                <w:noProof/>
              </w:rPr>
              <w:tab/>
            </w:r>
            <w:r>
              <w:rPr>
                <w:noProof/>
              </w:rPr>
              <w:fldChar w:fldCharType="begin"/>
            </w:r>
            <w:r>
              <w:rPr>
                <w:noProof/>
              </w:rPr>
              <w:instrText xml:space="preserve"> PAGEREF _Toc228131635 \h </w:instrText>
            </w:r>
            <w:r>
              <w:rPr>
                <w:noProof/>
              </w:rPr>
            </w:r>
            <w:r>
              <w:rPr>
                <w:noProof/>
              </w:rPr>
              <w:fldChar w:fldCharType="separate"/>
            </w:r>
            <w:r>
              <w:rPr>
                <w:noProof/>
              </w:rPr>
              <w:t>14</w:t>
            </w:r>
            <w:r>
              <w:rPr>
                <w:noProof/>
              </w:rPr>
              <w:fldChar w:fldCharType="end"/>
            </w:r>
          </w:hyperlink>
        </w:p>
        <w:p w14:paraId="453A8D45" w14:textId="77777777" w:rsidR="00857A6E" w:rsidRDefault="00857A6E">
          <w:pPr>
            <w:pStyle w:val="TOC2"/>
            <w:tabs>
              <w:tab w:val="right" w:leader="dot" w:pos="9350"/>
            </w:tabs>
            <w:rPr>
              <w:noProof/>
            </w:rPr>
          </w:pPr>
          <w:hyperlink w:anchor="_Toc228131636" w:history="1">
            <w:r w:rsidRPr="001E19F5">
              <w:rPr>
                <w:rStyle w:val="Hyperlink"/>
                <w:noProof/>
              </w:rPr>
              <w:t>4.1  Payment Netting</w:t>
            </w:r>
            <w:r>
              <w:rPr>
                <w:noProof/>
              </w:rPr>
              <w:tab/>
            </w:r>
            <w:r>
              <w:rPr>
                <w:noProof/>
              </w:rPr>
              <w:fldChar w:fldCharType="begin"/>
            </w:r>
            <w:r>
              <w:rPr>
                <w:noProof/>
              </w:rPr>
              <w:instrText xml:space="preserve"> PAGEREF _Toc228131636 \h </w:instrText>
            </w:r>
            <w:r>
              <w:rPr>
                <w:noProof/>
              </w:rPr>
            </w:r>
            <w:r>
              <w:rPr>
                <w:noProof/>
              </w:rPr>
              <w:fldChar w:fldCharType="separate"/>
            </w:r>
            <w:r>
              <w:rPr>
                <w:noProof/>
              </w:rPr>
              <w:t>14</w:t>
            </w:r>
            <w:r>
              <w:rPr>
                <w:noProof/>
              </w:rPr>
              <w:fldChar w:fldCharType="end"/>
            </w:r>
          </w:hyperlink>
        </w:p>
        <w:p w14:paraId="724A7451" w14:textId="77777777" w:rsidR="00857A6E" w:rsidRDefault="00857A6E">
          <w:pPr>
            <w:pStyle w:val="TOC2"/>
            <w:tabs>
              <w:tab w:val="right" w:leader="dot" w:pos="9350"/>
            </w:tabs>
            <w:rPr>
              <w:noProof/>
            </w:rPr>
          </w:pPr>
          <w:hyperlink w:anchor="_Toc228131637" w:history="1">
            <w:r w:rsidRPr="001E19F5">
              <w:rPr>
                <w:rStyle w:val="Hyperlink"/>
                <w:noProof/>
              </w:rPr>
              <w:t>4.2  Close-out Netting</w:t>
            </w:r>
            <w:r>
              <w:rPr>
                <w:noProof/>
              </w:rPr>
              <w:tab/>
            </w:r>
            <w:r>
              <w:rPr>
                <w:noProof/>
              </w:rPr>
              <w:fldChar w:fldCharType="begin"/>
            </w:r>
            <w:r>
              <w:rPr>
                <w:noProof/>
              </w:rPr>
              <w:instrText xml:space="preserve"> PAGEREF _Toc228131637 \h </w:instrText>
            </w:r>
            <w:r>
              <w:rPr>
                <w:noProof/>
              </w:rPr>
            </w:r>
            <w:r>
              <w:rPr>
                <w:noProof/>
              </w:rPr>
              <w:fldChar w:fldCharType="separate"/>
            </w:r>
            <w:r>
              <w:rPr>
                <w:noProof/>
              </w:rPr>
              <w:t>14</w:t>
            </w:r>
            <w:r>
              <w:rPr>
                <w:noProof/>
              </w:rPr>
              <w:fldChar w:fldCharType="end"/>
            </w:r>
          </w:hyperlink>
        </w:p>
        <w:p w14:paraId="2D5D48FA" w14:textId="77777777" w:rsidR="00857A6E" w:rsidRDefault="00857A6E">
          <w:pPr>
            <w:pStyle w:val="TOC2"/>
            <w:tabs>
              <w:tab w:val="right" w:leader="dot" w:pos="9350"/>
            </w:tabs>
            <w:rPr>
              <w:noProof/>
            </w:rPr>
          </w:pPr>
          <w:hyperlink w:anchor="_Toc228131638" w:history="1">
            <w:r w:rsidRPr="001E19F5">
              <w:rPr>
                <w:rStyle w:val="Hyperlink"/>
                <w:noProof/>
              </w:rPr>
              <w:t>4.3  Portfolio Netting</w:t>
            </w:r>
            <w:r>
              <w:rPr>
                <w:noProof/>
              </w:rPr>
              <w:tab/>
            </w:r>
            <w:r>
              <w:rPr>
                <w:noProof/>
              </w:rPr>
              <w:fldChar w:fldCharType="begin"/>
            </w:r>
            <w:r>
              <w:rPr>
                <w:noProof/>
              </w:rPr>
              <w:instrText xml:space="preserve"> PAGEREF _Toc228131638 \h </w:instrText>
            </w:r>
            <w:r>
              <w:rPr>
                <w:noProof/>
              </w:rPr>
            </w:r>
            <w:r>
              <w:rPr>
                <w:noProof/>
              </w:rPr>
              <w:fldChar w:fldCharType="separate"/>
            </w:r>
            <w:r>
              <w:rPr>
                <w:noProof/>
              </w:rPr>
              <w:t>14</w:t>
            </w:r>
            <w:r>
              <w:rPr>
                <w:noProof/>
              </w:rPr>
              <w:fldChar w:fldCharType="end"/>
            </w:r>
          </w:hyperlink>
        </w:p>
        <w:p w14:paraId="6EC57AE8" w14:textId="77777777" w:rsidR="00857A6E" w:rsidRDefault="00857A6E">
          <w:pPr>
            <w:pStyle w:val="TOC2"/>
            <w:tabs>
              <w:tab w:val="right" w:leader="dot" w:pos="9350"/>
            </w:tabs>
            <w:rPr>
              <w:noProof/>
            </w:rPr>
          </w:pPr>
          <w:hyperlink w:anchor="_Toc228131639" w:history="1">
            <w:r w:rsidRPr="001E19F5">
              <w:rPr>
                <w:rStyle w:val="Hyperlink"/>
                <w:noProof/>
              </w:rPr>
              <w:t>4.4  The Netting Set — Construction and Regulatory Recognition</w:t>
            </w:r>
            <w:r>
              <w:rPr>
                <w:noProof/>
              </w:rPr>
              <w:tab/>
            </w:r>
            <w:r>
              <w:rPr>
                <w:noProof/>
              </w:rPr>
              <w:fldChar w:fldCharType="begin"/>
            </w:r>
            <w:r>
              <w:rPr>
                <w:noProof/>
              </w:rPr>
              <w:instrText xml:space="preserve"> PAGEREF _Toc228131639 \h </w:instrText>
            </w:r>
            <w:r>
              <w:rPr>
                <w:noProof/>
              </w:rPr>
            </w:r>
            <w:r>
              <w:rPr>
                <w:noProof/>
              </w:rPr>
              <w:fldChar w:fldCharType="separate"/>
            </w:r>
            <w:r>
              <w:rPr>
                <w:noProof/>
              </w:rPr>
              <w:t>15</w:t>
            </w:r>
            <w:r>
              <w:rPr>
                <w:noProof/>
              </w:rPr>
              <w:fldChar w:fldCharType="end"/>
            </w:r>
          </w:hyperlink>
        </w:p>
        <w:p w14:paraId="2908F930" w14:textId="77777777" w:rsidR="00857A6E" w:rsidRDefault="00857A6E">
          <w:pPr>
            <w:pStyle w:val="TOC2"/>
            <w:tabs>
              <w:tab w:val="right" w:leader="dot" w:pos="9350"/>
            </w:tabs>
            <w:rPr>
              <w:noProof/>
            </w:rPr>
          </w:pPr>
          <w:hyperlink w:anchor="_Toc228131640" w:history="1">
            <w:r w:rsidRPr="001E19F5">
              <w:rPr>
                <w:rStyle w:val="Hyperlink"/>
                <w:noProof/>
              </w:rPr>
              <w:t>4.5  Legal Enforceability — Why Netting Opinions Are Non-Negotiable</w:t>
            </w:r>
            <w:r>
              <w:rPr>
                <w:noProof/>
              </w:rPr>
              <w:tab/>
            </w:r>
            <w:r>
              <w:rPr>
                <w:noProof/>
              </w:rPr>
              <w:fldChar w:fldCharType="begin"/>
            </w:r>
            <w:r>
              <w:rPr>
                <w:noProof/>
              </w:rPr>
              <w:instrText xml:space="preserve"> PAGEREF _Toc228131640 \h </w:instrText>
            </w:r>
            <w:r>
              <w:rPr>
                <w:noProof/>
              </w:rPr>
            </w:r>
            <w:r>
              <w:rPr>
                <w:noProof/>
              </w:rPr>
              <w:fldChar w:fldCharType="separate"/>
            </w:r>
            <w:r>
              <w:rPr>
                <w:noProof/>
              </w:rPr>
              <w:t>15</w:t>
            </w:r>
            <w:r>
              <w:rPr>
                <w:noProof/>
              </w:rPr>
              <w:fldChar w:fldCharType="end"/>
            </w:r>
          </w:hyperlink>
        </w:p>
        <w:p w14:paraId="584C7749" w14:textId="77777777" w:rsidR="00857A6E" w:rsidRDefault="00857A6E">
          <w:pPr>
            <w:pStyle w:val="TOC2"/>
            <w:tabs>
              <w:tab w:val="right" w:leader="dot" w:pos="9350"/>
            </w:tabs>
            <w:rPr>
              <w:noProof/>
            </w:rPr>
          </w:pPr>
          <w:hyperlink w:anchor="_Toc228131641" w:history="1">
            <w:r w:rsidRPr="001E19F5">
              <w:rPr>
                <w:rStyle w:val="Hyperlink"/>
                <w:noProof/>
              </w:rPr>
              <w:t>4.6  Worked Illustration — Netting Benefit on a Five-Trade Portfolio</w:t>
            </w:r>
            <w:r>
              <w:rPr>
                <w:noProof/>
              </w:rPr>
              <w:tab/>
            </w:r>
            <w:r>
              <w:rPr>
                <w:noProof/>
              </w:rPr>
              <w:fldChar w:fldCharType="begin"/>
            </w:r>
            <w:r>
              <w:rPr>
                <w:noProof/>
              </w:rPr>
              <w:instrText xml:space="preserve"> PAGEREF _Toc228131641 \h </w:instrText>
            </w:r>
            <w:r>
              <w:rPr>
                <w:noProof/>
              </w:rPr>
            </w:r>
            <w:r>
              <w:rPr>
                <w:noProof/>
              </w:rPr>
              <w:fldChar w:fldCharType="separate"/>
            </w:r>
            <w:r>
              <w:rPr>
                <w:noProof/>
              </w:rPr>
              <w:t>16</w:t>
            </w:r>
            <w:r>
              <w:rPr>
                <w:noProof/>
              </w:rPr>
              <w:fldChar w:fldCharType="end"/>
            </w:r>
          </w:hyperlink>
        </w:p>
        <w:p w14:paraId="088904FD" w14:textId="77777777" w:rsidR="00857A6E" w:rsidRDefault="00857A6E">
          <w:pPr>
            <w:pStyle w:val="TOC1"/>
            <w:tabs>
              <w:tab w:val="right" w:leader="dot" w:pos="9350"/>
            </w:tabs>
            <w:rPr>
              <w:noProof/>
            </w:rPr>
          </w:pPr>
          <w:hyperlink w:anchor="_Toc228131642" w:history="1">
            <w:r w:rsidRPr="001E19F5">
              <w:rPr>
                <w:rStyle w:val="Hyperlink"/>
                <w:noProof/>
              </w:rPr>
              <w:t>Section 5 — Collateral: Variation Margin</w:t>
            </w:r>
            <w:r>
              <w:rPr>
                <w:noProof/>
              </w:rPr>
              <w:tab/>
            </w:r>
            <w:r>
              <w:rPr>
                <w:noProof/>
              </w:rPr>
              <w:fldChar w:fldCharType="begin"/>
            </w:r>
            <w:r>
              <w:rPr>
                <w:noProof/>
              </w:rPr>
              <w:instrText xml:space="preserve"> PAGEREF _Toc228131642 \h </w:instrText>
            </w:r>
            <w:r>
              <w:rPr>
                <w:noProof/>
              </w:rPr>
            </w:r>
            <w:r>
              <w:rPr>
                <w:noProof/>
              </w:rPr>
              <w:fldChar w:fldCharType="separate"/>
            </w:r>
            <w:r>
              <w:rPr>
                <w:noProof/>
              </w:rPr>
              <w:t>17</w:t>
            </w:r>
            <w:r>
              <w:rPr>
                <w:noProof/>
              </w:rPr>
              <w:fldChar w:fldCharType="end"/>
            </w:r>
          </w:hyperlink>
        </w:p>
        <w:p w14:paraId="0B910CBE" w14:textId="77777777" w:rsidR="00857A6E" w:rsidRDefault="00857A6E">
          <w:pPr>
            <w:pStyle w:val="TOC2"/>
            <w:tabs>
              <w:tab w:val="right" w:leader="dot" w:pos="9350"/>
            </w:tabs>
            <w:rPr>
              <w:noProof/>
            </w:rPr>
          </w:pPr>
          <w:hyperlink w:anchor="_Toc228131643" w:history="1">
            <w:r w:rsidRPr="001E19F5">
              <w:rPr>
                <w:rStyle w:val="Hyperlink"/>
                <w:noProof/>
              </w:rPr>
              <w:t>5.1  VM Purpose and Mechanics</w:t>
            </w:r>
            <w:r>
              <w:rPr>
                <w:noProof/>
              </w:rPr>
              <w:tab/>
            </w:r>
            <w:r>
              <w:rPr>
                <w:noProof/>
              </w:rPr>
              <w:fldChar w:fldCharType="begin"/>
            </w:r>
            <w:r>
              <w:rPr>
                <w:noProof/>
              </w:rPr>
              <w:instrText xml:space="preserve"> PAGEREF _Toc228131643 \h </w:instrText>
            </w:r>
            <w:r>
              <w:rPr>
                <w:noProof/>
              </w:rPr>
            </w:r>
            <w:r>
              <w:rPr>
                <w:noProof/>
              </w:rPr>
              <w:fldChar w:fldCharType="separate"/>
            </w:r>
            <w:r>
              <w:rPr>
                <w:noProof/>
              </w:rPr>
              <w:t>17</w:t>
            </w:r>
            <w:r>
              <w:rPr>
                <w:noProof/>
              </w:rPr>
              <w:fldChar w:fldCharType="end"/>
            </w:r>
          </w:hyperlink>
        </w:p>
        <w:p w14:paraId="56A29CA7" w14:textId="77777777" w:rsidR="00857A6E" w:rsidRDefault="00857A6E">
          <w:pPr>
            <w:pStyle w:val="TOC2"/>
            <w:tabs>
              <w:tab w:val="right" w:leader="dot" w:pos="9350"/>
            </w:tabs>
            <w:rPr>
              <w:noProof/>
            </w:rPr>
          </w:pPr>
          <w:hyperlink w:anchor="_Toc228131644" w:history="1">
            <w:r w:rsidRPr="001E19F5">
              <w:rPr>
                <w:rStyle w:val="Hyperlink"/>
                <w:noProof/>
              </w:rPr>
              <w:t>5.2  Eligible Assets and Haircuts</w:t>
            </w:r>
            <w:r>
              <w:rPr>
                <w:noProof/>
              </w:rPr>
              <w:tab/>
            </w:r>
            <w:r>
              <w:rPr>
                <w:noProof/>
              </w:rPr>
              <w:fldChar w:fldCharType="begin"/>
            </w:r>
            <w:r>
              <w:rPr>
                <w:noProof/>
              </w:rPr>
              <w:instrText xml:space="preserve"> PAGEREF _Toc228131644 \h </w:instrText>
            </w:r>
            <w:r>
              <w:rPr>
                <w:noProof/>
              </w:rPr>
            </w:r>
            <w:r>
              <w:rPr>
                <w:noProof/>
              </w:rPr>
              <w:fldChar w:fldCharType="separate"/>
            </w:r>
            <w:r>
              <w:rPr>
                <w:noProof/>
              </w:rPr>
              <w:t>17</w:t>
            </w:r>
            <w:r>
              <w:rPr>
                <w:noProof/>
              </w:rPr>
              <w:fldChar w:fldCharType="end"/>
            </w:r>
          </w:hyperlink>
        </w:p>
        <w:p w14:paraId="3760A562" w14:textId="77777777" w:rsidR="00857A6E" w:rsidRDefault="00857A6E">
          <w:pPr>
            <w:pStyle w:val="TOC2"/>
            <w:tabs>
              <w:tab w:val="right" w:leader="dot" w:pos="9350"/>
            </w:tabs>
            <w:rPr>
              <w:noProof/>
            </w:rPr>
          </w:pPr>
          <w:hyperlink w:anchor="_Toc228131645" w:history="1">
            <w:r w:rsidRPr="001E19F5">
              <w:rPr>
                <w:rStyle w:val="Hyperlink"/>
                <w:noProof/>
              </w:rPr>
              <w:t>5.3  VM Under a CSA vs Cleared Trades</w:t>
            </w:r>
            <w:r>
              <w:rPr>
                <w:noProof/>
              </w:rPr>
              <w:tab/>
            </w:r>
            <w:r>
              <w:rPr>
                <w:noProof/>
              </w:rPr>
              <w:fldChar w:fldCharType="begin"/>
            </w:r>
            <w:r>
              <w:rPr>
                <w:noProof/>
              </w:rPr>
              <w:instrText xml:space="preserve"> PAGEREF _Toc228131645 \h </w:instrText>
            </w:r>
            <w:r>
              <w:rPr>
                <w:noProof/>
              </w:rPr>
            </w:r>
            <w:r>
              <w:rPr>
                <w:noProof/>
              </w:rPr>
              <w:fldChar w:fldCharType="separate"/>
            </w:r>
            <w:r>
              <w:rPr>
                <w:noProof/>
              </w:rPr>
              <w:t>18</w:t>
            </w:r>
            <w:r>
              <w:rPr>
                <w:noProof/>
              </w:rPr>
              <w:fldChar w:fldCharType="end"/>
            </w:r>
          </w:hyperlink>
        </w:p>
        <w:p w14:paraId="11B57DF7" w14:textId="77777777" w:rsidR="00857A6E" w:rsidRDefault="00857A6E">
          <w:pPr>
            <w:pStyle w:val="TOC2"/>
            <w:tabs>
              <w:tab w:val="right" w:leader="dot" w:pos="9350"/>
            </w:tabs>
            <w:rPr>
              <w:noProof/>
            </w:rPr>
          </w:pPr>
          <w:hyperlink w:anchor="_Toc228131646" w:history="1">
            <w:r w:rsidRPr="001E19F5">
              <w:rPr>
                <w:rStyle w:val="Hyperlink"/>
                <w:noProof/>
              </w:rPr>
              <w:t>5.4  Threshold, MTA, and Residual Exposure</w:t>
            </w:r>
            <w:r>
              <w:rPr>
                <w:noProof/>
              </w:rPr>
              <w:tab/>
            </w:r>
            <w:r>
              <w:rPr>
                <w:noProof/>
              </w:rPr>
              <w:fldChar w:fldCharType="begin"/>
            </w:r>
            <w:r>
              <w:rPr>
                <w:noProof/>
              </w:rPr>
              <w:instrText xml:space="preserve"> PAGEREF _Toc228131646 \h </w:instrText>
            </w:r>
            <w:r>
              <w:rPr>
                <w:noProof/>
              </w:rPr>
            </w:r>
            <w:r>
              <w:rPr>
                <w:noProof/>
              </w:rPr>
              <w:fldChar w:fldCharType="separate"/>
            </w:r>
            <w:r>
              <w:rPr>
                <w:noProof/>
              </w:rPr>
              <w:t>18</w:t>
            </w:r>
            <w:r>
              <w:rPr>
                <w:noProof/>
              </w:rPr>
              <w:fldChar w:fldCharType="end"/>
            </w:r>
          </w:hyperlink>
        </w:p>
        <w:p w14:paraId="7AAE2CA4" w14:textId="77777777" w:rsidR="00857A6E" w:rsidRDefault="00857A6E">
          <w:pPr>
            <w:pStyle w:val="TOC2"/>
            <w:tabs>
              <w:tab w:val="right" w:leader="dot" w:pos="9350"/>
            </w:tabs>
            <w:rPr>
              <w:noProof/>
            </w:rPr>
          </w:pPr>
          <w:hyperlink w:anchor="_Toc228131647" w:history="1">
            <w:r w:rsidRPr="001E19F5">
              <w:rPr>
                <w:rStyle w:val="Hyperlink"/>
                <w:noProof/>
              </w:rPr>
              <w:t>5.5  VM Dispute Mechanics</w:t>
            </w:r>
            <w:r>
              <w:rPr>
                <w:noProof/>
              </w:rPr>
              <w:tab/>
            </w:r>
            <w:r>
              <w:rPr>
                <w:noProof/>
              </w:rPr>
              <w:fldChar w:fldCharType="begin"/>
            </w:r>
            <w:r>
              <w:rPr>
                <w:noProof/>
              </w:rPr>
              <w:instrText xml:space="preserve"> PAGEREF _Toc228131647 \h </w:instrText>
            </w:r>
            <w:r>
              <w:rPr>
                <w:noProof/>
              </w:rPr>
            </w:r>
            <w:r>
              <w:rPr>
                <w:noProof/>
              </w:rPr>
              <w:fldChar w:fldCharType="separate"/>
            </w:r>
            <w:r>
              <w:rPr>
                <w:noProof/>
              </w:rPr>
              <w:t>19</w:t>
            </w:r>
            <w:r>
              <w:rPr>
                <w:noProof/>
              </w:rPr>
              <w:fldChar w:fldCharType="end"/>
            </w:r>
          </w:hyperlink>
        </w:p>
        <w:p w14:paraId="06F38D76" w14:textId="77777777" w:rsidR="00857A6E" w:rsidRDefault="00857A6E">
          <w:pPr>
            <w:pStyle w:val="TOC1"/>
            <w:tabs>
              <w:tab w:val="right" w:leader="dot" w:pos="9350"/>
            </w:tabs>
            <w:rPr>
              <w:noProof/>
            </w:rPr>
          </w:pPr>
          <w:hyperlink w:anchor="_Toc228131648" w:history="1">
            <w:r w:rsidRPr="001E19F5">
              <w:rPr>
                <w:rStyle w:val="Hyperlink"/>
                <w:noProof/>
              </w:rPr>
              <w:t>Section 6 — Collateral: Initial Margin</w:t>
            </w:r>
            <w:r>
              <w:rPr>
                <w:noProof/>
              </w:rPr>
              <w:tab/>
            </w:r>
            <w:r>
              <w:rPr>
                <w:noProof/>
              </w:rPr>
              <w:fldChar w:fldCharType="begin"/>
            </w:r>
            <w:r>
              <w:rPr>
                <w:noProof/>
              </w:rPr>
              <w:instrText xml:space="preserve"> PAGEREF _Toc228131648 \h </w:instrText>
            </w:r>
            <w:r>
              <w:rPr>
                <w:noProof/>
              </w:rPr>
            </w:r>
            <w:r>
              <w:rPr>
                <w:noProof/>
              </w:rPr>
              <w:fldChar w:fldCharType="separate"/>
            </w:r>
            <w:r>
              <w:rPr>
                <w:noProof/>
              </w:rPr>
              <w:t>20</w:t>
            </w:r>
            <w:r>
              <w:rPr>
                <w:noProof/>
              </w:rPr>
              <w:fldChar w:fldCharType="end"/>
            </w:r>
          </w:hyperlink>
        </w:p>
        <w:p w14:paraId="4886A156" w14:textId="77777777" w:rsidR="00857A6E" w:rsidRDefault="00857A6E">
          <w:pPr>
            <w:pStyle w:val="TOC2"/>
            <w:tabs>
              <w:tab w:val="right" w:leader="dot" w:pos="9350"/>
            </w:tabs>
            <w:rPr>
              <w:noProof/>
            </w:rPr>
          </w:pPr>
          <w:hyperlink w:anchor="_Toc228131649" w:history="1">
            <w:r w:rsidRPr="001E19F5">
              <w:rPr>
                <w:rStyle w:val="Hyperlink"/>
                <w:noProof/>
              </w:rPr>
              <w:t>6.1  IM Purpose — The Buffer Against MPoR Exposure</w:t>
            </w:r>
            <w:r>
              <w:rPr>
                <w:noProof/>
              </w:rPr>
              <w:tab/>
            </w:r>
            <w:r>
              <w:rPr>
                <w:noProof/>
              </w:rPr>
              <w:fldChar w:fldCharType="begin"/>
            </w:r>
            <w:r>
              <w:rPr>
                <w:noProof/>
              </w:rPr>
              <w:instrText xml:space="preserve"> PAGEREF _Toc228131649 \h </w:instrText>
            </w:r>
            <w:r>
              <w:rPr>
                <w:noProof/>
              </w:rPr>
            </w:r>
            <w:r>
              <w:rPr>
                <w:noProof/>
              </w:rPr>
              <w:fldChar w:fldCharType="separate"/>
            </w:r>
            <w:r>
              <w:rPr>
                <w:noProof/>
              </w:rPr>
              <w:t>20</w:t>
            </w:r>
            <w:r>
              <w:rPr>
                <w:noProof/>
              </w:rPr>
              <w:fldChar w:fldCharType="end"/>
            </w:r>
          </w:hyperlink>
        </w:p>
        <w:p w14:paraId="6FE8464B" w14:textId="77777777" w:rsidR="00857A6E" w:rsidRDefault="00857A6E">
          <w:pPr>
            <w:pStyle w:val="TOC2"/>
            <w:tabs>
              <w:tab w:val="right" w:leader="dot" w:pos="9350"/>
            </w:tabs>
            <w:rPr>
              <w:noProof/>
            </w:rPr>
          </w:pPr>
          <w:hyperlink w:anchor="_Toc228131650" w:history="1">
            <w:r w:rsidRPr="001E19F5">
              <w:rPr>
                <w:rStyle w:val="Hyperlink"/>
                <w:noProof/>
              </w:rPr>
              <w:t>6.2  UMR Phase-In Recap</w:t>
            </w:r>
            <w:r>
              <w:rPr>
                <w:noProof/>
              </w:rPr>
              <w:tab/>
            </w:r>
            <w:r>
              <w:rPr>
                <w:noProof/>
              </w:rPr>
              <w:fldChar w:fldCharType="begin"/>
            </w:r>
            <w:r>
              <w:rPr>
                <w:noProof/>
              </w:rPr>
              <w:instrText xml:space="preserve"> PAGEREF _Toc228131650 \h </w:instrText>
            </w:r>
            <w:r>
              <w:rPr>
                <w:noProof/>
              </w:rPr>
            </w:r>
            <w:r>
              <w:rPr>
                <w:noProof/>
              </w:rPr>
              <w:fldChar w:fldCharType="separate"/>
            </w:r>
            <w:r>
              <w:rPr>
                <w:noProof/>
              </w:rPr>
              <w:t>20</w:t>
            </w:r>
            <w:r>
              <w:rPr>
                <w:noProof/>
              </w:rPr>
              <w:fldChar w:fldCharType="end"/>
            </w:r>
          </w:hyperlink>
        </w:p>
        <w:p w14:paraId="3CDD9439" w14:textId="77777777" w:rsidR="00857A6E" w:rsidRDefault="00857A6E">
          <w:pPr>
            <w:pStyle w:val="TOC2"/>
            <w:tabs>
              <w:tab w:val="right" w:leader="dot" w:pos="9350"/>
            </w:tabs>
            <w:rPr>
              <w:noProof/>
            </w:rPr>
          </w:pPr>
          <w:hyperlink w:anchor="_Toc228131651" w:history="1">
            <w:r w:rsidRPr="001E19F5">
              <w:rPr>
                <w:rStyle w:val="Hyperlink"/>
                <w:noProof/>
              </w:rPr>
              <w:t>6.3  SIMM — Sensitivity-Based IM Calculation</w:t>
            </w:r>
            <w:r>
              <w:rPr>
                <w:noProof/>
              </w:rPr>
              <w:tab/>
            </w:r>
            <w:r>
              <w:rPr>
                <w:noProof/>
              </w:rPr>
              <w:fldChar w:fldCharType="begin"/>
            </w:r>
            <w:r>
              <w:rPr>
                <w:noProof/>
              </w:rPr>
              <w:instrText xml:space="preserve"> PAGEREF _Toc228131651 \h </w:instrText>
            </w:r>
            <w:r>
              <w:rPr>
                <w:noProof/>
              </w:rPr>
            </w:r>
            <w:r>
              <w:rPr>
                <w:noProof/>
              </w:rPr>
              <w:fldChar w:fldCharType="separate"/>
            </w:r>
            <w:r>
              <w:rPr>
                <w:noProof/>
              </w:rPr>
              <w:t>21</w:t>
            </w:r>
            <w:r>
              <w:rPr>
                <w:noProof/>
              </w:rPr>
              <w:fldChar w:fldCharType="end"/>
            </w:r>
          </w:hyperlink>
        </w:p>
        <w:p w14:paraId="1B8C149E" w14:textId="77777777" w:rsidR="00857A6E" w:rsidRDefault="00857A6E">
          <w:pPr>
            <w:pStyle w:val="TOC2"/>
            <w:tabs>
              <w:tab w:val="right" w:leader="dot" w:pos="9350"/>
            </w:tabs>
            <w:rPr>
              <w:noProof/>
            </w:rPr>
          </w:pPr>
          <w:hyperlink w:anchor="_Toc228131652" w:history="1">
            <w:r w:rsidRPr="001E19F5">
              <w:rPr>
                <w:rStyle w:val="Hyperlink"/>
                <w:noProof/>
              </w:rPr>
              <w:t>6.4  Grid/Schedule Approach vs SIMM</w:t>
            </w:r>
            <w:r>
              <w:rPr>
                <w:noProof/>
              </w:rPr>
              <w:tab/>
            </w:r>
            <w:r>
              <w:rPr>
                <w:noProof/>
              </w:rPr>
              <w:fldChar w:fldCharType="begin"/>
            </w:r>
            <w:r>
              <w:rPr>
                <w:noProof/>
              </w:rPr>
              <w:instrText xml:space="preserve"> PAGEREF _Toc228131652 \h </w:instrText>
            </w:r>
            <w:r>
              <w:rPr>
                <w:noProof/>
              </w:rPr>
            </w:r>
            <w:r>
              <w:rPr>
                <w:noProof/>
              </w:rPr>
              <w:fldChar w:fldCharType="separate"/>
            </w:r>
            <w:r>
              <w:rPr>
                <w:noProof/>
              </w:rPr>
              <w:t>21</w:t>
            </w:r>
            <w:r>
              <w:rPr>
                <w:noProof/>
              </w:rPr>
              <w:fldChar w:fldCharType="end"/>
            </w:r>
          </w:hyperlink>
        </w:p>
        <w:p w14:paraId="67FFB6EE" w14:textId="77777777" w:rsidR="00857A6E" w:rsidRDefault="00857A6E">
          <w:pPr>
            <w:pStyle w:val="TOC2"/>
            <w:tabs>
              <w:tab w:val="right" w:leader="dot" w:pos="9350"/>
            </w:tabs>
            <w:rPr>
              <w:noProof/>
            </w:rPr>
          </w:pPr>
          <w:hyperlink w:anchor="_Toc228131653" w:history="1">
            <w:r w:rsidRPr="001E19F5">
              <w:rPr>
                <w:rStyle w:val="Hyperlink"/>
                <w:noProof/>
              </w:rPr>
              <w:t>6.5  Segregation and Rehypothecation of IM</w:t>
            </w:r>
            <w:r>
              <w:rPr>
                <w:noProof/>
              </w:rPr>
              <w:tab/>
            </w:r>
            <w:r>
              <w:rPr>
                <w:noProof/>
              </w:rPr>
              <w:fldChar w:fldCharType="begin"/>
            </w:r>
            <w:r>
              <w:rPr>
                <w:noProof/>
              </w:rPr>
              <w:instrText xml:space="preserve"> PAGEREF _Toc228131653 \h </w:instrText>
            </w:r>
            <w:r>
              <w:rPr>
                <w:noProof/>
              </w:rPr>
            </w:r>
            <w:r>
              <w:rPr>
                <w:noProof/>
              </w:rPr>
              <w:fldChar w:fldCharType="separate"/>
            </w:r>
            <w:r>
              <w:rPr>
                <w:noProof/>
              </w:rPr>
              <w:t>21</w:t>
            </w:r>
            <w:r>
              <w:rPr>
                <w:noProof/>
              </w:rPr>
              <w:fldChar w:fldCharType="end"/>
            </w:r>
          </w:hyperlink>
        </w:p>
        <w:p w14:paraId="5819B7E1" w14:textId="77777777" w:rsidR="00857A6E" w:rsidRDefault="00857A6E">
          <w:pPr>
            <w:pStyle w:val="TOC2"/>
            <w:tabs>
              <w:tab w:val="right" w:leader="dot" w:pos="9350"/>
            </w:tabs>
            <w:rPr>
              <w:noProof/>
            </w:rPr>
          </w:pPr>
          <w:hyperlink w:anchor="_Toc228131654" w:history="1">
            <w:r w:rsidRPr="001E19F5">
              <w:rPr>
                <w:rStyle w:val="Hyperlink"/>
                <w:noProof/>
              </w:rPr>
              <w:t>6.6  Margin Period of Risk</w:t>
            </w:r>
            <w:r>
              <w:rPr>
                <w:noProof/>
              </w:rPr>
              <w:tab/>
            </w:r>
            <w:r>
              <w:rPr>
                <w:noProof/>
              </w:rPr>
              <w:fldChar w:fldCharType="begin"/>
            </w:r>
            <w:r>
              <w:rPr>
                <w:noProof/>
              </w:rPr>
              <w:instrText xml:space="preserve"> PAGEREF _Toc228131654 \h </w:instrText>
            </w:r>
            <w:r>
              <w:rPr>
                <w:noProof/>
              </w:rPr>
            </w:r>
            <w:r>
              <w:rPr>
                <w:noProof/>
              </w:rPr>
              <w:fldChar w:fldCharType="separate"/>
            </w:r>
            <w:r>
              <w:rPr>
                <w:noProof/>
              </w:rPr>
              <w:t>22</w:t>
            </w:r>
            <w:r>
              <w:rPr>
                <w:noProof/>
              </w:rPr>
              <w:fldChar w:fldCharType="end"/>
            </w:r>
          </w:hyperlink>
        </w:p>
        <w:p w14:paraId="6DB01065" w14:textId="77777777" w:rsidR="00857A6E" w:rsidRDefault="00857A6E">
          <w:pPr>
            <w:pStyle w:val="TOC1"/>
            <w:tabs>
              <w:tab w:val="right" w:leader="dot" w:pos="9350"/>
            </w:tabs>
            <w:rPr>
              <w:noProof/>
            </w:rPr>
          </w:pPr>
          <w:hyperlink w:anchor="_Toc228131655" w:history="1">
            <w:r w:rsidRPr="001E19F5">
              <w:rPr>
                <w:rStyle w:val="Hyperlink"/>
                <w:noProof/>
              </w:rPr>
              <w:t>Section 7 — Rehypothecation</w:t>
            </w:r>
            <w:r>
              <w:rPr>
                <w:noProof/>
              </w:rPr>
              <w:tab/>
            </w:r>
            <w:r>
              <w:rPr>
                <w:noProof/>
              </w:rPr>
              <w:fldChar w:fldCharType="begin"/>
            </w:r>
            <w:r>
              <w:rPr>
                <w:noProof/>
              </w:rPr>
              <w:instrText xml:space="preserve"> PAGEREF _Toc228131655 \h </w:instrText>
            </w:r>
            <w:r>
              <w:rPr>
                <w:noProof/>
              </w:rPr>
            </w:r>
            <w:r>
              <w:rPr>
                <w:noProof/>
              </w:rPr>
              <w:fldChar w:fldCharType="separate"/>
            </w:r>
            <w:r>
              <w:rPr>
                <w:noProof/>
              </w:rPr>
              <w:t>23</w:t>
            </w:r>
            <w:r>
              <w:rPr>
                <w:noProof/>
              </w:rPr>
              <w:fldChar w:fldCharType="end"/>
            </w:r>
          </w:hyperlink>
        </w:p>
        <w:p w14:paraId="1671F4D8" w14:textId="77777777" w:rsidR="00857A6E" w:rsidRDefault="00857A6E">
          <w:pPr>
            <w:pStyle w:val="TOC2"/>
            <w:tabs>
              <w:tab w:val="right" w:leader="dot" w:pos="9350"/>
            </w:tabs>
            <w:rPr>
              <w:noProof/>
            </w:rPr>
          </w:pPr>
          <w:hyperlink w:anchor="_Toc228131656" w:history="1">
            <w:r w:rsidRPr="001E19F5">
              <w:rPr>
                <w:rStyle w:val="Hyperlink"/>
                <w:noProof/>
              </w:rPr>
              <w:t>7.1  Definition and Mechanics</w:t>
            </w:r>
            <w:r>
              <w:rPr>
                <w:noProof/>
              </w:rPr>
              <w:tab/>
            </w:r>
            <w:r>
              <w:rPr>
                <w:noProof/>
              </w:rPr>
              <w:fldChar w:fldCharType="begin"/>
            </w:r>
            <w:r>
              <w:rPr>
                <w:noProof/>
              </w:rPr>
              <w:instrText xml:space="preserve"> PAGEREF _Toc228131656 \h </w:instrText>
            </w:r>
            <w:r>
              <w:rPr>
                <w:noProof/>
              </w:rPr>
            </w:r>
            <w:r>
              <w:rPr>
                <w:noProof/>
              </w:rPr>
              <w:fldChar w:fldCharType="separate"/>
            </w:r>
            <w:r>
              <w:rPr>
                <w:noProof/>
              </w:rPr>
              <w:t>23</w:t>
            </w:r>
            <w:r>
              <w:rPr>
                <w:noProof/>
              </w:rPr>
              <w:fldChar w:fldCharType="end"/>
            </w:r>
          </w:hyperlink>
        </w:p>
        <w:p w14:paraId="2CCAC994" w14:textId="77777777" w:rsidR="00857A6E" w:rsidRDefault="00857A6E">
          <w:pPr>
            <w:pStyle w:val="TOC2"/>
            <w:tabs>
              <w:tab w:val="right" w:leader="dot" w:pos="9350"/>
            </w:tabs>
            <w:rPr>
              <w:noProof/>
            </w:rPr>
          </w:pPr>
          <w:hyperlink w:anchor="_Toc228131657" w:history="1">
            <w:r w:rsidRPr="001E19F5">
              <w:rPr>
                <w:rStyle w:val="Hyperlink"/>
                <w:noProof/>
              </w:rPr>
              <w:t>7.2  Economic Benefit</w:t>
            </w:r>
            <w:r>
              <w:rPr>
                <w:noProof/>
              </w:rPr>
              <w:tab/>
            </w:r>
            <w:r>
              <w:rPr>
                <w:noProof/>
              </w:rPr>
              <w:fldChar w:fldCharType="begin"/>
            </w:r>
            <w:r>
              <w:rPr>
                <w:noProof/>
              </w:rPr>
              <w:instrText xml:space="preserve"> PAGEREF _Toc228131657 \h </w:instrText>
            </w:r>
            <w:r>
              <w:rPr>
                <w:noProof/>
              </w:rPr>
            </w:r>
            <w:r>
              <w:rPr>
                <w:noProof/>
              </w:rPr>
              <w:fldChar w:fldCharType="separate"/>
            </w:r>
            <w:r>
              <w:rPr>
                <w:noProof/>
              </w:rPr>
              <w:t>23</w:t>
            </w:r>
            <w:r>
              <w:rPr>
                <w:noProof/>
              </w:rPr>
              <w:fldChar w:fldCharType="end"/>
            </w:r>
          </w:hyperlink>
        </w:p>
        <w:p w14:paraId="7AA3F4B3" w14:textId="77777777" w:rsidR="00857A6E" w:rsidRDefault="00857A6E">
          <w:pPr>
            <w:pStyle w:val="TOC2"/>
            <w:tabs>
              <w:tab w:val="right" w:leader="dot" w:pos="9350"/>
            </w:tabs>
            <w:rPr>
              <w:noProof/>
            </w:rPr>
          </w:pPr>
          <w:hyperlink w:anchor="_Toc228131658" w:history="1">
            <w:r w:rsidRPr="001E19F5">
              <w:rPr>
                <w:rStyle w:val="Hyperlink"/>
                <w:noProof/>
              </w:rPr>
              <w:t>7.3  Risk — The Collateral Reuse Chain</w:t>
            </w:r>
            <w:r>
              <w:rPr>
                <w:noProof/>
              </w:rPr>
              <w:tab/>
            </w:r>
            <w:r>
              <w:rPr>
                <w:noProof/>
              </w:rPr>
              <w:fldChar w:fldCharType="begin"/>
            </w:r>
            <w:r>
              <w:rPr>
                <w:noProof/>
              </w:rPr>
              <w:instrText xml:space="preserve"> PAGEREF _Toc228131658 \h </w:instrText>
            </w:r>
            <w:r>
              <w:rPr>
                <w:noProof/>
              </w:rPr>
            </w:r>
            <w:r>
              <w:rPr>
                <w:noProof/>
              </w:rPr>
              <w:fldChar w:fldCharType="separate"/>
            </w:r>
            <w:r>
              <w:rPr>
                <w:noProof/>
              </w:rPr>
              <w:t>23</w:t>
            </w:r>
            <w:r>
              <w:rPr>
                <w:noProof/>
              </w:rPr>
              <w:fldChar w:fldCharType="end"/>
            </w:r>
          </w:hyperlink>
        </w:p>
        <w:p w14:paraId="7EEF713B" w14:textId="77777777" w:rsidR="00857A6E" w:rsidRDefault="00857A6E">
          <w:pPr>
            <w:pStyle w:val="TOC2"/>
            <w:tabs>
              <w:tab w:val="right" w:leader="dot" w:pos="9350"/>
            </w:tabs>
            <w:rPr>
              <w:noProof/>
            </w:rPr>
          </w:pPr>
          <w:hyperlink w:anchor="_Toc228131659" w:history="1">
            <w:r w:rsidRPr="001E19F5">
              <w:rPr>
                <w:rStyle w:val="Hyperlink"/>
                <w:noProof/>
              </w:rPr>
              <w:t>7.4  UMR Prohibition on IM Rehypothecation</w:t>
            </w:r>
            <w:r>
              <w:rPr>
                <w:noProof/>
              </w:rPr>
              <w:tab/>
            </w:r>
            <w:r>
              <w:rPr>
                <w:noProof/>
              </w:rPr>
              <w:fldChar w:fldCharType="begin"/>
            </w:r>
            <w:r>
              <w:rPr>
                <w:noProof/>
              </w:rPr>
              <w:instrText xml:space="preserve"> PAGEREF _Toc228131659 \h </w:instrText>
            </w:r>
            <w:r>
              <w:rPr>
                <w:noProof/>
              </w:rPr>
            </w:r>
            <w:r>
              <w:rPr>
                <w:noProof/>
              </w:rPr>
              <w:fldChar w:fldCharType="separate"/>
            </w:r>
            <w:r>
              <w:rPr>
                <w:noProof/>
              </w:rPr>
              <w:t>23</w:t>
            </w:r>
            <w:r>
              <w:rPr>
                <w:noProof/>
              </w:rPr>
              <w:fldChar w:fldCharType="end"/>
            </w:r>
          </w:hyperlink>
        </w:p>
        <w:p w14:paraId="42D7EE87" w14:textId="77777777" w:rsidR="00857A6E" w:rsidRDefault="00857A6E">
          <w:pPr>
            <w:pStyle w:val="TOC1"/>
            <w:tabs>
              <w:tab w:val="right" w:leader="dot" w:pos="9350"/>
            </w:tabs>
            <w:rPr>
              <w:noProof/>
            </w:rPr>
          </w:pPr>
          <w:hyperlink w:anchor="_Toc228131660" w:history="1">
            <w:r w:rsidRPr="001E19F5">
              <w:rPr>
                <w:rStyle w:val="Hyperlink"/>
                <w:noProof/>
              </w:rPr>
              <w:t>Section 8 — Repo &amp; Securities Lending</w:t>
            </w:r>
            <w:r>
              <w:rPr>
                <w:noProof/>
              </w:rPr>
              <w:tab/>
            </w:r>
            <w:r>
              <w:rPr>
                <w:noProof/>
              </w:rPr>
              <w:fldChar w:fldCharType="begin"/>
            </w:r>
            <w:r>
              <w:rPr>
                <w:noProof/>
              </w:rPr>
              <w:instrText xml:space="preserve"> PAGEREF _Toc228131660 \h </w:instrText>
            </w:r>
            <w:r>
              <w:rPr>
                <w:noProof/>
              </w:rPr>
            </w:r>
            <w:r>
              <w:rPr>
                <w:noProof/>
              </w:rPr>
              <w:fldChar w:fldCharType="separate"/>
            </w:r>
            <w:r>
              <w:rPr>
                <w:noProof/>
              </w:rPr>
              <w:t>25</w:t>
            </w:r>
            <w:r>
              <w:rPr>
                <w:noProof/>
              </w:rPr>
              <w:fldChar w:fldCharType="end"/>
            </w:r>
          </w:hyperlink>
        </w:p>
        <w:p w14:paraId="70E681E3" w14:textId="77777777" w:rsidR="00857A6E" w:rsidRDefault="00857A6E">
          <w:pPr>
            <w:pStyle w:val="TOC2"/>
            <w:tabs>
              <w:tab w:val="right" w:leader="dot" w:pos="9350"/>
            </w:tabs>
            <w:rPr>
              <w:noProof/>
            </w:rPr>
          </w:pPr>
          <w:hyperlink w:anchor="_Toc228131661" w:history="1">
            <w:r w:rsidRPr="001E19F5">
              <w:rPr>
                <w:rStyle w:val="Hyperlink"/>
                <w:noProof/>
              </w:rPr>
              <w:t>8.1  Classic Repo — Structure and Mechanics</w:t>
            </w:r>
            <w:r>
              <w:rPr>
                <w:noProof/>
              </w:rPr>
              <w:tab/>
            </w:r>
            <w:r>
              <w:rPr>
                <w:noProof/>
              </w:rPr>
              <w:fldChar w:fldCharType="begin"/>
            </w:r>
            <w:r>
              <w:rPr>
                <w:noProof/>
              </w:rPr>
              <w:instrText xml:space="preserve"> PAGEREF _Toc228131661 \h </w:instrText>
            </w:r>
            <w:r>
              <w:rPr>
                <w:noProof/>
              </w:rPr>
            </w:r>
            <w:r>
              <w:rPr>
                <w:noProof/>
              </w:rPr>
              <w:fldChar w:fldCharType="separate"/>
            </w:r>
            <w:r>
              <w:rPr>
                <w:noProof/>
              </w:rPr>
              <w:t>25</w:t>
            </w:r>
            <w:r>
              <w:rPr>
                <w:noProof/>
              </w:rPr>
              <w:fldChar w:fldCharType="end"/>
            </w:r>
          </w:hyperlink>
        </w:p>
        <w:p w14:paraId="5611E14B" w14:textId="77777777" w:rsidR="00857A6E" w:rsidRDefault="00857A6E">
          <w:pPr>
            <w:pStyle w:val="TOC3"/>
            <w:tabs>
              <w:tab w:val="right" w:leader="dot" w:pos="9350"/>
            </w:tabs>
            <w:rPr>
              <w:noProof/>
            </w:rPr>
          </w:pPr>
          <w:hyperlink w:anchor="_Toc228131662" w:history="1">
            <w:r w:rsidRPr="001E19F5">
              <w:rPr>
                <w:rStyle w:val="Hyperlink"/>
                <w:noProof/>
              </w:rPr>
              <w:t>Open vs Term Repo</w:t>
            </w:r>
            <w:r>
              <w:rPr>
                <w:noProof/>
              </w:rPr>
              <w:tab/>
            </w:r>
            <w:r>
              <w:rPr>
                <w:noProof/>
              </w:rPr>
              <w:fldChar w:fldCharType="begin"/>
            </w:r>
            <w:r>
              <w:rPr>
                <w:noProof/>
              </w:rPr>
              <w:instrText xml:space="preserve"> PAGEREF _Toc228131662 \h </w:instrText>
            </w:r>
            <w:r>
              <w:rPr>
                <w:noProof/>
              </w:rPr>
            </w:r>
            <w:r>
              <w:rPr>
                <w:noProof/>
              </w:rPr>
              <w:fldChar w:fldCharType="separate"/>
            </w:r>
            <w:r>
              <w:rPr>
                <w:noProof/>
              </w:rPr>
              <w:t>25</w:t>
            </w:r>
            <w:r>
              <w:rPr>
                <w:noProof/>
              </w:rPr>
              <w:fldChar w:fldCharType="end"/>
            </w:r>
          </w:hyperlink>
        </w:p>
        <w:p w14:paraId="06FCCF98" w14:textId="77777777" w:rsidR="00857A6E" w:rsidRDefault="00857A6E">
          <w:pPr>
            <w:pStyle w:val="TOC3"/>
            <w:tabs>
              <w:tab w:val="right" w:leader="dot" w:pos="9350"/>
            </w:tabs>
            <w:rPr>
              <w:noProof/>
            </w:rPr>
          </w:pPr>
          <w:hyperlink w:anchor="_Toc228131663" w:history="1">
            <w:r w:rsidRPr="001E19F5">
              <w:rPr>
                <w:rStyle w:val="Hyperlink"/>
                <w:noProof/>
              </w:rPr>
              <w:t>General Collateral (GC) vs Special Repo</w:t>
            </w:r>
            <w:r>
              <w:rPr>
                <w:noProof/>
              </w:rPr>
              <w:tab/>
            </w:r>
            <w:r>
              <w:rPr>
                <w:noProof/>
              </w:rPr>
              <w:fldChar w:fldCharType="begin"/>
            </w:r>
            <w:r>
              <w:rPr>
                <w:noProof/>
              </w:rPr>
              <w:instrText xml:space="preserve"> PAGEREF _Toc228131663 \h </w:instrText>
            </w:r>
            <w:r>
              <w:rPr>
                <w:noProof/>
              </w:rPr>
            </w:r>
            <w:r>
              <w:rPr>
                <w:noProof/>
              </w:rPr>
              <w:fldChar w:fldCharType="separate"/>
            </w:r>
            <w:r>
              <w:rPr>
                <w:noProof/>
              </w:rPr>
              <w:t>25</w:t>
            </w:r>
            <w:r>
              <w:rPr>
                <w:noProof/>
              </w:rPr>
              <w:fldChar w:fldCharType="end"/>
            </w:r>
          </w:hyperlink>
        </w:p>
        <w:p w14:paraId="2BB4A96D" w14:textId="77777777" w:rsidR="00857A6E" w:rsidRDefault="00857A6E">
          <w:pPr>
            <w:pStyle w:val="TOC2"/>
            <w:tabs>
              <w:tab w:val="right" w:leader="dot" w:pos="9350"/>
            </w:tabs>
            <w:rPr>
              <w:noProof/>
            </w:rPr>
          </w:pPr>
          <w:hyperlink w:anchor="_Toc228131664" w:history="1">
            <w:r w:rsidRPr="001E19F5">
              <w:rPr>
                <w:rStyle w:val="Hyperlink"/>
                <w:noProof/>
              </w:rPr>
              <w:t>8.2  The Dealer's Repo Book</w:t>
            </w:r>
            <w:r>
              <w:rPr>
                <w:noProof/>
              </w:rPr>
              <w:tab/>
            </w:r>
            <w:r>
              <w:rPr>
                <w:noProof/>
              </w:rPr>
              <w:fldChar w:fldCharType="begin"/>
            </w:r>
            <w:r>
              <w:rPr>
                <w:noProof/>
              </w:rPr>
              <w:instrText xml:space="preserve"> PAGEREF _Toc228131664 \h </w:instrText>
            </w:r>
            <w:r>
              <w:rPr>
                <w:noProof/>
              </w:rPr>
            </w:r>
            <w:r>
              <w:rPr>
                <w:noProof/>
              </w:rPr>
              <w:fldChar w:fldCharType="separate"/>
            </w:r>
            <w:r>
              <w:rPr>
                <w:noProof/>
              </w:rPr>
              <w:t>26</w:t>
            </w:r>
            <w:r>
              <w:rPr>
                <w:noProof/>
              </w:rPr>
              <w:fldChar w:fldCharType="end"/>
            </w:r>
          </w:hyperlink>
        </w:p>
        <w:p w14:paraId="4CD47EB5" w14:textId="77777777" w:rsidR="00857A6E" w:rsidRDefault="00857A6E">
          <w:pPr>
            <w:pStyle w:val="TOC2"/>
            <w:tabs>
              <w:tab w:val="right" w:leader="dot" w:pos="9350"/>
            </w:tabs>
            <w:rPr>
              <w:noProof/>
            </w:rPr>
          </w:pPr>
          <w:hyperlink w:anchor="_Toc228131665" w:history="1">
            <w:r w:rsidRPr="001E19F5">
              <w:rPr>
                <w:rStyle w:val="Hyperlink"/>
                <w:noProof/>
              </w:rPr>
              <w:t>8.3  Securities Lending</w:t>
            </w:r>
            <w:r>
              <w:rPr>
                <w:noProof/>
              </w:rPr>
              <w:tab/>
            </w:r>
            <w:r>
              <w:rPr>
                <w:noProof/>
              </w:rPr>
              <w:fldChar w:fldCharType="begin"/>
            </w:r>
            <w:r>
              <w:rPr>
                <w:noProof/>
              </w:rPr>
              <w:instrText xml:space="preserve"> PAGEREF _Toc228131665 \h </w:instrText>
            </w:r>
            <w:r>
              <w:rPr>
                <w:noProof/>
              </w:rPr>
            </w:r>
            <w:r>
              <w:rPr>
                <w:noProof/>
              </w:rPr>
              <w:fldChar w:fldCharType="separate"/>
            </w:r>
            <w:r>
              <w:rPr>
                <w:noProof/>
              </w:rPr>
              <w:t>26</w:t>
            </w:r>
            <w:r>
              <w:rPr>
                <w:noProof/>
              </w:rPr>
              <w:fldChar w:fldCharType="end"/>
            </w:r>
          </w:hyperlink>
        </w:p>
        <w:p w14:paraId="0F0DC3DE" w14:textId="77777777" w:rsidR="00857A6E" w:rsidRDefault="00857A6E">
          <w:pPr>
            <w:pStyle w:val="TOC3"/>
            <w:tabs>
              <w:tab w:val="right" w:leader="dot" w:pos="9350"/>
            </w:tabs>
            <w:rPr>
              <w:noProof/>
            </w:rPr>
          </w:pPr>
          <w:hyperlink w:anchor="_Toc228131666" w:history="1">
            <w:r w:rsidRPr="001E19F5">
              <w:rPr>
                <w:rStyle w:val="Hyperlink"/>
                <w:noProof/>
              </w:rPr>
              <w:t>Agent Lender Indemnification</w:t>
            </w:r>
            <w:r>
              <w:rPr>
                <w:noProof/>
              </w:rPr>
              <w:tab/>
            </w:r>
            <w:r>
              <w:rPr>
                <w:noProof/>
              </w:rPr>
              <w:fldChar w:fldCharType="begin"/>
            </w:r>
            <w:r>
              <w:rPr>
                <w:noProof/>
              </w:rPr>
              <w:instrText xml:space="preserve"> PAGEREF _Toc228131666 \h </w:instrText>
            </w:r>
            <w:r>
              <w:rPr>
                <w:noProof/>
              </w:rPr>
            </w:r>
            <w:r>
              <w:rPr>
                <w:noProof/>
              </w:rPr>
              <w:fldChar w:fldCharType="separate"/>
            </w:r>
            <w:r>
              <w:rPr>
                <w:noProof/>
              </w:rPr>
              <w:t>27</w:t>
            </w:r>
            <w:r>
              <w:rPr>
                <w:noProof/>
              </w:rPr>
              <w:fldChar w:fldCharType="end"/>
            </w:r>
          </w:hyperlink>
        </w:p>
        <w:p w14:paraId="1E1FD485" w14:textId="77777777" w:rsidR="00857A6E" w:rsidRDefault="00857A6E">
          <w:pPr>
            <w:pStyle w:val="TOC2"/>
            <w:tabs>
              <w:tab w:val="right" w:leader="dot" w:pos="9350"/>
            </w:tabs>
            <w:rPr>
              <w:noProof/>
            </w:rPr>
          </w:pPr>
          <w:hyperlink w:anchor="_Toc228131667" w:history="1">
            <w:r w:rsidRPr="001E19F5">
              <w:rPr>
                <w:rStyle w:val="Hyperlink"/>
                <w:noProof/>
              </w:rPr>
              <w:t>8.4  Haircuts</w:t>
            </w:r>
            <w:r>
              <w:rPr>
                <w:noProof/>
              </w:rPr>
              <w:tab/>
            </w:r>
            <w:r>
              <w:rPr>
                <w:noProof/>
              </w:rPr>
              <w:fldChar w:fldCharType="begin"/>
            </w:r>
            <w:r>
              <w:rPr>
                <w:noProof/>
              </w:rPr>
              <w:instrText xml:space="preserve"> PAGEREF _Toc228131667 \h </w:instrText>
            </w:r>
            <w:r>
              <w:rPr>
                <w:noProof/>
              </w:rPr>
            </w:r>
            <w:r>
              <w:rPr>
                <w:noProof/>
              </w:rPr>
              <w:fldChar w:fldCharType="separate"/>
            </w:r>
            <w:r>
              <w:rPr>
                <w:noProof/>
              </w:rPr>
              <w:t>27</w:t>
            </w:r>
            <w:r>
              <w:rPr>
                <w:noProof/>
              </w:rPr>
              <w:fldChar w:fldCharType="end"/>
            </w:r>
          </w:hyperlink>
        </w:p>
        <w:p w14:paraId="4628C6FC" w14:textId="77777777" w:rsidR="00857A6E" w:rsidRDefault="00857A6E">
          <w:pPr>
            <w:pStyle w:val="TOC3"/>
            <w:tabs>
              <w:tab w:val="right" w:leader="dot" w:pos="9350"/>
            </w:tabs>
            <w:rPr>
              <w:noProof/>
            </w:rPr>
          </w:pPr>
          <w:hyperlink w:anchor="_Toc228131668" w:history="1">
            <w:r w:rsidRPr="001E19F5">
              <w:rPr>
                <w:rStyle w:val="Hyperlink"/>
                <w:noProof/>
              </w:rPr>
              <w:t>Procyclicality of Haircuts</w:t>
            </w:r>
            <w:r>
              <w:rPr>
                <w:noProof/>
              </w:rPr>
              <w:tab/>
            </w:r>
            <w:r>
              <w:rPr>
                <w:noProof/>
              </w:rPr>
              <w:fldChar w:fldCharType="begin"/>
            </w:r>
            <w:r>
              <w:rPr>
                <w:noProof/>
              </w:rPr>
              <w:instrText xml:space="preserve"> PAGEREF _Toc228131668 \h </w:instrText>
            </w:r>
            <w:r>
              <w:rPr>
                <w:noProof/>
              </w:rPr>
            </w:r>
            <w:r>
              <w:rPr>
                <w:noProof/>
              </w:rPr>
              <w:fldChar w:fldCharType="separate"/>
            </w:r>
            <w:r>
              <w:rPr>
                <w:noProof/>
              </w:rPr>
              <w:t>28</w:t>
            </w:r>
            <w:r>
              <w:rPr>
                <w:noProof/>
              </w:rPr>
              <w:fldChar w:fldCharType="end"/>
            </w:r>
          </w:hyperlink>
        </w:p>
        <w:p w14:paraId="25669521" w14:textId="77777777" w:rsidR="00857A6E" w:rsidRDefault="00857A6E">
          <w:pPr>
            <w:pStyle w:val="TOC2"/>
            <w:tabs>
              <w:tab w:val="right" w:leader="dot" w:pos="9350"/>
            </w:tabs>
            <w:rPr>
              <w:noProof/>
            </w:rPr>
          </w:pPr>
          <w:hyperlink w:anchor="_Toc228131669" w:history="1">
            <w:r w:rsidRPr="001E19F5">
              <w:rPr>
                <w:rStyle w:val="Hyperlink"/>
                <w:noProof/>
              </w:rPr>
              <w:t>8.5  Collateral Transformation</w:t>
            </w:r>
            <w:r>
              <w:rPr>
                <w:noProof/>
              </w:rPr>
              <w:tab/>
            </w:r>
            <w:r>
              <w:rPr>
                <w:noProof/>
              </w:rPr>
              <w:fldChar w:fldCharType="begin"/>
            </w:r>
            <w:r>
              <w:rPr>
                <w:noProof/>
              </w:rPr>
              <w:instrText xml:space="preserve"> PAGEREF _Toc228131669 \h </w:instrText>
            </w:r>
            <w:r>
              <w:rPr>
                <w:noProof/>
              </w:rPr>
            </w:r>
            <w:r>
              <w:rPr>
                <w:noProof/>
              </w:rPr>
              <w:fldChar w:fldCharType="separate"/>
            </w:r>
            <w:r>
              <w:rPr>
                <w:noProof/>
              </w:rPr>
              <w:t>28</w:t>
            </w:r>
            <w:r>
              <w:rPr>
                <w:noProof/>
              </w:rPr>
              <w:fldChar w:fldCharType="end"/>
            </w:r>
          </w:hyperlink>
        </w:p>
        <w:p w14:paraId="6B73D5D2" w14:textId="77777777" w:rsidR="00857A6E" w:rsidRDefault="00857A6E">
          <w:pPr>
            <w:pStyle w:val="TOC3"/>
            <w:tabs>
              <w:tab w:val="right" w:leader="dot" w:pos="9350"/>
            </w:tabs>
            <w:rPr>
              <w:noProof/>
            </w:rPr>
          </w:pPr>
          <w:hyperlink w:anchor="_Toc228131670" w:history="1">
            <w:r w:rsidRPr="001E19F5">
              <w:rPr>
                <w:rStyle w:val="Hyperlink"/>
                <w:noProof/>
              </w:rPr>
              <w:t>XVA Implications of Collateral Transformation</w:t>
            </w:r>
            <w:r>
              <w:rPr>
                <w:noProof/>
              </w:rPr>
              <w:tab/>
            </w:r>
            <w:r>
              <w:rPr>
                <w:noProof/>
              </w:rPr>
              <w:fldChar w:fldCharType="begin"/>
            </w:r>
            <w:r>
              <w:rPr>
                <w:noProof/>
              </w:rPr>
              <w:instrText xml:space="preserve"> PAGEREF _Toc228131670 \h </w:instrText>
            </w:r>
            <w:r>
              <w:rPr>
                <w:noProof/>
              </w:rPr>
            </w:r>
            <w:r>
              <w:rPr>
                <w:noProof/>
              </w:rPr>
              <w:fldChar w:fldCharType="separate"/>
            </w:r>
            <w:r>
              <w:rPr>
                <w:noProof/>
              </w:rPr>
              <w:t>28</w:t>
            </w:r>
            <w:r>
              <w:rPr>
                <w:noProof/>
              </w:rPr>
              <w:fldChar w:fldCharType="end"/>
            </w:r>
          </w:hyperlink>
        </w:p>
        <w:p w14:paraId="55DEDA64" w14:textId="77777777" w:rsidR="00857A6E" w:rsidRDefault="00857A6E">
          <w:pPr>
            <w:pStyle w:val="TOC2"/>
            <w:tabs>
              <w:tab w:val="right" w:leader="dot" w:pos="9350"/>
            </w:tabs>
            <w:rPr>
              <w:noProof/>
            </w:rPr>
          </w:pPr>
          <w:hyperlink w:anchor="_Toc228131671" w:history="1">
            <w:r w:rsidRPr="001E19F5">
              <w:rPr>
                <w:rStyle w:val="Hyperlink"/>
                <w:noProof/>
              </w:rPr>
              <w:t>8.6  Repo and the Dealer's Funding Curve</w:t>
            </w:r>
            <w:r>
              <w:rPr>
                <w:noProof/>
              </w:rPr>
              <w:tab/>
            </w:r>
            <w:r>
              <w:rPr>
                <w:noProof/>
              </w:rPr>
              <w:fldChar w:fldCharType="begin"/>
            </w:r>
            <w:r>
              <w:rPr>
                <w:noProof/>
              </w:rPr>
              <w:instrText xml:space="preserve"> PAGEREF _Toc228131671 \h </w:instrText>
            </w:r>
            <w:r>
              <w:rPr>
                <w:noProof/>
              </w:rPr>
            </w:r>
            <w:r>
              <w:rPr>
                <w:noProof/>
              </w:rPr>
              <w:fldChar w:fldCharType="separate"/>
            </w:r>
            <w:r>
              <w:rPr>
                <w:noProof/>
              </w:rPr>
              <w:t>29</w:t>
            </w:r>
            <w:r>
              <w:rPr>
                <w:noProof/>
              </w:rPr>
              <w:fldChar w:fldCharType="end"/>
            </w:r>
          </w:hyperlink>
        </w:p>
        <w:p w14:paraId="616D06F7" w14:textId="77777777" w:rsidR="00857A6E" w:rsidRDefault="00857A6E">
          <w:pPr>
            <w:pStyle w:val="TOC2"/>
            <w:tabs>
              <w:tab w:val="right" w:leader="dot" w:pos="9350"/>
            </w:tabs>
            <w:rPr>
              <w:noProof/>
            </w:rPr>
          </w:pPr>
          <w:hyperlink w:anchor="_Toc228131672" w:history="1">
            <w:r w:rsidRPr="001E19F5">
              <w:rPr>
                <w:rStyle w:val="Hyperlink"/>
                <w:noProof/>
              </w:rPr>
              <w:t>8.7  Regulatory Framework for Repo and Securities Lending</w:t>
            </w:r>
            <w:r>
              <w:rPr>
                <w:noProof/>
              </w:rPr>
              <w:tab/>
            </w:r>
            <w:r>
              <w:rPr>
                <w:noProof/>
              </w:rPr>
              <w:fldChar w:fldCharType="begin"/>
            </w:r>
            <w:r>
              <w:rPr>
                <w:noProof/>
              </w:rPr>
              <w:instrText xml:space="preserve"> PAGEREF _Toc228131672 \h </w:instrText>
            </w:r>
            <w:r>
              <w:rPr>
                <w:noProof/>
              </w:rPr>
            </w:r>
            <w:r>
              <w:rPr>
                <w:noProof/>
              </w:rPr>
              <w:fldChar w:fldCharType="separate"/>
            </w:r>
            <w:r>
              <w:rPr>
                <w:noProof/>
              </w:rPr>
              <w:t>29</w:t>
            </w:r>
            <w:r>
              <w:rPr>
                <w:noProof/>
              </w:rPr>
              <w:fldChar w:fldCharType="end"/>
            </w:r>
          </w:hyperlink>
        </w:p>
        <w:p w14:paraId="2EB12D5D" w14:textId="77777777" w:rsidR="00857A6E" w:rsidRDefault="00857A6E">
          <w:pPr>
            <w:pStyle w:val="TOC1"/>
            <w:tabs>
              <w:tab w:val="right" w:leader="dot" w:pos="9350"/>
            </w:tabs>
            <w:rPr>
              <w:noProof/>
            </w:rPr>
          </w:pPr>
          <w:hyperlink w:anchor="_Toc228131673" w:history="1">
            <w:r w:rsidRPr="001E19F5">
              <w:rPr>
                <w:rStyle w:val="Hyperlink"/>
                <w:noProof/>
              </w:rPr>
              <w:t>Section 9 — Regulatory &amp; Operational Dimensions</w:t>
            </w:r>
            <w:r>
              <w:rPr>
                <w:noProof/>
              </w:rPr>
              <w:tab/>
            </w:r>
            <w:r>
              <w:rPr>
                <w:noProof/>
              </w:rPr>
              <w:fldChar w:fldCharType="begin"/>
            </w:r>
            <w:r>
              <w:rPr>
                <w:noProof/>
              </w:rPr>
              <w:instrText xml:space="preserve"> PAGEREF _Toc228131673 \h </w:instrText>
            </w:r>
            <w:r>
              <w:rPr>
                <w:noProof/>
              </w:rPr>
            </w:r>
            <w:r>
              <w:rPr>
                <w:noProof/>
              </w:rPr>
              <w:fldChar w:fldCharType="separate"/>
            </w:r>
            <w:r>
              <w:rPr>
                <w:noProof/>
              </w:rPr>
              <w:t>31</w:t>
            </w:r>
            <w:r>
              <w:rPr>
                <w:noProof/>
              </w:rPr>
              <w:fldChar w:fldCharType="end"/>
            </w:r>
          </w:hyperlink>
        </w:p>
        <w:p w14:paraId="5E261762" w14:textId="77777777" w:rsidR="00857A6E" w:rsidRDefault="00857A6E">
          <w:pPr>
            <w:pStyle w:val="TOC2"/>
            <w:tabs>
              <w:tab w:val="right" w:leader="dot" w:pos="9350"/>
            </w:tabs>
            <w:rPr>
              <w:noProof/>
            </w:rPr>
          </w:pPr>
          <w:hyperlink w:anchor="_Toc228131674" w:history="1">
            <w:r w:rsidRPr="001E19F5">
              <w:rPr>
                <w:rStyle w:val="Hyperlink"/>
                <w:noProof/>
              </w:rPr>
              <w:t>9.1  EMIR — European Market Infrastructure Regulation</w:t>
            </w:r>
            <w:r>
              <w:rPr>
                <w:noProof/>
              </w:rPr>
              <w:tab/>
            </w:r>
            <w:r>
              <w:rPr>
                <w:noProof/>
              </w:rPr>
              <w:fldChar w:fldCharType="begin"/>
            </w:r>
            <w:r>
              <w:rPr>
                <w:noProof/>
              </w:rPr>
              <w:instrText xml:space="preserve"> PAGEREF _Toc228131674 \h </w:instrText>
            </w:r>
            <w:r>
              <w:rPr>
                <w:noProof/>
              </w:rPr>
            </w:r>
            <w:r>
              <w:rPr>
                <w:noProof/>
              </w:rPr>
              <w:fldChar w:fldCharType="separate"/>
            </w:r>
            <w:r>
              <w:rPr>
                <w:noProof/>
              </w:rPr>
              <w:t>31</w:t>
            </w:r>
            <w:r>
              <w:rPr>
                <w:noProof/>
              </w:rPr>
              <w:fldChar w:fldCharType="end"/>
            </w:r>
          </w:hyperlink>
        </w:p>
        <w:p w14:paraId="765BF931" w14:textId="77777777" w:rsidR="00857A6E" w:rsidRDefault="00857A6E">
          <w:pPr>
            <w:pStyle w:val="TOC2"/>
            <w:tabs>
              <w:tab w:val="right" w:leader="dot" w:pos="9350"/>
            </w:tabs>
            <w:rPr>
              <w:noProof/>
            </w:rPr>
          </w:pPr>
          <w:hyperlink w:anchor="_Toc228131675" w:history="1">
            <w:r w:rsidRPr="001E19F5">
              <w:rPr>
                <w:rStyle w:val="Hyperlink"/>
                <w:noProof/>
              </w:rPr>
              <w:t>9.2  Dodd-Frank — US Parallel Framework</w:t>
            </w:r>
            <w:r>
              <w:rPr>
                <w:noProof/>
              </w:rPr>
              <w:tab/>
            </w:r>
            <w:r>
              <w:rPr>
                <w:noProof/>
              </w:rPr>
              <w:fldChar w:fldCharType="begin"/>
            </w:r>
            <w:r>
              <w:rPr>
                <w:noProof/>
              </w:rPr>
              <w:instrText xml:space="preserve"> PAGEREF _Toc228131675 \h </w:instrText>
            </w:r>
            <w:r>
              <w:rPr>
                <w:noProof/>
              </w:rPr>
            </w:r>
            <w:r>
              <w:rPr>
                <w:noProof/>
              </w:rPr>
              <w:fldChar w:fldCharType="separate"/>
            </w:r>
            <w:r>
              <w:rPr>
                <w:noProof/>
              </w:rPr>
              <w:t>31</w:t>
            </w:r>
            <w:r>
              <w:rPr>
                <w:noProof/>
              </w:rPr>
              <w:fldChar w:fldCharType="end"/>
            </w:r>
          </w:hyperlink>
        </w:p>
        <w:p w14:paraId="4173D0E6" w14:textId="77777777" w:rsidR="00857A6E" w:rsidRDefault="00857A6E">
          <w:pPr>
            <w:pStyle w:val="TOC2"/>
            <w:tabs>
              <w:tab w:val="right" w:leader="dot" w:pos="9350"/>
            </w:tabs>
            <w:rPr>
              <w:noProof/>
            </w:rPr>
          </w:pPr>
          <w:hyperlink w:anchor="_Toc228131676" w:history="1">
            <w:r w:rsidRPr="001E19F5">
              <w:rPr>
                <w:rStyle w:val="Hyperlink"/>
                <w:noProof/>
              </w:rPr>
              <w:t>9.3  APAC Implementation — MAS and HKMA</w:t>
            </w:r>
            <w:r>
              <w:rPr>
                <w:noProof/>
              </w:rPr>
              <w:tab/>
            </w:r>
            <w:r>
              <w:rPr>
                <w:noProof/>
              </w:rPr>
              <w:fldChar w:fldCharType="begin"/>
            </w:r>
            <w:r>
              <w:rPr>
                <w:noProof/>
              </w:rPr>
              <w:instrText xml:space="preserve"> PAGEREF _Toc228131676 \h </w:instrText>
            </w:r>
            <w:r>
              <w:rPr>
                <w:noProof/>
              </w:rPr>
            </w:r>
            <w:r>
              <w:rPr>
                <w:noProof/>
              </w:rPr>
              <w:fldChar w:fldCharType="separate"/>
            </w:r>
            <w:r>
              <w:rPr>
                <w:noProof/>
              </w:rPr>
              <w:t>31</w:t>
            </w:r>
            <w:r>
              <w:rPr>
                <w:noProof/>
              </w:rPr>
              <w:fldChar w:fldCharType="end"/>
            </w:r>
          </w:hyperlink>
        </w:p>
        <w:p w14:paraId="1321EA63" w14:textId="77777777" w:rsidR="00857A6E" w:rsidRDefault="00857A6E">
          <w:pPr>
            <w:pStyle w:val="TOC2"/>
            <w:tabs>
              <w:tab w:val="right" w:leader="dot" w:pos="9350"/>
            </w:tabs>
            <w:rPr>
              <w:noProof/>
            </w:rPr>
          </w:pPr>
          <w:hyperlink w:anchor="_Toc228131677" w:history="1">
            <w:r w:rsidRPr="001E19F5">
              <w:rPr>
                <w:rStyle w:val="Hyperlink"/>
                <w:noProof/>
              </w:rPr>
              <w:t>9.4  Collateral Operations Infrastructure</w:t>
            </w:r>
            <w:r>
              <w:rPr>
                <w:noProof/>
              </w:rPr>
              <w:tab/>
            </w:r>
            <w:r>
              <w:rPr>
                <w:noProof/>
              </w:rPr>
              <w:fldChar w:fldCharType="begin"/>
            </w:r>
            <w:r>
              <w:rPr>
                <w:noProof/>
              </w:rPr>
              <w:instrText xml:space="preserve"> PAGEREF _Toc228131677 \h </w:instrText>
            </w:r>
            <w:r>
              <w:rPr>
                <w:noProof/>
              </w:rPr>
            </w:r>
            <w:r>
              <w:rPr>
                <w:noProof/>
              </w:rPr>
              <w:fldChar w:fldCharType="separate"/>
            </w:r>
            <w:r>
              <w:rPr>
                <w:noProof/>
              </w:rPr>
              <w:t>32</w:t>
            </w:r>
            <w:r>
              <w:rPr>
                <w:noProof/>
              </w:rPr>
              <w:fldChar w:fldCharType="end"/>
            </w:r>
          </w:hyperlink>
        </w:p>
        <w:p w14:paraId="1729A1D9" w14:textId="77777777" w:rsidR="00857A6E" w:rsidRDefault="00857A6E">
          <w:pPr>
            <w:pStyle w:val="TOC2"/>
            <w:tabs>
              <w:tab w:val="right" w:leader="dot" w:pos="9350"/>
            </w:tabs>
            <w:rPr>
              <w:noProof/>
            </w:rPr>
          </w:pPr>
          <w:hyperlink w:anchor="_Toc228131678" w:history="1">
            <w:r w:rsidRPr="001E19F5">
              <w:rPr>
                <w:rStyle w:val="Hyperlink"/>
                <w:noProof/>
              </w:rPr>
              <w:t>9.5  Legal Risk in Practice — Three Case Studies</w:t>
            </w:r>
            <w:r>
              <w:rPr>
                <w:noProof/>
              </w:rPr>
              <w:tab/>
            </w:r>
            <w:r>
              <w:rPr>
                <w:noProof/>
              </w:rPr>
              <w:fldChar w:fldCharType="begin"/>
            </w:r>
            <w:r>
              <w:rPr>
                <w:noProof/>
              </w:rPr>
              <w:instrText xml:space="preserve"> PAGEREF _Toc228131678 \h </w:instrText>
            </w:r>
            <w:r>
              <w:rPr>
                <w:noProof/>
              </w:rPr>
            </w:r>
            <w:r>
              <w:rPr>
                <w:noProof/>
              </w:rPr>
              <w:fldChar w:fldCharType="separate"/>
            </w:r>
            <w:r>
              <w:rPr>
                <w:noProof/>
              </w:rPr>
              <w:t>33</w:t>
            </w:r>
            <w:r>
              <w:rPr>
                <w:noProof/>
              </w:rPr>
              <w:fldChar w:fldCharType="end"/>
            </w:r>
          </w:hyperlink>
        </w:p>
        <w:p w14:paraId="3332B90E" w14:textId="77777777" w:rsidR="00857A6E" w:rsidRDefault="00857A6E">
          <w:pPr>
            <w:pStyle w:val="TOC3"/>
            <w:tabs>
              <w:tab w:val="right" w:leader="dot" w:pos="9350"/>
            </w:tabs>
            <w:rPr>
              <w:noProof/>
            </w:rPr>
          </w:pPr>
          <w:hyperlink w:anchor="_Toc228131679" w:history="1">
            <w:r w:rsidRPr="001E19F5">
              <w:rPr>
                <w:rStyle w:val="Hyperlink"/>
                <w:noProof/>
              </w:rPr>
              <w:t>Hammersmith &amp; Fulham LBC (1991)</w:t>
            </w:r>
            <w:r>
              <w:rPr>
                <w:noProof/>
              </w:rPr>
              <w:tab/>
            </w:r>
            <w:r>
              <w:rPr>
                <w:noProof/>
              </w:rPr>
              <w:fldChar w:fldCharType="begin"/>
            </w:r>
            <w:r>
              <w:rPr>
                <w:noProof/>
              </w:rPr>
              <w:instrText xml:space="preserve"> PAGEREF _Toc228131679 \h </w:instrText>
            </w:r>
            <w:r>
              <w:rPr>
                <w:noProof/>
              </w:rPr>
            </w:r>
            <w:r>
              <w:rPr>
                <w:noProof/>
              </w:rPr>
              <w:fldChar w:fldCharType="separate"/>
            </w:r>
            <w:r>
              <w:rPr>
                <w:noProof/>
              </w:rPr>
              <w:t>33</w:t>
            </w:r>
            <w:r>
              <w:rPr>
                <w:noProof/>
              </w:rPr>
              <w:fldChar w:fldCharType="end"/>
            </w:r>
          </w:hyperlink>
        </w:p>
        <w:p w14:paraId="3BF222E8" w14:textId="77777777" w:rsidR="00857A6E" w:rsidRDefault="00857A6E">
          <w:pPr>
            <w:pStyle w:val="TOC3"/>
            <w:tabs>
              <w:tab w:val="right" w:leader="dot" w:pos="9350"/>
            </w:tabs>
            <w:rPr>
              <w:noProof/>
            </w:rPr>
          </w:pPr>
          <w:hyperlink w:anchor="_Toc228131680" w:history="1">
            <w:r w:rsidRPr="001E19F5">
              <w:rPr>
                <w:rStyle w:val="Hyperlink"/>
                <w:noProof/>
              </w:rPr>
              <w:t>Lehman Brothers (2008)</w:t>
            </w:r>
            <w:r>
              <w:rPr>
                <w:noProof/>
              </w:rPr>
              <w:tab/>
            </w:r>
            <w:r>
              <w:rPr>
                <w:noProof/>
              </w:rPr>
              <w:fldChar w:fldCharType="begin"/>
            </w:r>
            <w:r>
              <w:rPr>
                <w:noProof/>
              </w:rPr>
              <w:instrText xml:space="preserve"> PAGEREF _Toc228131680 \h </w:instrText>
            </w:r>
            <w:r>
              <w:rPr>
                <w:noProof/>
              </w:rPr>
            </w:r>
            <w:r>
              <w:rPr>
                <w:noProof/>
              </w:rPr>
              <w:fldChar w:fldCharType="separate"/>
            </w:r>
            <w:r>
              <w:rPr>
                <w:noProof/>
              </w:rPr>
              <w:t>33</w:t>
            </w:r>
            <w:r>
              <w:rPr>
                <w:noProof/>
              </w:rPr>
              <w:fldChar w:fldCharType="end"/>
            </w:r>
          </w:hyperlink>
        </w:p>
        <w:p w14:paraId="5331E96F" w14:textId="77777777" w:rsidR="00857A6E" w:rsidRDefault="00857A6E">
          <w:pPr>
            <w:pStyle w:val="TOC3"/>
            <w:tabs>
              <w:tab w:val="right" w:leader="dot" w:pos="9350"/>
            </w:tabs>
            <w:rPr>
              <w:noProof/>
            </w:rPr>
          </w:pPr>
          <w:hyperlink w:anchor="_Toc228131681" w:history="1">
            <w:r w:rsidRPr="001E19F5">
              <w:rPr>
                <w:rStyle w:val="Hyperlink"/>
                <w:noProof/>
              </w:rPr>
              <w:t>Archegos Capital Management (2021)</w:t>
            </w:r>
            <w:r>
              <w:rPr>
                <w:noProof/>
              </w:rPr>
              <w:tab/>
            </w:r>
            <w:r>
              <w:rPr>
                <w:noProof/>
              </w:rPr>
              <w:fldChar w:fldCharType="begin"/>
            </w:r>
            <w:r>
              <w:rPr>
                <w:noProof/>
              </w:rPr>
              <w:instrText xml:space="preserve"> PAGEREF _Toc228131681 \h </w:instrText>
            </w:r>
            <w:r>
              <w:rPr>
                <w:noProof/>
              </w:rPr>
            </w:r>
            <w:r>
              <w:rPr>
                <w:noProof/>
              </w:rPr>
              <w:fldChar w:fldCharType="separate"/>
            </w:r>
            <w:r>
              <w:rPr>
                <w:noProof/>
              </w:rPr>
              <w:t>33</w:t>
            </w:r>
            <w:r>
              <w:rPr>
                <w:noProof/>
              </w:rPr>
              <w:fldChar w:fldCharType="end"/>
            </w:r>
          </w:hyperlink>
        </w:p>
        <w:p w14:paraId="3CD52848" w14:textId="77777777" w:rsidR="00857A6E" w:rsidRDefault="00857A6E">
          <w:pPr>
            <w:pStyle w:val="TOC1"/>
            <w:tabs>
              <w:tab w:val="right" w:leader="dot" w:pos="9350"/>
            </w:tabs>
            <w:rPr>
              <w:noProof/>
            </w:rPr>
          </w:pPr>
          <w:hyperlink w:anchor="_Toc228131682" w:history="1">
            <w:r w:rsidRPr="001E19F5">
              <w:rPr>
                <w:rStyle w:val="Hyperlink"/>
                <w:noProof/>
              </w:rPr>
              <w:t>Glossary — New Terms from Module 5</w:t>
            </w:r>
            <w:r>
              <w:rPr>
                <w:noProof/>
              </w:rPr>
              <w:tab/>
            </w:r>
            <w:r>
              <w:rPr>
                <w:noProof/>
              </w:rPr>
              <w:fldChar w:fldCharType="begin"/>
            </w:r>
            <w:r>
              <w:rPr>
                <w:noProof/>
              </w:rPr>
              <w:instrText xml:space="preserve"> PAGEREF _Toc228131682 \h </w:instrText>
            </w:r>
            <w:r>
              <w:rPr>
                <w:noProof/>
              </w:rPr>
            </w:r>
            <w:r>
              <w:rPr>
                <w:noProof/>
              </w:rPr>
              <w:fldChar w:fldCharType="separate"/>
            </w:r>
            <w:r>
              <w:rPr>
                <w:noProof/>
              </w:rPr>
              <w:t>35</w:t>
            </w:r>
            <w:r>
              <w:rPr>
                <w:noProof/>
              </w:rPr>
              <w:fldChar w:fldCharType="end"/>
            </w:r>
          </w:hyperlink>
        </w:p>
        <w:p w14:paraId="58772DA4" w14:textId="77777777" w:rsidR="00857A6E" w:rsidRDefault="00857A6E">
          <w:pPr>
            <w:pStyle w:val="TOC1"/>
            <w:tabs>
              <w:tab w:val="right" w:leader="dot" w:pos="9350"/>
            </w:tabs>
            <w:rPr>
              <w:noProof/>
            </w:rPr>
          </w:pPr>
          <w:hyperlink w:anchor="_Toc228131683" w:history="1">
            <w:r w:rsidRPr="001E19F5">
              <w:rPr>
                <w:rStyle w:val="Hyperlink"/>
                <w:noProof/>
              </w:rPr>
              <w:t>Credits &amp; Series Trail</w:t>
            </w:r>
            <w:r>
              <w:rPr>
                <w:noProof/>
              </w:rPr>
              <w:tab/>
            </w:r>
            <w:r>
              <w:rPr>
                <w:noProof/>
              </w:rPr>
              <w:fldChar w:fldCharType="begin"/>
            </w:r>
            <w:r>
              <w:rPr>
                <w:noProof/>
              </w:rPr>
              <w:instrText xml:space="preserve"> PAGEREF _Toc228131683 \h </w:instrText>
            </w:r>
            <w:r>
              <w:rPr>
                <w:noProof/>
              </w:rPr>
            </w:r>
            <w:r>
              <w:rPr>
                <w:noProof/>
              </w:rPr>
              <w:fldChar w:fldCharType="separate"/>
            </w:r>
            <w:r>
              <w:rPr>
                <w:noProof/>
              </w:rPr>
              <w:t>37</w:t>
            </w:r>
            <w:r>
              <w:rPr>
                <w:noProof/>
              </w:rPr>
              <w:fldChar w:fldCharType="end"/>
            </w:r>
          </w:hyperlink>
        </w:p>
        <w:p w14:paraId="6F1EE476" w14:textId="77777777" w:rsidR="00857A6E" w:rsidRDefault="00857A6E">
          <w:pPr>
            <w:pStyle w:val="TOC2"/>
            <w:tabs>
              <w:tab w:val="right" w:leader="dot" w:pos="9350"/>
            </w:tabs>
            <w:rPr>
              <w:noProof/>
            </w:rPr>
          </w:pPr>
          <w:hyperlink w:anchor="_Toc228131684" w:history="1">
            <w:r w:rsidRPr="001E19F5">
              <w:rPr>
                <w:rStyle w:val="Hyperlink"/>
                <w:noProof/>
              </w:rPr>
              <w:t>20-60-20 Methodology Declaration</w:t>
            </w:r>
            <w:r>
              <w:rPr>
                <w:noProof/>
              </w:rPr>
              <w:tab/>
            </w:r>
            <w:r>
              <w:rPr>
                <w:noProof/>
              </w:rPr>
              <w:fldChar w:fldCharType="begin"/>
            </w:r>
            <w:r>
              <w:rPr>
                <w:noProof/>
              </w:rPr>
              <w:instrText xml:space="preserve"> PAGEREF _Toc228131684 \h </w:instrText>
            </w:r>
            <w:r>
              <w:rPr>
                <w:noProof/>
              </w:rPr>
            </w:r>
            <w:r>
              <w:rPr>
                <w:noProof/>
              </w:rPr>
              <w:fldChar w:fldCharType="separate"/>
            </w:r>
            <w:r>
              <w:rPr>
                <w:noProof/>
              </w:rPr>
              <w:t>37</w:t>
            </w:r>
            <w:r>
              <w:rPr>
                <w:noProof/>
              </w:rPr>
              <w:fldChar w:fldCharType="end"/>
            </w:r>
          </w:hyperlink>
        </w:p>
        <w:p w14:paraId="0F2F74B0" w14:textId="77777777" w:rsidR="00857A6E" w:rsidRDefault="00857A6E">
          <w:pPr>
            <w:pStyle w:val="TOC2"/>
            <w:tabs>
              <w:tab w:val="right" w:leader="dot" w:pos="9350"/>
            </w:tabs>
            <w:rPr>
              <w:noProof/>
            </w:rPr>
          </w:pPr>
          <w:hyperlink w:anchor="_Toc228131685" w:history="1">
            <w:r w:rsidRPr="001E19F5">
              <w:rPr>
                <w:rStyle w:val="Hyperlink"/>
                <w:noProof/>
              </w:rPr>
              <w:t>Full Series</w:t>
            </w:r>
            <w:r>
              <w:rPr>
                <w:noProof/>
              </w:rPr>
              <w:tab/>
            </w:r>
            <w:r>
              <w:rPr>
                <w:noProof/>
              </w:rPr>
              <w:fldChar w:fldCharType="begin"/>
            </w:r>
            <w:r>
              <w:rPr>
                <w:noProof/>
              </w:rPr>
              <w:instrText xml:space="preserve"> PAGEREF _Toc228131685 \h </w:instrText>
            </w:r>
            <w:r>
              <w:rPr>
                <w:noProof/>
              </w:rPr>
            </w:r>
            <w:r>
              <w:rPr>
                <w:noProof/>
              </w:rPr>
              <w:fldChar w:fldCharType="separate"/>
            </w:r>
            <w:r>
              <w:rPr>
                <w:noProof/>
              </w:rPr>
              <w:t>37</w:t>
            </w:r>
            <w:r>
              <w:rPr>
                <w:noProof/>
              </w:rPr>
              <w:fldChar w:fldCharType="end"/>
            </w:r>
          </w:hyperlink>
        </w:p>
        <w:p w14:paraId="2A9C341E" w14:textId="77777777" w:rsidR="0004652A" w:rsidRDefault="00000000">
          <w:r>
            <w:fldChar w:fldCharType="end"/>
          </w:r>
        </w:p>
      </w:sdtContent>
    </w:sdt>
    <w:p w14:paraId="458834DF" w14:textId="77777777" w:rsidR="0004652A" w:rsidRDefault="00000000">
      <w:r>
        <w:br w:type="page"/>
      </w:r>
    </w:p>
    <w:p w14:paraId="15611DEA" w14:textId="77777777" w:rsidR="0004652A" w:rsidRDefault="00000000">
      <w:pPr>
        <w:pStyle w:val="Heading2"/>
      </w:pPr>
      <w:bookmarkStart w:id="0" w:name="_Toc228131609"/>
      <w:r>
        <w:lastRenderedPageBreak/>
        <w:t>About This Document</w:t>
      </w:r>
      <w:bookmarkEnd w:id="0"/>
    </w:p>
    <w:p w14:paraId="49C557C0" w14:textId="77777777" w:rsidR="0004652A" w:rsidRDefault="00000000">
      <w:pPr>
        <w:spacing w:before="80" w:after="80"/>
        <w:jc w:val="both"/>
      </w:pPr>
      <w:r>
        <w:t>This module is part of the Practitioner Knowledge Repository on Banking Regulation and Risk Management, a practitioner-grade open-access series curated by Sarthaka Nanda.</w:t>
      </w:r>
    </w:p>
    <w:p w14:paraId="32C42E01"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3120"/>
        <w:gridCol w:w="3120"/>
        <w:gridCol w:w="3120"/>
      </w:tblGrid>
      <w:tr w:rsidR="0004652A" w14:paraId="72ED8E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B259A41" w14:textId="77777777" w:rsidR="0004652A" w:rsidRDefault="00000000">
            <w:pPr>
              <w:jc w:val="center"/>
            </w:pPr>
            <w:r>
              <w:rPr>
                <w:b/>
                <w:bCs/>
                <w:color w:val="FFFFFF"/>
                <w:sz w:val="20"/>
                <w:szCs w:val="20"/>
              </w:rPr>
              <w:t>20% — Human Direction</w:t>
            </w:r>
          </w:p>
        </w:tc>
        <w:tc>
          <w:tcPr>
            <w:tcW w:w="312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vAlign w:val="center"/>
          </w:tcPr>
          <w:p w14:paraId="5C9B8ACD" w14:textId="77777777" w:rsidR="0004652A" w:rsidRDefault="00000000">
            <w:pPr>
              <w:jc w:val="center"/>
            </w:pPr>
            <w:r>
              <w:rPr>
                <w:b/>
                <w:bCs/>
                <w:color w:val="FFFFFF"/>
                <w:sz w:val="20"/>
                <w:szCs w:val="20"/>
              </w:rPr>
              <w:t>60% — AI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28B67C" w14:textId="77777777" w:rsidR="0004652A" w:rsidRDefault="00000000">
            <w:pPr>
              <w:jc w:val="center"/>
            </w:pPr>
            <w:r>
              <w:rPr>
                <w:b/>
                <w:bCs/>
                <w:color w:val="FFFFFF"/>
                <w:sz w:val="20"/>
                <w:szCs w:val="20"/>
              </w:rPr>
              <w:t>20% — Human Review</w:t>
            </w:r>
          </w:p>
        </w:tc>
      </w:tr>
      <w:tr w:rsidR="0004652A" w14:paraId="73F80B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E932E85" w14:textId="77777777" w:rsidR="0004652A" w:rsidRDefault="00000000">
            <w:r>
              <w:rPr>
                <w:sz w:val="20"/>
                <w:szCs w:val="20"/>
              </w:rPr>
              <w:t>Topic selection, structural design, strategic framing, worked example parameters, quality direction.</w:t>
            </w:r>
          </w:p>
        </w:tc>
        <w:tc>
          <w:tcPr>
            <w:tcW w:w="312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0F6C5732" w14:textId="77777777" w:rsidR="0004652A" w:rsidRDefault="00000000">
            <w:r>
              <w:rPr>
                <w:sz w:val="20"/>
                <w:szCs w:val="20"/>
              </w:rPr>
              <w:t>Technical content drafting, formula derivation, table construction, regulatory mapping, case study research.</w:t>
            </w:r>
          </w:p>
        </w:tc>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59D974" w14:textId="77777777" w:rsidR="0004652A" w:rsidRDefault="00000000">
            <w:r>
              <w:rPr>
                <w:sz w:val="20"/>
                <w:szCs w:val="20"/>
              </w:rPr>
              <w:t>Mandatory review for accuracy, consistency, professional standards, and editorial judgment before publication.</w:t>
            </w:r>
          </w:p>
        </w:tc>
      </w:tr>
    </w:tbl>
    <w:p w14:paraId="0DD008F2" w14:textId="77777777" w:rsidR="0004652A" w:rsidRDefault="0004652A">
      <w:pPr>
        <w:spacing w:before="80"/>
      </w:pPr>
    </w:p>
    <w:p w14:paraId="00F3ED7B" w14:textId="77777777" w:rsidR="0004652A" w:rsidRDefault="00000000">
      <w:pPr>
        <w:spacing w:before="80" w:after="80"/>
        <w:jc w:val="both"/>
      </w:pPr>
      <w:r>
        <w:rPr>
          <w:i/>
          <w:iCs/>
          <w:color w:val="028090"/>
        </w:rPr>
        <w:t>AI-generated content without mandatory human review is not professional-grade content — it is a liability.</w:t>
      </w:r>
    </w:p>
    <w:p w14:paraId="28EA38B0" w14:textId="77777777" w:rsidR="0004652A" w:rsidRDefault="0004652A">
      <w:pPr>
        <w:spacing w:before="160"/>
      </w:pPr>
    </w:p>
    <w:p w14:paraId="3C8D89D6" w14:textId="77777777" w:rsidR="0004652A" w:rsidRDefault="00000000">
      <w:pPr>
        <w:pStyle w:val="Heading1"/>
      </w:pPr>
      <w:bookmarkStart w:id="1" w:name="_Toc228131610"/>
      <w:r>
        <w:t>Section 1 — Why ISDA Exists</w:t>
      </w:r>
      <w:bookmarkEnd w:id="1"/>
    </w:p>
    <w:p w14:paraId="1CEDAA2D" w14:textId="77777777" w:rsidR="0004652A" w:rsidRDefault="0004652A">
      <w:pPr>
        <w:pBdr>
          <w:bottom w:val="single" w:sz="6" w:space="1" w:color="028090"/>
        </w:pBdr>
        <w:spacing w:before="120" w:after="120"/>
      </w:pPr>
    </w:p>
    <w:p w14:paraId="64A650D2" w14:textId="77777777" w:rsidR="0004652A" w:rsidRDefault="0004652A">
      <w:pPr>
        <w:spacing w:before="80"/>
      </w:pPr>
    </w:p>
    <w:p w14:paraId="5B776546" w14:textId="77777777" w:rsidR="0004652A" w:rsidRDefault="00000000">
      <w:pPr>
        <w:pStyle w:val="Heading2"/>
      </w:pPr>
      <w:bookmarkStart w:id="2" w:name="_Toc228131611"/>
      <w:r>
        <w:t>1.1  The Pre-Netting World</w:t>
      </w:r>
      <w:bookmarkEnd w:id="2"/>
    </w:p>
    <w:p w14:paraId="0E75183B" w14:textId="77777777" w:rsidR="0004652A" w:rsidRDefault="00000000">
      <w:pPr>
        <w:spacing w:before="80" w:after="80"/>
        <w:jc w:val="both"/>
      </w:pPr>
      <w:r>
        <w:t>Before standardised documentation and legally enforceable netting, the over-the-counter (OTC) derivative market was a patchwork of bespoke bilateral contracts. Each trade was individually documented; each had its own termination provisions; and in the event of a counterparty default, a bank had no reliable mechanism to offset what it was owed against what it owed. The result was gross exposure measurement — every trade counted independently, regardless of whether the same counterparty was simultaneously on the other side of an offsetting position.</w:t>
      </w:r>
    </w:p>
    <w:p w14:paraId="3D2F5531" w14:textId="77777777" w:rsidR="0004652A" w:rsidRDefault="0004652A">
      <w:pPr>
        <w:spacing w:before="80"/>
      </w:pPr>
    </w:p>
    <w:p w14:paraId="5BE416C2" w14:textId="77777777" w:rsidR="0004652A" w:rsidRDefault="00000000">
      <w:pPr>
        <w:spacing w:before="80" w:after="80"/>
        <w:jc w:val="both"/>
      </w:pPr>
      <w:r>
        <w:t>The systemic consequences were significant. Capital requirements were grossly overstated relative to net economic risk. Settlement risk was amplified: two trades that theoretically cancelled each other out still required independent settlement flows. And in a stress event, a defaulting counterparty's administrator could selectively enforce profitable contracts whilst walking away from loss-making ones — a practice known as cherry-picking.</w:t>
      </w:r>
    </w:p>
    <w:p w14:paraId="584A0823" w14:textId="77777777" w:rsidR="0004652A" w:rsidRDefault="0004652A">
      <w:pPr>
        <w:spacing w:before="80"/>
      </w:pPr>
    </w:p>
    <w:p w14:paraId="2B2703A1" w14:textId="77777777" w:rsidR="0004652A" w:rsidRDefault="00000000">
      <w:pPr>
        <w:pStyle w:val="Heading2"/>
      </w:pPr>
      <w:bookmarkStart w:id="3" w:name="_Toc228131612"/>
      <w:r>
        <w:t>1.2  The 1987 Catalyst</w:t>
      </w:r>
      <w:bookmarkEnd w:id="3"/>
    </w:p>
    <w:p w14:paraId="12C2F3F5" w14:textId="77777777" w:rsidR="0004652A" w:rsidRDefault="00000000">
      <w:pPr>
        <w:spacing w:before="80" w:after="80"/>
        <w:jc w:val="both"/>
      </w:pPr>
      <w:r>
        <w:t>The October 1987 market crash exposed the fragility of this structure. Counterparty concentrations that had been obscured by gross measurement suddenly became visible. The absence of standardised close-out provisions meant that resolving positions with a defaulted counterparty could take months or years, during which the surviving party bore unhedged market risk.</w:t>
      </w:r>
    </w:p>
    <w:p w14:paraId="5C15C7E2"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7BC477A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4AA206B0" w14:textId="77777777" w:rsidR="0004652A" w:rsidRDefault="00000000">
            <w:pPr>
              <w:jc w:val="center"/>
            </w:pPr>
            <w:r>
              <w:rPr>
                <w:b/>
                <w:bCs/>
                <w:color w:val="C8953A"/>
                <w:sz w:val="20"/>
                <w:szCs w:val="20"/>
              </w:rPr>
              <w:lastRenderedPageBreak/>
              <w:t>KEY INSIGHT</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44E762C2" w14:textId="77777777" w:rsidR="0004652A" w:rsidRDefault="00000000">
            <w:pPr>
              <w:jc w:val="both"/>
            </w:pPr>
            <w:r>
              <w:rPr>
                <w:i/>
                <w:iCs/>
                <w:sz w:val="20"/>
                <w:szCs w:val="20"/>
              </w:rPr>
              <w:t>Cherry-picking — where an administrator of a defaulted entity selectively enforces only the contracts that are in-the-money for the estate whilst disclaiming out-of-the-money contracts — was the central legal risk that ISDA's close-out netting provisions were designed to eliminate.</w:t>
            </w:r>
          </w:p>
        </w:tc>
      </w:tr>
    </w:tbl>
    <w:p w14:paraId="3B2E3C72" w14:textId="77777777" w:rsidR="0004652A" w:rsidRDefault="0004652A">
      <w:pPr>
        <w:spacing w:before="120"/>
      </w:pPr>
    </w:p>
    <w:p w14:paraId="77D1BD0C" w14:textId="77777777" w:rsidR="0004652A" w:rsidRDefault="00000000">
      <w:pPr>
        <w:pStyle w:val="Heading2"/>
      </w:pPr>
      <w:bookmarkStart w:id="4" w:name="_Toc228131613"/>
      <w:r>
        <w:t>1.3  ISDA's Founding Mandate</w:t>
      </w:r>
      <w:bookmarkEnd w:id="4"/>
    </w:p>
    <w:p w14:paraId="444E7B2E" w14:textId="77777777" w:rsidR="0004652A" w:rsidRDefault="00000000">
      <w:pPr>
        <w:spacing w:before="80" w:after="80"/>
        <w:jc w:val="both"/>
      </w:pPr>
      <w:r>
        <w:t>The International Swaps and Derivatives Association (ISDA) was founded in 1985, initially as the International Swap Dealers Association. Its core mandate was threefold:</w:t>
      </w:r>
    </w:p>
    <w:p w14:paraId="11D87D70" w14:textId="77777777" w:rsidR="0004652A" w:rsidRDefault="0004652A">
      <w:pPr>
        <w:spacing w:before="80"/>
      </w:pPr>
    </w:p>
    <w:p w14:paraId="3950F07A" w14:textId="77777777" w:rsidR="0004652A" w:rsidRDefault="00000000">
      <w:pPr>
        <w:pStyle w:val="ListParagraph"/>
        <w:numPr>
          <w:ilvl w:val="0"/>
          <w:numId w:val="2"/>
        </w:numPr>
        <w:spacing w:before="60" w:after="60"/>
      </w:pPr>
      <w:r>
        <w:t>Standardise documentation: produce template agreements that could be adopted across the industry, reducing negotiation time and legal uncertainty.</w:t>
      </w:r>
    </w:p>
    <w:p w14:paraId="71265A66" w14:textId="77777777" w:rsidR="0004652A" w:rsidRDefault="00000000">
      <w:pPr>
        <w:pStyle w:val="ListParagraph"/>
        <w:numPr>
          <w:ilvl w:val="0"/>
          <w:numId w:val="2"/>
        </w:numPr>
        <w:spacing w:before="60" w:after="60"/>
      </w:pPr>
      <w:r>
        <w:t>Establish legal certainty: secure enforceable netting opinions across major jurisdictions, confirming that a single net sum — not gross individual trade amounts — would be recognised in insolvency proceedings.</w:t>
      </w:r>
    </w:p>
    <w:p w14:paraId="6766F257" w14:textId="77777777" w:rsidR="0004652A" w:rsidRDefault="00000000">
      <w:pPr>
        <w:pStyle w:val="ListParagraph"/>
        <w:numPr>
          <w:ilvl w:val="0"/>
          <w:numId w:val="2"/>
        </w:numPr>
        <w:spacing w:before="60" w:after="60"/>
      </w:pPr>
      <w:r>
        <w:t>Enable regulatory capital efficiency: provide the legal foundation for regulators to allow banks to use net rather than gross exposures for capital calculation, dramatically reducing capital requirements for well-hedged books.</w:t>
      </w:r>
    </w:p>
    <w:p w14:paraId="736BD409" w14:textId="77777777" w:rsidR="0004652A" w:rsidRDefault="0004652A">
      <w:pPr>
        <w:spacing w:before="120"/>
      </w:pPr>
    </w:p>
    <w:p w14:paraId="0AB254B5" w14:textId="77777777" w:rsidR="0004652A" w:rsidRDefault="00000000">
      <w:pPr>
        <w:pStyle w:val="Heading2"/>
      </w:pPr>
      <w:bookmarkStart w:id="5" w:name="_Toc228131614"/>
      <w:r>
        <w:t>1.4  What ISDA Solved — and What It Did Not</w:t>
      </w:r>
      <w:bookmarkEnd w:id="5"/>
    </w:p>
    <w:p w14:paraId="76686BE8" w14:textId="77777777" w:rsidR="0004652A" w:rsidRDefault="00000000">
      <w:pPr>
        <w:spacing w:before="80" w:after="80"/>
        <w:jc w:val="both"/>
      </w:pPr>
      <w:r>
        <w:t>ISDA's standardised framework delivered three major advances:</w:t>
      </w:r>
    </w:p>
    <w:p w14:paraId="1F00A06A" w14:textId="77777777" w:rsidR="0004652A" w:rsidRDefault="0004652A">
      <w:pPr>
        <w:spacing w:before="60"/>
      </w:pPr>
    </w:p>
    <w:tbl>
      <w:tblPr>
        <w:tblW w:w="9360" w:type="dxa"/>
        <w:tblCellMar>
          <w:left w:w="10" w:type="dxa"/>
          <w:right w:w="10" w:type="dxa"/>
        </w:tblCellMar>
        <w:tblLook w:val="04A0" w:firstRow="1" w:lastRow="0" w:firstColumn="1" w:lastColumn="0" w:noHBand="0" w:noVBand="1"/>
      </w:tblPr>
      <w:tblGrid>
        <w:gridCol w:w="3120"/>
        <w:gridCol w:w="3120"/>
        <w:gridCol w:w="3120"/>
      </w:tblGrid>
      <w:tr w:rsidR="0004652A" w14:paraId="75FC8C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616C32B" w14:textId="77777777" w:rsidR="0004652A" w:rsidRDefault="00000000">
            <w:pPr>
              <w:jc w:val="center"/>
            </w:pPr>
            <w:r>
              <w:rPr>
                <w:b/>
                <w:bCs/>
                <w:color w:val="FFFFFF"/>
                <w:sz w:val="20"/>
                <w:szCs w:val="20"/>
              </w:rPr>
              <w:t>Problem</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24A3F75" w14:textId="77777777" w:rsidR="0004652A" w:rsidRDefault="00000000">
            <w:pPr>
              <w:jc w:val="center"/>
            </w:pPr>
            <w:r>
              <w:rPr>
                <w:b/>
                <w:bCs/>
                <w:color w:val="FFFFFF"/>
                <w:sz w:val="20"/>
                <w:szCs w:val="20"/>
              </w:rPr>
              <w:t>ISDA Solution</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7148A4" w14:textId="77777777" w:rsidR="0004652A" w:rsidRDefault="00000000">
            <w:pPr>
              <w:jc w:val="center"/>
            </w:pPr>
            <w:r>
              <w:rPr>
                <w:b/>
                <w:bCs/>
                <w:color w:val="FFFFFF"/>
                <w:sz w:val="20"/>
                <w:szCs w:val="20"/>
              </w:rPr>
              <w:t>Residual Risk</w:t>
            </w:r>
          </w:p>
        </w:tc>
      </w:tr>
      <w:tr w:rsidR="0004652A" w14:paraId="7FD291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4B82A27" w14:textId="77777777" w:rsidR="0004652A" w:rsidRDefault="00000000">
            <w:r>
              <w:rPr>
                <w:sz w:val="20"/>
                <w:szCs w:val="20"/>
              </w:rPr>
              <w:t>Cherry-picking by administrators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1F50" w14:textId="77777777" w:rsidR="0004652A" w:rsidRDefault="00000000">
            <w:r>
              <w:rPr>
                <w:sz w:val="20"/>
                <w:szCs w:val="20"/>
              </w:rPr>
              <w:t>Close-out netting: single net sum replaces gross settlement</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F5C37B9" w14:textId="77777777" w:rsidR="0004652A" w:rsidRDefault="00000000">
            <w:r>
              <w:rPr>
                <w:sz w:val="20"/>
                <w:szCs w:val="20"/>
              </w:rPr>
              <w:t>Enforceability varies by jurisdiction; opinions required</w:t>
            </w:r>
          </w:p>
        </w:tc>
      </w:tr>
      <w:tr w:rsidR="0004652A" w14:paraId="17EA02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C160EBA" w14:textId="77777777" w:rsidR="0004652A" w:rsidRDefault="00000000">
            <w:r>
              <w:rPr>
                <w:sz w:val="20"/>
                <w:szCs w:val="20"/>
              </w:rPr>
              <w:t>Gross exposure overstating capital needs</w:t>
            </w:r>
          </w:p>
        </w:tc>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53FE5E4" w14:textId="77777777" w:rsidR="0004652A" w:rsidRDefault="00000000">
            <w:r>
              <w:rPr>
                <w:sz w:val="20"/>
                <w:szCs w:val="20"/>
              </w:rPr>
              <w:t>Net exposure recognised for regulatory capital under SA-CCR</w:t>
            </w:r>
          </w:p>
        </w:tc>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F631A04" w14:textId="77777777" w:rsidR="0004652A" w:rsidRDefault="00000000">
            <w:r>
              <w:rPr>
                <w:sz w:val="20"/>
                <w:szCs w:val="20"/>
              </w:rPr>
              <w:t>Netting must be legally enforceable in counterparty's jurisdiction</w:t>
            </w:r>
          </w:p>
        </w:tc>
      </w:tr>
      <w:tr w:rsidR="0004652A" w14:paraId="34BE18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76F4D8F" w14:textId="77777777" w:rsidR="0004652A" w:rsidRDefault="00000000">
            <w:r>
              <w:rPr>
                <w:sz w:val="20"/>
                <w:szCs w:val="20"/>
              </w:rPr>
              <w:t>Bespoke documentation — slow, expensive, inconsistent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F24FD" w14:textId="77777777" w:rsidR="0004652A" w:rsidRDefault="00000000">
            <w:r>
              <w:rPr>
                <w:sz w:val="20"/>
                <w:szCs w:val="20"/>
              </w:rPr>
              <w:t>Standardised Master Agreement and CSA templates</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E3AE708" w14:textId="77777777" w:rsidR="0004652A" w:rsidRDefault="00000000">
            <w:r>
              <w:rPr>
                <w:sz w:val="20"/>
                <w:szCs w:val="20"/>
              </w:rPr>
              <w:t>Schedule elections still require negotiation; legal costs remain</w:t>
            </w:r>
          </w:p>
        </w:tc>
      </w:tr>
      <w:tr w:rsidR="0004652A" w14:paraId="0CE262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BAD1477" w14:textId="77777777" w:rsidR="0004652A" w:rsidRDefault="00000000">
            <w:r>
              <w:rPr>
                <w:sz w:val="20"/>
                <w:szCs w:val="20"/>
              </w:rPr>
              <w:t>No standard collateral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9F71B75" w14:textId="77777777" w:rsidR="0004652A" w:rsidRDefault="00000000">
            <w:r>
              <w:rPr>
                <w:sz w:val="20"/>
                <w:szCs w:val="20"/>
              </w:rPr>
              <w:t>Credit Support Annex (CSA) provides collateral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7E525A7" w14:textId="77777777" w:rsidR="0004652A" w:rsidRDefault="00000000">
            <w:r>
              <w:rPr>
                <w:sz w:val="20"/>
                <w:szCs w:val="20"/>
              </w:rPr>
              <w:t>CSA terms vary widely; collateral quality and haircuts negotiated bilaterally</w:t>
            </w:r>
          </w:p>
        </w:tc>
      </w:tr>
    </w:tbl>
    <w:p w14:paraId="63F5BC06" w14:textId="77777777" w:rsidR="0004652A" w:rsidRDefault="0004652A">
      <w:pPr>
        <w:spacing w:before="120"/>
      </w:pPr>
    </w:p>
    <w:p w14:paraId="653B12AF" w14:textId="77777777" w:rsidR="0004652A" w:rsidRDefault="00000000">
      <w:pPr>
        <w:spacing w:before="80" w:after="80"/>
        <w:jc w:val="both"/>
      </w:pPr>
      <w:r>
        <w:t xml:space="preserve">Critically, ISDA documentation does not eliminate credit risk — it manages it. A counterparty can still default; collateral can still be insufficient; markets can still move adversely between margin calls. ISDA provides the legal infrastructure within which risk management tools — CVA, FVA, MVA, and </w:t>
      </w:r>
      <w:proofErr w:type="spellStart"/>
      <w:r>
        <w:t>ColVA</w:t>
      </w:r>
      <w:proofErr w:type="spellEnd"/>
      <w:r>
        <w:t xml:space="preserve"> — operate.</w:t>
      </w:r>
    </w:p>
    <w:p w14:paraId="2648C1FB" w14:textId="77777777" w:rsidR="0004652A" w:rsidRDefault="0004652A">
      <w:pPr>
        <w:spacing w:before="160"/>
      </w:pPr>
    </w:p>
    <w:p w14:paraId="50467E11" w14:textId="77777777" w:rsidR="0004652A" w:rsidRDefault="00000000">
      <w:r>
        <w:br w:type="page"/>
      </w:r>
    </w:p>
    <w:p w14:paraId="3B5F41BF" w14:textId="77777777" w:rsidR="0004652A" w:rsidRDefault="00000000">
      <w:pPr>
        <w:pStyle w:val="Heading1"/>
      </w:pPr>
      <w:bookmarkStart w:id="6" w:name="_Toc228131615"/>
      <w:r>
        <w:lastRenderedPageBreak/>
        <w:t>Section 2 — The ISDA Document Hierarchy</w:t>
      </w:r>
      <w:bookmarkEnd w:id="6"/>
    </w:p>
    <w:p w14:paraId="506A019F" w14:textId="77777777" w:rsidR="0004652A" w:rsidRDefault="0004652A">
      <w:pPr>
        <w:pBdr>
          <w:bottom w:val="single" w:sz="6" w:space="1" w:color="028090"/>
        </w:pBdr>
        <w:spacing w:before="120" w:after="120"/>
      </w:pPr>
    </w:p>
    <w:p w14:paraId="0DCD044F" w14:textId="77777777" w:rsidR="0004652A" w:rsidRDefault="0004652A">
      <w:pPr>
        <w:spacing w:before="80"/>
      </w:pPr>
    </w:p>
    <w:p w14:paraId="0D2B127C" w14:textId="77777777" w:rsidR="0004652A" w:rsidRDefault="00000000">
      <w:pPr>
        <w:pStyle w:val="Heading2"/>
      </w:pPr>
      <w:bookmarkStart w:id="7" w:name="_Toc228131616"/>
      <w:r>
        <w:t>2.1  The Three-Layer Stack</w:t>
      </w:r>
      <w:bookmarkEnd w:id="7"/>
    </w:p>
    <w:p w14:paraId="4870D2F9" w14:textId="77777777" w:rsidR="0004652A" w:rsidRDefault="00000000">
      <w:pPr>
        <w:spacing w:before="80" w:after="80"/>
        <w:jc w:val="both"/>
      </w:pPr>
      <w:r>
        <w:t>The ISDA framework comprises three document types arranged in a strict legal hierarchy. Understanding what each layer does — and critically, which layers can exist independently — is foundational to understanding how OTC derivative contracts are structured.</w:t>
      </w:r>
    </w:p>
    <w:p w14:paraId="2B5A6F94" w14:textId="77777777" w:rsidR="0004652A" w:rsidRDefault="0004652A">
      <w:pPr>
        <w:spacing w:before="120"/>
      </w:pPr>
    </w:p>
    <w:tbl>
      <w:tblPr>
        <w:tblW w:w="9360" w:type="dxa"/>
        <w:tblCellMar>
          <w:left w:w="10" w:type="dxa"/>
          <w:right w:w="10" w:type="dxa"/>
        </w:tblCellMar>
        <w:tblLook w:val="04A0" w:firstRow="1" w:lastRow="0" w:firstColumn="1" w:lastColumn="0" w:noHBand="0" w:noVBand="1"/>
      </w:tblPr>
      <w:tblGrid>
        <w:gridCol w:w="9360"/>
      </w:tblGrid>
      <w:tr w:rsidR="0004652A" w14:paraId="73FEF841" w14:textId="77777777">
        <w:tblPrEx>
          <w:tblCellMar>
            <w:top w:w="0" w:type="dxa"/>
            <w:bottom w:w="0" w:type="dxa"/>
          </w:tblCellMar>
        </w:tblPrEx>
        <w:tc>
          <w:tcPr>
            <w:tcW w:w="9360" w:type="dxa"/>
            <w:tcBorders>
              <w:top w:val="single" w:sz="8" w:space="0" w:color="C8953A"/>
              <w:left w:val="single" w:sz="8" w:space="0" w:color="C8953A"/>
              <w:bottom w:val="none" w:sz="0" w:space="0" w:color="FFFFFF"/>
              <w:right w:val="none" w:sz="0" w:space="0" w:color="FFFFFF"/>
            </w:tcBorders>
            <w:shd w:val="clear" w:color="auto" w:fill="1B2A4A"/>
            <w:tcMar>
              <w:top w:w="160" w:type="dxa"/>
              <w:left w:w="240" w:type="dxa"/>
              <w:bottom w:w="100" w:type="dxa"/>
              <w:right w:w="240" w:type="dxa"/>
            </w:tcMar>
          </w:tcPr>
          <w:p w14:paraId="4777416E" w14:textId="77777777" w:rsidR="0004652A" w:rsidRDefault="00000000">
            <w:pPr>
              <w:jc w:val="center"/>
            </w:pPr>
            <w:r>
              <w:rPr>
                <w:b/>
                <w:bCs/>
                <w:caps/>
                <w:color w:val="C8953A"/>
                <w:sz w:val="18"/>
                <w:szCs w:val="18"/>
              </w:rPr>
              <w:t>LAYER 1</w:t>
            </w:r>
          </w:p>
          <w:p w14:paraId="4515E96F" w14:textId="77777777" w:rsidR="0004652A" w:rsidRDefault="00000000">
            <w:pPr>
              <w:jc w:val="center"/>
            </w:pPr>
            <w:r>
              <w:rPr>
                <w:b/>
                <w:bCs/>
                <w:color w:val="FFFFFF"/>
                <w:sz w:val="28"/>
                <w:szCs w:val="28"/>
              </w:rPr>
              <w:t>ISDA Master Agreement + Schedule</w:t>
            </w:r>
          </w:p>
          <w:p w14:paraId="74A9244F" w14:textId="77777777" w:rsidR="0004652A" w:rsidRDefault="00000000">
            <w:pPr>
              <w:jc w:val="center"/>
            </w:pPr>
            <w:r>
              <w:rPr>
                <w:i/>
                <w:iCs/>
                <w:color w:val="028090"/>
                <w:sz w:val="20"/>
                <w:szCs w:val="20"/>
              </w:rPr>
              <w:t>Inseparable — the Schedule is legally part of the Master Agreement</w:t>
            </w:r>
          </w:p>
          <w:p w14:paraId="17E2D480" w14:textId="77777777" w:rsidR="0004652A" w:rsidRDefault="00000000">
            <w:pPr>
              <w:jc w:val="center"/>
            </w:pPr>
            <w:r>
              <w:rPr>
                <w:b/>
                <w:bCs/>
                <w:color w:val="00A896"/>
                <w:sz w:val="20"/>
                <w:szCs w:val="20"/>
              </w:rPr>
              <w:t xml:space="preserve">CAN </w:t>
            </w:r>
            <w:proofErr w:type="spellStart"/>
            <w:r>
              <w:rPr>
                <w:b/>
                <w:bCs/>
                <w:color w:val="00A896"/>
                <w:sz w:val="20"/>
                <w:szCs w:val="20"/>
              </w:rPr>
              <w:t>stand alone</w:t>
            </w:r>
            <w:proofErr w:type="spellEnd"/>
            <w:r>
              <w:rPr>
                <w:b/>
                <w:bCs/>
                <w:color w:val="00A896"/>
                <w:sz w:val="20"/>
                <w:szCs w:val="20"/>
              </w:rPr>
              <w:t xml:space="preserve"> without a CSA ✔</w:t>
            </w:r>
          </w:p>
        </w:tc>
      </w:tr>
      <w:tr w:rsidR="0004652A" w14:paraId="2B639D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40" w:type="dxa"/>
              <w:bottom w:w="40" w:type="dxa"/>
              <w:right w:w="240" w:type="dxa"/>
            </w:tcMar>
          </w:tcPr>
          <w:p w14:paraId="1786D9F0" w14:textId="77777777" w:rsidR="0004652A" w:rsidRDefault="00000000">
            <w:pPr>
              <w:jc w:val="center"/>
            </w:pPr>
            <w:r>
              <w:rPr>
                <w:color w:val="8A9BB0"/>
                <w:sz w:val="18"/>
                <w:szCs w:val="18"/>
              </w:rPr>
              <w:t>▼  optional dependency ▼</w:t>
            </w:r>
          </w:p>
        </w:tc>
      </w:tr>
      <w:tr w:rsidR="0004652A" w14:paraId="298E87F7" w14:textId="77777777">
        <w:tblPrEx>
          <w:tblCellMar>
            <w:top w:w="0" w:type="dxa"/>
            <w:bottom w:w="0" w:type="dxa"/>
          </w:tblCellMar>
        </w:tblPrEx>
        <w:tc>
          <w:tcPr>
            <w:tcW w:w="9360" w:type="dxa"/>
            <w:tcBorders>
              <w:top w:val="single" w:sz="8" w:space="0" w:color="028090"/>
              <w:left w:val="single" w:sz="8" w:space="0" w:color="028090"/>
              <w:bottom w:val="none" w:sz="0" w:space="0" w:color="FFFFFF"/>
              <w:right w:val="none" w:sz="0" w:space="0" w:color="FFFFFF"/>
            </w:tcBorders>
            <w:shd w:val="clear" w:color="auto" w:fill="1B2A4A"/>
            <w:tcMar>
              <w:top w:w="160" w:type="dxa"/>
              <w:left w:w="400" w:type="dxa"/>
              <w:bottom w:w="100" w:type="dxa"/>
              <w:right w:w="400" w:type="dxa"/>
            </w:tcMar>
          </w:tcPr>
          <w:p w14:paraId="27A33AB3" w14:textId="77777777" w:rsidR="0004652A" w:rsidRDefault="00000000">
            <w:pPr>
              <w:jc w:val="center"/>
            </w:pPr>
            <w:r>
              <w:rPr>
                <w:b/>
                <w:bCs/>
                <w:caps/>
                <w:color w:val="028090"/>
                <w:sz w:val="18"/>
                <w:szCs w:val="18"/>
              </w:rPr>
              <w:t>LAYER 2</w:t>
            </w:r>
          </w:p>
          <w:p w14:paraId="3C0FBF9E" w14:textId="77777777" w:rsidR="0004652A" w:rsidRDefault="00000000">
            <w:pPr>
              <w:jc w:val="center"/>
            </w:pPr>
            <w:r>
              <w:rPr>
                <w:b/>
                <w:bCs/>
                <w:color w:val="FFFFFF"/>
                <w:sz w:val="28"/>
                <w:szCs w:val="28"/>
              </w:rPr>
              <w:t>Credit Support Annex (CSA)</w:t>
            </w:r>
          </w:p>
          <w:p w14:paraId="4336DB07" w14:textId="77777777" w:rsidR="0004652A" w:rsidRDefault="00000000">
            <w:pPr>
              <w:jc w:val="center"/>
            </w:pPr>
            <w:r>
              <w:rPr>
                <w:i/>
                <w:iCs/>
                <w:color w:val="028090"/>
                <w:sz w:val="20"/>
                <w:szCs w:val="20"/>
              </w:rPr>
              <w:t>Governs collateral posting — Variation Margin and Initial Margin</w:t>
            </w:r>
          </w:p>
          <w:p w14:paraId="2A7D7216" w14:textId="77777777" w:rsidR="0004652A" w:rsidRDefault="00000000">
            <w:pPr>
              <w:jc w:val="center"/>
            </w:pPr>
            <w:r>
              <w:rPr>
                <w:b/>
                <w:bCs/>
                <w:color w:val="C8953A"/>
                <w:sz w:val="20"/>
                <w:szCs w:val="20"/>
              </w:rPr>
              <w:t>CANNOT exist without a Master Agreement ✘  |  Master CAN exist without CSA ✔</w:t>
            </w:r>
          </w:p>
        </w:tc>
      </w:tr>
      <w:tr w:rsidR="0004652A" w14:paraId="74FD4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40" w:type="dxa"/>
              <w:left w:w="240" w:type="dxa"/>
              <w:bottom w:w="40" w:type="dxa"/>
              <w:right w:w="240" w:type="dxa"/>
            </w:tcMar>
          </w:tcPr>
          <w:p w14:paraId="5C02DDA1" w14:textId="77777777" w:rsidR="0004652A" w:rsidRDefault="00000000">
            <w:pPr>
              <w:jc w:val="center"/>
            </w:pPr>
            <w:r>
              <w:rPr>
                <w:color w:val="8A9BB0"/>
                <w:sz w:val="18"/>
                <w:szCs w:val="18"/>
              </w:rPr>
              <w:t>▼  governed by layers above ▼</w:t>
            </w:r>
          </w:p>
        </w:tc>
      </w:tr>
      <w:tr w:rsidR="0004652A" w14:paraId="02631829" w14:textId="77777777">
        <w:tblPrEx>
          <w:tblCellMar>
            <w:top w:w="0" w:type="dxa"/>
            <w:bottom w:w="0" w:type="dxa"/>
          </w:tblCellMar>
        </w:tblPrEx>
        <w:tc>
          <w:tcPr>
            <w:tcW w:w="9360" w:type="dxa"/>
            <w:tcBorders>
              <w:top w:val="single" w:sz="8" w:space="0" w:color="8A9BB0"/>
              <w:left w:val="single" w:sz="8" w:space="0" w:color="8A9BB0"/>
              <w:bottom w:val="none" w:sz="0" w:space="0" w:color="FFFFFF"/>
              <w:right w:val="none" w:sz="0" w:space="0" w:color="FFFFFF"/>
            </w:tcBorders>
            <w:shd w:val="clear" w:color="auto" w:fill="F4F6F8"/>
            <w:tcMar>
              <w:top w:w="160" w:type="dxa"/>
              <w:left w:w="600" w:type="dxa"/>
              <w:bottom w:w="100" w:type="dxa"/>
              <w:right w:w="600" w:type="dxa"/>
            </w:tcMar>
          </w:tcPr>
          <w:p w14:paraId="34968D79" w14:textId="77777777" w:rsidR="0004652A" w:rsidRDefault="00000000">
            <w:pPr>
              <w:jc w:val="center"/>
            </w:pPr>
            <w:r>
              <w:rPr>
                <w:b/>
                <w:bCs/>
                <w:caps/>
                <w:color w:val="8A9BB0"/>
                <w:sz w:val="18"/>
                <w:szCs w:val="18"/>
              </w:rPr>
              <w:t>LAYER 3</w:t>
            </w:r>
          </w:p>
          <w:p w14:paraId="0EBE18ED" w14:textId="77777777" w:rsidR="0004652A" w:rsidRDefault="00000000">
            <w:pPr>
              <w:jc w:val="center"/>
            </w:pPr>
            <w:r>
              <w:rPr>
                <w:b/>
                <w:bCs/>
                <w:sz w:val="28"/>
                <w:szCs w:val="28"/>
              </w:rPr>
              <w:t>Trade Confirmations</w:t>
            </w:r>
          </w:p>
          <w:p w14:paraId="2DCEF7E4" w14:textId="77777777" w:rsidR="0004652A" w:rsidRDefault="00000000">
            <w:pPr>
              <w:jc w:val="center"/>
            </w:pPr>
            <w:r>
              <w:rPr>
                <w:i/>
                <w:iCs/>
                <w:color w:val="8A9BB0"/>
                <w:sz w:val="20"/>
                <w:szCs w:val="20"/>
              </w:rPr>
              <w:t>Economic terms of each individual trade — notional, tenor, rate, payment dates</w:t>
            </w:r>
          </w:p>
          <w:p w14:paraId="7808BDB7" w14:textId="77777777" w:rsidR="0004652A" w:rsidRDefault="00000000">
            <w:pPr>
              <w:jc w:val="center"/>
            </w:pPr>
            <w:r>
              <w:rPr>
                <w:sz w:val="20"/>
                <w:szCs w:val="20"/>
              </w:rPr>
              <w:t>Reference and are governed by whichever Master and CSA (if any) applies</w:t>
            </w:r>
          </w:p>
        </w:tc>
      </w:tr>
    </w:tbl>
    <w:p w14:paraId="2EA287FB" w14:textId="77777777" w:rsidR="0004652A" w:rsidRDefault="0004652A">
      <w:pPr>
        <w:spacing w:before="120"/>
      </w:pPr>
    </w:p>
    <w:p w14:paraId="2C476CAC" w14:textId="77777777" w:rsidR="0004652A" w:rsidRDefault="00000000">
      <w:pPr>
        <w:pStyle w:val="Heading2"/>
      </w:pPr>
      <w:bookmarkStart w:id="8" w:name="_Toc228131617"/>
      <w:r>
        <w:t>2.2  Dependency Rules — What Can Exist Without What</w:t>
      </w:r>
      <w:bookmarkEnd w:id="8"/>
    </w:p>
    <w:p w14:paraId="4B20CDB6" w14:textId="77777777" w:rsidR="0004652A" w:rsidRDefault="00000000">
      <w:pPr>
        <w:spacing w:before="80" w:after="80"/>
        <w:jc w:val="both"/>
      </w:pPr>
      <w:r>
        <w:t>The dependency logic is frequently misunderstood in practice. The rules are absolute:</w:t>
      </w:r>
    </w:p>
    <w:p w14:paraId="4480A70B"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3500"/>
        <w:gridCol w:w="1800"/>
        <w:gridCol w:w="4060"/>
      </w:tblGrid>
      <w:tr w:rsidR="0004652A" w14:paraId="3A19EB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695285E" w14:textId="77777777" w:rsidR="0004652A" w:rsidRDefault="00000000">
            <w:pPr>
              <w:jc w:val="center"/>
            </w:pPr>
            <w:r>
              <w:rPr>
                <w:b/>
                <w:bCs/>
                <w:color w:val="FFFFFF"/>
                <w:sz w:val="20"/>
                <w:szCs w:val="20"/>
              </w:rPr>
              <w:t>Document</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33A49AE" w14:textId="77777777" w:rsidR="0004652A" w:rsidRDefault="00000000">
            <w:pPr>
              <w:jc w:val="center"/>
            </w:pPr>
            <w:r>
              <w:rPr>
                <w:b/>
                <w:bCs/>
                <w:color w:val="FFFFFF"/>
                <w:sz w:val="20"/>
                <w:szCs w:val="20"/>
              </w:rPr>
              <w:t>Can Stand Alone?</w:t>
            </w:r>
          </w:p>
        </w:tc>
        <w:tc>
          <w:tcPr>
            <w:tcW w:w="4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298682" w14:textId="77777777" w:rsidR="0004652A" w:rsidRDefault="00000000">
            <w:pPr>
              <w:jc w:val="center"/>
            </w:pPr>
            <w:r>
              <w:rPr>
                <w:b/>
                <w:bCs/>
                <w:color w:val="FFFFFF"/>
                <w:sz w:val="20"/>
                <w:szCs w:val="20"/>
              </w:rPr>
              <w:t>Why</w:t>
            </w:r>
          </w:p>
        </w:tc>
      </w:tr>
      <w:tr w:rsidR="0004652A" w14:paraId="405F70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F5C9E3C" w14:textId="77777777" w:rsidR="0004652A" w:rsidRDefault="00000000">
            <w:r>
              <w:rPr>
                <w:b/>
                <w:bCs/>
                <w:sz w:val="20"/>
                <w:szCs w:val="20"/>
              </w:rPr>
              <w:t>Master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6F2F2535" w14:textId="77777777" w:rsidR="0004652A" w:rsidRDefault="00000000">
            <w:pPr>
              <w:jc w:val="center"/>
            </w:pPr>
            <w:r>
              <w:rPr>
                <w:b/>
                <w:bCs/>
                <w:color w:val="FFFFFF"/>
                <w:sz w:val="20"/>
                <w:szCs w:val="20"/>
              </w:rPr>
              <w:t>Yes ✔</w:t>
            </w:r>
          </w:p>
        </w:tc>
        <w:tc>
          <w:tcPr>
            <w:tcW w:w="40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EB3520B" w14:textId="77777777" w:rsidR="0004652A" w:rsidRDefault="00000000">
            <w:r>
              <w:rPr>
                <w:sz w:val="20"/>
                <w:szCs w:val="20"/>
              </w:rPr>
              <w:t>Self-contained governing agreement. Many corporate counterparties trade under an ISDA Master with no CSA — uncollateralised trading.</w:t>
            </w:r>
          </w:p>
        </w:tc>
      </w:tr>
      <w:tr w:rsidR="0004652A" w14:paraId="1A131B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86BA5C2" w14:textId="77777777" w:rsidR="0004652A" w:rsidRDefault="00000000">
            <w:r>
              <w:rPr>
                <w:b/>
                <w:bCs/>
                <w:sz w:val="20"/>
                <w:szCs w:val="20"/>
              </w:rPr>
              <w:t>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4C2D35A" w14:textId="77777777" w:rsidR="0004652A" w:rsidRDefault="00000000">
            <w:pPr>
              <w:jc w:val="center"/>
            </w:pPr>
            <w:r>
              <w:rPr>
                <w:b/>
                <w:bCs/>
                <w:color w:val="C0392B"/>
                <w:sz w:val="20"/>
                <w:szCs w:val="20"/>
              </w:rPr>
              <w:t>No ✘</w:t>
            </w:r>
          </w:p>
        </w:tc>
        <w:tc>
          <w:tcPr>
            <w:tcW w:w="40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132EF4D" w14:textId="77777777" w:rsidR="0004652A" w:rsidRDefault="00000000">
            <w:r>
              <w:rPr>
                <w:sz w:val="20"/>
                <w:szCs w:val="20"/>
              </w:rPr>
              <w:t>Legally part of the Master Agreement — it amends and supplements the Master. Cannot exist as a standalone document.</w:t>
            </w:r>
          </w:p>
        </w:tc>
      </w:tr>
      <w:tr w:rsidR="0004652A" w14:paraId="6B30AE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A002B37" w14:textId="77777777" w:rsidR="0004652A" w:rsidRDefault="00000000">
            <w:r>
              <w:rPr>
                <w:b/>
                <w:bCs/>
                <w:sz w:val="20"/>
                <w:szCs w:val="20"/>
              </w:rPr>
              <w:t>Credit Support Annex (CSA)</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386BC41" w14:textId="77777777" w:rsidR="0004652A" w:rsidRDefault="00000000">
            <w:pPr>
              <w:jc w:val="center"/>
            </w:pPr>
            <w:r>
              <w:rPr>
                <w:b/>
                <w:bCs/>
                <w:color w:val="C0392B"/>
                <w:sz w:val="20"/>
                <w:szCs w:val="20"/>
              </w:rPr>
              <w:t>No ✘</w:t>
            </w:r>
          </w:p>
        </w:tc>
        <w:tc>
          <w:tcPr>
            <w:tcW w:w="40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F0CE8D" w14:textId="77777777" w:rsidR="0004652A" w:rsidRDefault="00000000">
            <w:r>
              <w:rPr>
                <w:sz w:val="20"/>
                <w:szCs w:val="20"/>
              </w:rPr>
              <w:t>A supplement to the Master Agreement. It has no legal standing without a Master in place. A CSA without a Master is legally void.</w:t>
            </w:r>
          </w:p>
        </w:tc>
      </w:tr>
      <w:tr w:rsidR="0004652A" w14:paraId="4F843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5B25F76" w14:textId="77777777" w:rsidR="0004652A" w:rsidRDefault="00000000">
            <w:r>
              <w:rPr>
                <w:b/>
                <w:bCs/>
                <w:sz w:val="20"/>
                <w:szCs w:val="20"/>
              </w:rPr>
              <w:lastRenderedPageBreak/>
              <w:t>Trade Confirmations</w:t>
            </w:r>
          </w:p>
        </w:tc>
        <w:tc>
          <w:tcPr>
            <w:tcW w:w="180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6704FB5F" w14:textId="77777777" w:rsidR="0004652A" w:rsidRDefault="00000000">
            <w:pPr>
              <w:jc w:val="center"/>
            </w:pPr>
            <w:r>
              <w:rPr>
                <w:b/>
                <w:bCs/>
                <w:sz w:val="20"/>
                <w:szCs w:val="20"/>
              </w:rPr>
              <w:t>Rarely</w:t>
            </w:r>
          </w:p>
        </w:tc>
        <w:tc>
          <w:tcPr>
            <w:tcW w:w="40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52C4C9E" w14:textId="77777777" w:rsidR="0004652A" w:rsidRDefault="00000000">
            <w:r>
              <w:rPr>
                <w:sz w:val="20"/>
                <w:szCs w:val="20"/>
              </w:rPr>
              <w:t>Technically can exist alone but have no netting protection and no collateral framework. In practice, always executed under a Master.</w:t>
            </w:r>
          </w:p>
        </w:tc>
      </w:tr>
    </w:tbl>
    <w:p w14:paraId="1D9E91EF" w14:textId="77777777" w:rsidR="0004652A" w:rsidRDefault="0004652A">
      <w:pPr>
        <w:spacing w:before="120"/>
      </w:pPr>
    </w:p>
    <w:p w14:paraId="67514A06" w14:textId="77777777" w:rsidR="0004652A" w:rsidRDefault="00000000">
      <w:pPr>
        <w:pStyle w:val="Heading2"/>
      </w:pPr>
      <w:bookmarkStart w:id="9" w:name="_Toc228131618"/>
      <w:r>
        <w:t>2.3  Annotated Hierarchy — Key Clauses by Layer</w:t>
      </w:r>
      <w:bookmarkEnd w:id="9"/>
    </w:p>
    <w:p w14:paraId="3491BDF8" w14:textId="77777777" w:rsidR="0004652A" w:rsidRDefault="00000000">
      <w:pPr>
        <w:spacing w:before="80" w:after="80"/>
        <w:jc w:val="both"/>
      </w:pPr>
      <w:r>
        <w:t>The following maps the principal clause types across each layer of the ISDA stack. Practitioners negotiating or reviewing ISDA documentation will encounter each of these in the relevant document:</w:t>
      </w:r>
    </w:p>
    <w:p w14:paraId="56319B40" w14:textId="77777777" w:rsidR="0004652A" w:rsidRDefault="0004652A">
      <w:pPr>
        <w:spacing w:before="80"/>
      </w:pPr>
    </w:p>
    <w:p w14:paraId="481DBD04" w14:textId="77777777" w:rsidR="0004652A" w:rsidRDefault="00000000">
      <w:pPr>
        <w:pStyle w:val="Heading3"/>
      </w:pPr>
      <w:bookmarkStart w:id="10" w:name="_Toc228131619"/>
      <w:r>
        <w:t>Master Agreement Clauses</w:t>
      </w:r>
      <w:bookmarkEnd w:id="10"/>
    </w:p>
    <w:tbl>
      <w:tblPr>
        <w:tblW w:w="9360" w:type="dxa"/>
        <w:tblCellMar>
          <w:left w:w="10" w:type="dxa"/>
          <w:right w:w="10" w:type="dxa"/>
        </w:tblCellMar>
        <w:tblLook w:val="04A0" w:firstRow="1" w:lastRow="0" w:firstColumn="1" w:lastColumn="0" w:noHBand="0" w:noVBand="1"/>
      </w:tblPr>
      <w:tblGrid>
        <w:gridCol w:w="2800"/>
        <w:gridCol w:w="6560"/>
      </w:tblGrid>
      <w:tr w:rsidR="0004652A" w14:paraId="5C901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E92955" w14:textId="77777777" w:rsidR="0004652A" w:rsidRDefault="00000000">
            <w:pPr>
              <w:jc w:val="center"/>
            </w:pPr>
            <w:r>
              <w:rPr>
                <w:b/>
                <w:bCs/>
                <w:color w:val="FFFFFF"/>
                <w:sz w:val="20"/>
                <w:szCs w:val="20"/>
              </w:rPr>
              <w:t>Clause Area</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E3646B" w14:textId="77777777" w:rsidR="0004652A" w:rsidRDefault="00000000">
            <w:pPr>
              <w:jc w:val="center"/>
            </w:pPr>
            <w:r>
              <w:rPr>
                <w:b/>
                <w:bCs/>
                <w:color w:val="FFFFFF"/>
                <w:sz w:val="20"/>
                <w:szCs w:val="20"/>
              </w:rPr>
              <w:t>Substance</w:t>
            </w:r>
          </w:p>
        </w:tc>
      </w:tr>
      <w:tr w:rsidR="0004652A" w14:paraId="4C6DB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F84E459" w14:textId="77777777" w:rsidR="0004652A" w:rsidRDefault="00000000">
            <w:r>
              <w:rPr>
                <w:b/>
                <w:bCs/>
                <w:sz w:val="20"/>
                <w:szCs w:val="20"/>
              </w:rPr>
              <w:t>Section 5 — Events of Default</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838F722" w14:textId="77777777" w:rsidR="0004652A" w:rsidRDefault="00000000">
            <w:r>
              <w:rPr>
                <w:sz w:val="20"/>
                <w:szCs w:val="20"/>
              </w:rPr>
              <w:t>Eight enumerated events: Failure to Pay, Breach of Agreement, Credit Support Default, Misrepresentation, Default Under Specified Transaction, Cross Default, Bankruptcy, Merger Without Assumption. Any one entitles the non-defaulting party to terminate.</w:t>
            </w:r>
          </w:p>
        </w:tc>
      </w:tr>
      <w:tr w:rsidR="0004652A" w14:paraId="41BC08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7A55672" w14:textId="77777777" w:rsidR="0004652A" w:rsidRDefault="00000000">
            <w:r>
              <w:rPr>
                <w:b/>
                <w:bCs/>
                <w:sz w:val="20"/>
                <w:szCs w:val="20"/>
              </w:rPr>
              <w:t>Section 5 — Termination Events</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CF22D2E" w14:textId="77777777" w:rsidR="0004652A" w:rsidRDefault="00000000">
            <w:r>
              <w:rPr>
                <w:sz w:val="20"/>
                <w:szCs w:val="20"/>
              </w:rPr>
              <w:t>Illegality, Force Majeure, Tax Event, Tax Event Upon Merger, Credit Event Upon Merger, Additional Termination Event (ATE). Less severe than Events of Default — both parties may have termination rights.</w:t>
            </w:r>
          </w:p>
        </w:tc>
      </w:tr>
      <w:tr w:rsidR="0004652A" w14:paraId="7C3F9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59BA804" w14:textId="77777777" w:rsidR="0004652A" w:rsidRDefault="00000000">
            <w:r>
              <w:rPr>
                <w:b/>
                <w:bCs/>
                <w:sz w:val="20"/>
                <w:szCs w:val="20"/>
              </w:rPr>
              <w:t>Section 6 — Early Termination</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F8995AB" w14:textId="77777777" w:rsidR="0004652A" w:rsidRDefault="00000000">
            <w:r>
              <w:rPr>
                <w:sz w:val="20"/>
                <w:szCs w:val="20"/>
              </w:rPr>
              <w:t>Mechanism for calculating and paying the Close-out Amount following an Event of Default or Termination Event. The entire netting benefit flows from this section.</w:t>
            </w:r>
          </w:p>
        </w:tc>
      </w:tr>
      <w:tr w:rsidR="0004652A" w14:paraId="64382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D935347" w14:textId="77777777" w:rsidR="0004652A" w:rsidRDefault="00000000">
            <w:r>
              <w:rPr>
                <w:b/>
                <w:bCs/>
                <w:sz w:val="20"/>
                <w:szCs w:val="20"/>
              </w:rPr>
              <w:t>Section 2 — Obligations</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7EE8384" w14:textId="77777777" w:rsidR="0004652A" w:rsidRDefault="00000000">
            <w:r>
              <w:rPr>
                <w:sz w:val="20"/>
                <w:szCs w:val="20"/>
              </w:rPr>
              <w:t>Payment and delivery obligations, payment netting (Section 2(c)), and the condition precedent that no Event of Default has occurred for payment obligations to apply.</w:t>
            </w:r>
          </w:p>
        </w:tc>
      </w:tr>
      <w:tr w:rsidR="0004652A" w14:paraId="41F20B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90A9665" w14:textId="77777777" w:rsidR="0004652A" w:rsidRDefault="00000000">
            <w:r>
              <w:rPr>
                <w:b/>
                <w:bCs/>
                <w:sz w:val="20"/>
                <w:szCs w:val="20"/>
              </w:rPr>
              <w:t>Section 13 — Governing Law</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6388925" w14:textId="77777777" w:rsidR="0004652A" w:rsidRDefault="00000000">
            <w:r>
              <w:rPr>
                <w:sz w:val="20"/>
                <w:szCs w:val="20"/>
              </w:rPr>
              <w:t>Election between English law and New York law. Choice has material consequences for close-out mechanics, set-off rights, and enforceability in insolvency. Most dealer-to-dealer trades: English law. Many US corporate trades: New York law.</w:t>
            </w:r>
          </w:p>
        </w:tc>
      </w:tr>
    </w:tbl>
    <w:p w14:paraId="7DBDD255" w14:textId="77777777" w:rsidR="0004652A" w:rsidRDefault="0004652A">
      <w:pPr>
        <w:spacing w:before="80"/>
      </w:pPr>
    </w:p>
    <w:p w14:paraId="763AF7CB" w14:textId="77777777" w:rsidR="0004652A" w:rsidRDefault="00000000">
      <w:pPr>
        <w:pStyle w:val="Heading3"/>
      </w:pPr>
      <w:bookmarkStart w:id="11" w:name="_Toc228131620"/>
      <w:r>
        <w:t>Schedule Clauses (Elections)</w:t>
      </w:r>
      <w:bookmarkEnd w:id="11"/>
    </w:p>
    <w:p w14:paraId="4F411CC2" w14:textId="77777777" w:rsidR="0004652A" w:rsidRDefault="00000000">
      <w:pPr>
        <w:spacing w:before="80" w:after="80"/>
        <w:jc w:val="both"/>
      </w:pPr>
      <w:r>
        <w:t>The Schedule is where parties make their elections — essentially configuring the Master Agreement to their bilateral relationship. Key elections include:</w:t>
      </w:r>
    </w:p>
    <w:p w14:paraId="0FF91B9E" w14:textId="77777777" w:rsidR="0004652A" w:rsidRDefault="0004652A">
      <w:pPr>
        <w:spacing w:before="60"/>
      </w:pPr>
    </w:p>
    <w:p w14:paraId="62A52768" w14:textId="77777777" w:rsidR="0004652A" w:rsidRDefault="00000000">
      <w:pPr>
        <w:pStyle w:val="ListParagraph"/>
        <w:numPr>
          <w:ilvl w:val="0"/>
          <w:numId w:val="2"/>
        </w:numPr>
        <w:spacing w:before="60" w:after="60"/>
      </w:pPr>
      <w:r>
        <w:t>Threshold Amount: exposure level above which collateral must be posted (may be zero for fully collateralised counterparties, or a credit-rating-linked amount for others)</w:t>
      </w:r>
    </w:p>
    <w:p w14:paraId="74E5A4A8" w14:textId="77777777" w:rsidR="0004652A" w:rsidRDefault="00000000">
      <w:pPr>
        <w:pStyle w:val="ListParagraph"/>
        <w:numPr>
          <w:ilvl w:val="0"/>
          <w:numId w:val="2"/>
        </w:numPr>
        <w:spacing w:before="60" w:after="60"/>
      </w:pPr>
      <w:r>
        <w:t>Minimum Transfer Amount (MTA): minimum size of a collateral call — prevents operationally burdensome small transfers</w:t>
      </w:r>
    </w:p>
    <w:p w14:paraId="28EAC61B" w14:textId="77777777" w:rsidR="0004652A" w:rsidRDefault="00000000">
      <w:pPr>
        <w:pStyle w:val="ListParagraph"/>
        <w:numPr>
          <w:ilvl w:val="0"/>
          <w:numId w:val="2"/>
        </w:numPr>
        <w:spacing w:before="60" w:after="60"/>
      </w:pPr>
      <w:r>
        <w:t>Independent Amount (IA): upfront collateral buffer, equivalent to initial margin in bilateral pre-UMR trades</w:t>
      </w:r>
    </w:p>
    <w:p w14:paraId="51BEC410" w14:textId="77777777" w:rsidR="0004652A" w:rsidRDefault="00000000">
      <w:pPr>
        <w:pStyle w:val="ListParagraph"/>
        <w:numPr>
          <w:ilvl w:val="0"/>
          <w:numId w:val="2"/>
        </w:numPr>
        <w:spacing w:before="60" w:after="60"/>
      </w:pPr>
      <w:r>
        <w:t>Specified Entities and Specified Transactions: extends certain default and cross-default provisions to affiliates</w:t>
      </w:r>
    </w:p>
    <w:p w14:paraId="1E7473E1" w14:textId="77777777" w:rsidR="0004652A" w:rsidRDefault="00000000">
      <w:pPr>
        <w:pStyle w:val="ListParagraph"/>
        <w:numPr>
          <w:ilvl w:val="0"/>
          <w:numId w:val="2"/>
        </w:numPr>
        <w:spacing w:before="60" w:after="60"/>
      </w:pPr>
      <w:r>
        <w:lastRenderedPageBreak/>
        <w:t>Additional Termination Events (ATEs): bespoke triggers agreed bilaterally — e.g. rating downgrade below a threshold, NAV decline clause for funds</w:t>
      </w:r>
    </w:p>
    <w:p w14:paraId="748E3EF3" w14:textId="77777777" w:rsidR="0004652A" w:rsidRDefault="00000000">
      <w:pPr>
        <w:pStyle w:val="ListParagraph"/>
        <w:numPr>
          <w:ilvl w:val="0"/>
          <w:numId w:val="2"/>
        </w:numPr>
        <w:spacing w:before="60" w:after="60"/>
      </w:pPr>
      <w:r>
        <w:t>Credit Support Documents: identifies any CSA or other credit support in place</w:t>
      </w:r>
    </w:p>
    <w:p w14:paraId="1011E3AC" w14:textId="77777777" w:rsidR="0004652A" w:rsidRDefault="0004652A">
      <w:pPr>
        <w:spacing w:before="80"/>
      </w:pPr>
    </w:p>
    <w:p w14:paraId="1957E679" w14:textId="77777777" w:rsidR="0004652A" w:rsidRDefault="00000000">
      <w:pPr>
        <w:pStyle w:val="Heading3"/>
      </w:pPr>
      <w:bookmarkStart w:id="12" w:name="_Toc228131621"/>
      <w:r>
        <w:t>CSA Clauses</w:t>
      </w:r>
      <w:bookmarkEnd w:id="12"/>
    </w:p>
    <w:p w14:paraId="5C317125" w14:textId="77777777" w:rsidR="0004652A" w:rsidRDefault="00000000">
      <w:pPr>
        <w:spacing w:before="80" w:after="80"/>
        <w:jc w:val="both"/>
      </w:pPr>
      <w:r>
        <w:t>The Credit Support Annex contains the full collateral mechanics. Key provisions:</w:t>
      </w:r>
    </w:p>
    <w:p w14:paraId="6FCE7354" w14:textId="77777777" w:rsidR="0004652A" w:rsidRDefault="0004652A">
      <w:pPr>
        <w:spacing w:before="60"/>
      </w:pPr>
    </w:p>
    <w:p w14:paraId="5E2B4404" w14:textId="77777777" w:rsidR="0004652A" w:rsidRDefault="00000000">
      <w:pPr>
        <w:pStyle w:val="ListParagraph"/>
        <w:numPr>
          <w:ilvl w:val="0"/>
          <w:numId w:val="2"/>
        </w:numPr>
        <w:spacing w:before="60" w:after="60"/>
      </w:pPr>
      <w:r>
        <w:t>Eligible Collateral: specifies which assets can be posted — cash (by currency), government bonds (by issuer, rating, maturity), agency securities. Defines haircuts for each asset type.</w:t>
      </w:r>
    </w:p>
    <w:p w14:paraId="3CDD39E0" w14:textId="77777777" w:rsidR="0004652A" w:rsidRDefault="00000000">
      <w:pPr>
        <w:pStyle w:val="ListParagraph"/>
        <w:numPr>
          <w:ilvl w:val="0"/>
          <w:numId w:val="2"/>
        </w:numPr>
        <w:spacing w:before="60" w:after="60"/>
      </w:pPr>
      <w:r>
        <w:t>Base Currency: currency in which exposures and collateral amounts are calculated</w:t>
      </w:r>
    </w:p>
    <w:p w14:paraId="0E0219D9" w14:textId="77777777" w:rsidR="0004652A" w:rsidRDefault="00000000">
      <w:pPr>
        <w:pStyle w:val="ListParagraph"/>
        <w:numPr>
          <w:ilvl w:val="0"/>
          <w:numId w:val="2"/>
        </w:numPr>
        <w:spacing w:before="60" w:after="60"/>
      </w:pPr>
      <w:r>
        <w:t>Valuation Date: frequency of mark-to-market and collateral calls (typically daily for banks)</w:t>
      </w:r>
    </w:p>
    <w:p w14:paraId="01A65AA6" w14:textId="77777777" w:rsidR="0004652A" w:rsidRDefault="00000000">
      <w:pPr>
        <w:pStyle w:val="ListParagraph"/>
        <w:numPr>
          <w:ilvl w:val="0"/>
          <w:numId w:val="2"/>
        </w:numPr>
        <w:spacing w:before="60" w:after="60"/>
      </w:pPr>
      <w:r>
        <w:t>Valuation Agent: which party calculates the exposure — usually the party calling for collateral</w:t>
      </w:r>
    </w:p>
    <w:p w14:paraId="65F04A59" w14:textId="77777777" w:rsidR="0004652A" w:rsidRDefault="00000000">
      <w:pPr>
        <w:pStyle w:val="ListParagraph"/>
        <w:numPr>
          <w:ilvl w:val="0"/>
          <w:numId w:val="2"/>
        </w:numPr>
        <w:spacing w:before="60" w:after="60"/>
      </w:pPr>
      <w:r>
        <w:t>Dispute Resolution: procedure when the two parties disagree on valuation — typically involves independent dealer polling</w:t>
      </w:r>
    </w:p>
    <w:p w14:paraId="4E613371" w14:textId="77777777" w:rsidR="0004652A" w:rsidRDefault="00000000">
      <w:pPr>
        <w:pStyle w:val="ListParagraph"/>
        <w:numPr>
          <w:ilvl w:val="0"/>
          <w:numId w:val="2"/>
        </w:numPr>
        <w:spacing w:before="60" w:after="60"/>
      </w:pPr>
      <w:r>
        <w:t>Rehypothecation Rights: whether the receiving party may reuse posted collateral for its own funding (typically permitted for VM; prohibited for UMR-segregated IM)</w:t>
      </w:r>
    </w:p>
    <w:p w14:paraId="01FF45B4" w14:textId="77777777" w:rsidR="0004652A" w:rsidRDefault="00000000">
      <w:pPr>
        <w:pStyle w:val="ListParagraph"/>
        <w:numPr>
          <w:ilvl w:val="0"/>
          <w:numId w:val="2"/>
        </w:numPr>
        <w:spacing w:before="60" w:after="60"/>
      </w:pPr>
      <w:r>
        <w:t>Delivery Amount and Return Amount: mechanics of calls and returns, subject to MTA and rounding</w:t>
      </w:r>
    </w:p>
    <w:p w14:paraId="3921C117" w14:textId="77777777" w:rsidR="0004652A" w:rsidRDefault="0004652A">
      <w:pPr>
        <w:spacing w:before="120"/>
      </w:pPr>
    </w:p>
    <w:p w14:paraId="5EF959C3" w14:textId="77777777" w:rsidR="0004652A" w:rsidRDefault="00000000">
      <w:pPr>
        <w:pStyle w:val="Heading2"/>
      </w:pPr>
      <w:bookmarkStart w:id="13" w:name="_Toc228131622"/>
      <w:r>
        <w:t>2.4  Governing Law — English vs New York</w:t>
      </w:r>
      <w:bookmarkEnd w:id="13"/>
    </w:p>
    <w:p w14:paraId="1EF5667B" w14:textId="77777777" w:rsidR="0004652A" w:rsidRDefault="00000000">
      <w:pPr>
        <w:spacing w:before="80" w:after="80"/>
        <w:jc w:val="both"/>
      </w:pPr>
      <w:r>
        <w:t>The choice between English law and New York law ISDA Master Agreements is not merely administrative — it has material legal consequences:</w:t>
      </w:r>
    </w:p>
    <w:p w14:paraId="476951F4"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000"/>
        <w:gridCol w:w="3680"/>
        <w:gridCol w:w="3680"/>
      </w:tblGrid>
      <w:tr w:rsidR="0004652A" w14:paraId="5E908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79CC3E" w14:textId="77777777" w:rsidR="0004652A" w:rsidRDefault="00000000">
            <w:pPr>
              <w:jc w:val="center"/>
            </w:pPr>
            <w:r>
              <w:rPr>
                <w:b/>
                <w:bCs/>
                <w:color w:val="FFFFFF"/>
                <w:sz w:val="20"/>
                <w:szCs w:val="20"/>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9D2EC2" w14:textId="77777777" w:rsidR="0004652A" w:rsidRDefault="00000000">
            <w:pPr>
              <w:jc w:val="center"/>
            </w:pPr>
            <w:r>
              <w:rPr>
                <w:b/>
                <w:bCs/>
                <w:color w:val="FFFFFF"/>
                <w:sz w:val="20"/>
                <w:szCs w:val="20"/>
              </w:rPr>
              <w:t>English Law ISDA</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177FD9" w14:textId="77777777" w:rsidR="0004652A" w:rsidRDefault="00000000">
            <w:pPr>
              <w:jc w:val="center"/>
            </w:pPr>
            <w:r>
              <w:rPr>
                <w:b/>
                <w:bCs/>
                <w:color w:val="FFFFFF"/>
                <w:sz w:val="20"/>
                <w:szCs w:val="20"/>
              </w:rPr>
              <w:t>New York Law ISDA</w:t>
            </w:r>
          </w:p>
        </w:tc>
      </w:tr>
      <w:tr w:rsidR="0004652A" w14:paraId="38BE7D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A2185C4" w14:textId="77777777" w:rsidR="0004652A" w:rsidRDefault="00000000">
            <w:r>
              <w:rPr>
                <w:b/>
                <w:bCs/>
                <w:sz w:val="20"/>
                <w:szCs w:val="20"/>
              </w:rPr>
              <w:t>Close-out Amount</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31591E9" w14:textId="77777777" w:rsidR="0004652A" w:rsidRDefault="00000000">
            <w:r>
              <w:rPr>
                <w:sz w:val="20"/>
                <w:szCs w:val="20"/>
              </w:rPr>
              <w:t>Loss method — party determines its loss or gain from replacement of terminated transactions</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D8B6C18" w14:textId="77777777" w:rsidR="0004652A" w:rsidRDefault="00000000">
            <w:r>
              <w:rPr>
                <w:sz w:val="20"/>
                <w:szCs w:val="20"/>
              </w:rPr>
              <w:t>Loss method — broadly similar; some definitional differences in calculation methodology</w:t>
            </w:r>
          </w:p>
        </w:tc>
      </w:tr>
      <w:tr w:rsidR="0004652A" w14:paraId="105043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ECF6B1A" w14:textId="77777777" w:rsidR="0004652A" w:rsidRDefault="00000000">
            <w:r>
              <w:rPr>
                <w:b/>
                <w:bCs/>
                <w:sz w:val="20"/>
                <w:szCs w:val="20"/>
              </w:rPr>
              <w:t>Insolvency Set-off</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4CC46B" w14:textId="77777777" w:rsidR="0004652A" w:rsidRDefault="00000000">
            <w:r>
              <w:rPr>
                <w:sz w:val="20"/>
                <w:szCs w:val="20"/>
              </w:rPr>
              <w:t>English insolvency rules generally support set-off of mutual obligations; netting opinions confirm this</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A18465C" w14:textId="77777777" w:rsidR="0004652A" w:rsidRDefault="00000000">
            <w:r>
              <w:rPr>
                <w:sz w:val="20"/>
                <w:szCs w:val="20"/>
              </w:rPr>
              <w:t>Automatic stay in US bankruptcy can affect set-off rights; safe harbour provisions under US Bankruptcy Code Section 362(b)(6) protect swap agreements</w:t>
            </w:r>
          </w:p>
        </w:tc>
      </w:tr>
      <w:tr w:rsidR="0004652A" w14:paraId="240BC3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23EB22D" w14:textId="77777777" w:rsidR="0004652A" w:rsidRDefault="00000000">
            <w:r>
              <w:rPr>
                <w:b/>
                <w:bCs/>
                <w:sz w:val="20"/>
                <w:szCs w:val="20"/>
              </w:rPr>
              <w:t>Typical Usage</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A4667E0" w14:textId="77777777" w:rsidR="0004652A" w:rsidRDefault="00000000">
            <w:r>
              <w:rPr>
                <w:sz w:val="20"/>
                <w:szCs w:val="20"/>
              </w:rPr>
              <w:t>Dealer-to-dealer trades; European counterparties; cross-border transactions where English law is neutral governing law</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A0BDC36" w14:textId="77777777" w:rsidR="0004652A" w:rsidRDefault="00000000">
            <w:r>
              <w:rPr>
                <w:sz w:val="20"/>
                <w:szCs w:val="20"/>
              </w:rPr>
              <w:t>US corporates; US-regulated entities; transactions where US counterparty preference or regulatory requirement drives choice</w:t>
            </w:r>
          </w:p>
        </w:tc>
      </w:tr>
      <w:tr w:rsidR="0004652A" w14:paraId="2BF892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250704F" w14:textId="77777777" w:rsidR="0004652A" w:rsidRDefault="00000000">
            <w:r>
              <w:rPr>
                <w:b/>
                <w:bCs/>
                <w:sz w:val="20"/>
                <w:szCs w:val="20"/>
              </w:rPr>
              <w:t>ISDA Opinion Coverage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F172E6" w14:textId="77777777" w:rsidR="0004652A" w:rsidRDefault="00000000">
            <w:r>
              <w:rPr>
                <w:sz w:val="20"/>
                <w:szCs w:val="20"/>
              </w:rPr>
              <w:t>ISDA publishes English law netting opinions for ~70+ jurisdictions</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3D1A01E" w14:textId="77777777" w:rsidR="0004652A" w:rsidRDefault="00000000">
            <w:r>
              <w:rPr>
                <w:sz w:val="20"/>
                <w:szCs w:val="20"/>
              </w:rPr>
              <w:t>New York law opinions cover US jurisdictions and selected others</w:t>
            </w:r>
          </w:p>
        </w:tc>
      </w:tr>
    </w:tbl>
    <w:p w14:paraId="7A16AFF8" w14:textId="77777777" w:rsidR="0004652A" w:rsidRDefault="0004652A">
      <w:pPr>
        <w:spacing w:before="160"/>
      </w:pPr>
    </w:p>
    <w:p w14:paraId="5369C2C4" w14:textId="77777777" w:rsidR="0004652A" w:rsidRDefault="00000000">
      <w:r>
        <w:br w:type="page"/>
      </w:r>
    </w:p>
    <w:p w14:paraId="1B61B4D8" w14:textId="77777777" w:rsidR="0004652A" w:rsidRDefault="00000000">
      <w:pPr>
        <w:pStyle w:val="Heading1"/>
      </w:pPr>
      <w:bookmarkStart w:id="14" w:name="_Toc228131623"/>
      <w:r>
        <w:lastRenderedPageBreak/>
        <w:t>Section 3 — ISDA Evolution: 1992 → 2002 → Current</w:t>
      </w:r>
      <w:bookmarkEnd w:id="14"/>
    </w:p>
    <w:p w14:paraId="0E637B91" w14:textId="77777777" w:rsidR="0004652A" w:rsidRDefault="0004652A">
      <w:pPr>
        <w:pBdr>
          <w:bottom w:val="single" w:sz="6" w:space="1" w:color="028090"/>
        </w:pBdr>
        <w:spacing w:before="120" w:after="120"/>
      </w:pPr>
    </w:p>
    <w:p w14:paraId="19882CE4" w14:textId="77777777" w:rsidR="0004652A" w:rsidRDefault="0004652A">
      <w:pPr>
        <w:spacing w:before="80"/>
      </w:pPr>
    </w:p>
    <w:p w14:paraId="182ED7AF" w14:textId="77777777" w:rsidR="0004652A" w:rsidRDefault="00000000">
      <w:pPr>
        <w:spacing w:before="80" w:after="80"/>
        <w:jc w:val="both"/>
      </w:pPr>
      <w:r>
        <w:t>The ISDA Master Agreement has been through two major iterations, each shaped by market stress events that exposed weaknesses in the existing framework. Understanding this evolution is not merely historical — the differences between 1992 and 2002 remain commercially relevant because both versions are still in use across the industry.</w:t>
      </w:r>
    </w:p>
    <w:p w14:paraId="58151888" w14:textId="77777777" w:rsidR="0004652A" w:rsidRDefault="0004652A">
      <w:pPr>
        <w:spacing w:before="120"/>
      </w:pPr>
    </w:p>
    <w:p w14:paraId="3C5B0FF1" w14:textId="77777777" w:rsidR="0004652A" w:rsidRDefault="00000000">
      <w:pPr>
        <w:pStyle w:val="Heading2"/>
      </w:pPr>
      <w:bookmarkStart w:id="15" w:name="_Toc228131624"/>
      <w:r>
        <w:t>3.1  ISDA 1992 — The Original Framework</w:t>
      </w:r>
      <w:bookmarkEnd w:id="15"/>
    </w:p>
    <w:p w14:paraId="0C7F7808" w14:textId="77777777" w:rsidR="0004652A" w:rsidRDefault="00000000">
      <w:pPr>
        <w:spacing w:before="80" w:after="80"/>
        <w:jc w:val="both"/>
      </w:pPr>
      <w:r>
        <w:t>The 1992 ISDA Master Agreement introduced the close-out netting mechanism that remains the foundation of OTC derivative markets. Its key structural features:</w:t>
      </w:r>
    </w:p>
    <w:p w14:paraId="112C7877" w14:textId="77777777" w:rsidR="0004652A" w:rsidRDefault="0004652A">
      <w:pPr>
        <w:spacing w:before="80"/>
      </w:pPr>
    </w:p>
    <w:p w14:paraId="7216317D" w14:textId="77777777" w:rsidR="0004652A" w:rsidRDefault="00000000">
      <w:pPr>
        <w:pStyle w:val="Heading3"/>
      </w:pPr>
      <w:bookmarkStart w:id="16" w:name="_Toc228131625"/>
      <w:r>
        <w:t>Close-out Methodology: Market Quotation vs Loss</w:t>
      </w:r>
      <w:bookmarkEnd w:id="16"/>
    </w:p>
    <w:p w14:paraId="58757475" w14:textId="77777777" w:rsidR="0004652A" w:rsidRDefault="00000000">
      <w:pPr>
        <w:spacing w:before="80" w:after="80"/>
        <w:jc w:val="both"/>
      </w:pPr>
      <w:r>
        <w:t>The 1992 Master offered two alternative close-out methodologies, elected in the Schedule:</w:t>
      </w:r>
    </w:p>
    <w:p w14:paraId="2D0183A6" w14:textId="77777777" w:rsidR="0004652A" w:rsidRDefault="0004652A">
      <w:pPr>
        <w:spacing w:before="60"/>
      </w:pPr>
    </w:p>
    <w:p w14:paraId="2E24344C" w14:textId="77777777" w:rsidR="0004652A" w:rsidRDefault="00000000">
      <w:pPr>
        <w:pStyle w:val="ListParagraph"/>
        <w:numPr>
          <w:ilvl w:val="0"/>
          <w:numId w:val="2"/>
        </w:numPr>
        <w:spacing w:before="60" w:after="60"/>
      </w:pPr>
      <w:r>
        <w:t>Market Quotation: the non-defaulting party obtains quotations from Reference Market Makers for replacement transactions. The close-out amount is derived from the average of those quotes. Objective and market-observable in liquid conditions.</w:t>
      </w:r>
    </w:p>
    <w:p w14:paraId="3DF71BE7" w14:textId="77777777" w:rsidR="0004652A" w:rsidRDefault="00000000">
      <w:pPr>
        <w:pStyle w:val="ListParagraph"/>
        <w:numPr>
          <w:ilvl w:val="0"/>
          <w:numId w:val="2"/>
        </w:numPr>
        <w:spacing w:before="60" w:after="60"/>
      </w:pPr>
      <w:r>
        <w:t>Loss: the non-defaulting party calculates its total loss or gain — including loss of bargain, costs of cover, and any other reasonable losses. More flexible but more subjective.</w:t>
      </w:r>
    </w:p>
    <w:p w14:paraId="4BF65405"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6AEDA14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44021B42" w14:textId="77777777" w:rsidR="0004652A" w:rsidRDefault="00000000">
            <w:pPr>
              <w:jc w:val="center"/>
            </w:pPr>
            <w:r>
              <w:rPr>
                <w:b/>
                <w:bCs/>
                <w:color w:val="C8953A"/>
                <w:sz w:val="20"/>
                <w:szCs w:val="20"/>
              </w:rPr>
              <w:t>WEAKNESS</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1FDC8BD8" w14:textId="77777777" w:rsidR="0004652A" w:rsidRDefault="00000000">
            <w:pPr>
              <w:jc w:val="both"/>
            </w:pPr>
            <w:r>
              <w:rPr>
                <w:i/>
                <w:iCs/>
                <w:sz w:val="20"/>
                <w:szCs w:val="20"/>
              </w:rPr>
              <w:t>Market Quotation was the preferred methodology in normal markets. But in a crisis — when markets are illiquid and counterparties are unwilling to quote — it could produce no usable result, leaving the non-defaulting party in legal limbo.</w:t>
            </w:r>
          </w:p>
        </w:tc>
      </w:tr>
    </w:tbl>
    <w:p w14:paraId="39510965" w14:textId="77777777" w:rsidR="0004652A" w:rsidRDefault="0004652A">
      <w:pPr>
        <w:spacing w:before="120"/>
      </w:pPr>
    </w:p>
    <w:p w14:paraId="74E2310B" w14:textId="77777777" w:rsidR="0004652A" w:rsidRDefault="00000000">
      <w:pPr>
        <w:pStyle w:val="Heading3"/>
      </w:pPr>
      <w:bookmarkStart w:id="17" w:name="_Toc228131626"/>
      <w:r>
        <w:t>Settlement Currency</w:t>
      </w:r>
      <w:bookmarkEnd w:id="17"/>
    </w:p>
    <w:p w14:paraId="24806C88" w14:textId="77777777" w:rsidR="0004652A" w:rsidRDefault="00000000">
      <w:pPr>
        <w:spacing w:before="80" w:after="80"/>
        <w:jc w:val="both"/>
      </w:pPr>
      <w:r>
        <w:t>Under the 1992 Master, the non-defaulting party could elect the Settlement Currency in which all amounts were expressed and paid. This election created potential complications where the Settlement Currency differed from the currency of the underlying transactions.</w:t>
      </w:r>
    </w:p>
    <w:p w14:paraId="6DD068DB" w14:textId="77777777" w:rsidR="0004652A" w:rsidRDefault="0004652A">
      <w:pPr>
        <w:spacing w:before="80"/>
      </w:pPr>
    </w:p>
    <w:p w14:paraId="6F539663" w14:textId="77777777" w:rsidR="0004652A" w:rsidRDefault="00000000">
      <w:pPr>
        <w:pStyle w:val="Heading3"/>
      </w:pPr>
      <w:bookmarkStart w:id="18" w:name="_Toc228131627"/>
      <w:r>
        <w:t>Two-Method Problem</w:t>
      </w:r>
      <w:bookmarkEnd w:id="18"/>
    </w:p>
    <w:p w14:paraId="74BD457A" w14:textId="77777777" w:rsidR="0004652A" w:rsidRDefault="00000000">
      <w:pPr>
        <w:spacing w:before="80" w:after="80"/>
        <w:jc w:val="both"/>
      </w:pPr>
      <w:r>
        <w:t>The availability of two close-out methods — and the ability of the non-defaulting party to switch between them — created uncertainty. Counterparties could not always predict ex ante which method would apply, and courts in some jurisdictions questioned whether the Loss method could produce a result materially different from market value.</w:t>
      </w:r>
    </w:p>
    <w:p w14:paraId="1C1F60B8" w14:textId="77777777" w:rsidR="0004652A" w:rsidRDefault="0004652A">
      <w:pPr>
        <w:spacing w:before="120"/>
      </w:pPr>
    </w:p>
    <w:p w14:paraId="7ACE2F02" w14:textId="77777777" w:rsidR="0004652A" w:rsidRDefault="00000000">
      <w:pPr>
        <w:pStyle w:val="Heading2"/>
      </w:pPr>
      <w:bookmarkStart w:id="19" w:name="_Toc228131628"/>
      <w:r>
        <w:lastRenderedPageBreak/>
        <w:t>3.2  The Lehman Stress Test (2008)</w:t>
      </w:r>
      <w:bookmarkEnd w:id="19"/>
    </w:p>
    <w:p w14:paraId="52EE5A75" w14:textId="77777777" w:rsidR="0004652A" w:rsidRDefault="00000000">
      <w:pPr>
        <w:spacing w:before="80" w:after="80"/>
        <w:jc w:val="both"/>
      </w:pPr>
      <w:r>
        <w:t>The collapse of Lehman Brothers in September 2008 was the largest test the ISDA framework had ever faced. Lehman had approximately 66,000 OTC derivative contracts with over 8,000 counterparties at the time of its bankruptcy filing.</w:t>
      </w:r>
    </w:p>
    <w:p w14:paraId="1D1128BA"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3120"/>
        <w:gridCol w:w="6240"/>
      </w:tblGrid>
      <w:tr w:rsidR="0004652A" w14:paraId="250498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542277" w14:textId="77777777" w:rsidR="0004652A" w:rsidRDefault="00000000">
            <w:pPr>
              <w:jc w:val="center"/>
            </w:pPr>
            <w:r>
              <w:rPr>
                <w:b/>
                <w:bCs/>
                <w:color w:val="FFFFFF"/>
                <w:sz w:val="20"/>
                <w:szCs w:val="20"/>
              </w:rPr>
              <w:t>Failure Mode</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BB003A" w14:textId="77777777" w:rsidR="0004652A" w:rsidRDefault="00000000">
            <w:pPr>
              <w:jc w:val="center"/>
            </w:pPr>
            <w:r>
              <w:rPr>
                <w:b/>
                <w:bCs/>
                <w:color w:val="FFFFFF"/>
                <w:sz w:val="20"/>
                <w:szCs w:val="20"/>
              </w:rPr>
              <w:t>What Happened</w:t>
            </w:r>
          </w:p>
        </w:tc>
      </w:tr>
      <w:tr w:rsidR="0004652A" w14:paraId="5AC9AE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C5A26E9" w14:textId="77777777" w:rsidR="0004652A" w:rsidRDefault="00000000">
            <w:r>
              <w:rPr>
                <w:b/>
                <w:bCs/>
                <w:sz w:val="20"/>
                <w:szCs w:val="20"/>
              </w:rPr>
              <w:t>Market Quotation failure</w:t>
            </w:r>
          </w:p>
        </w:tc>
        <w:tc>
          <w:tcPr>
            <w:tcW w:w="624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9938106" w14:textId="77777777" w:rsidR="0004652A" w:rsidRDefault="00000000">
            <w:r>
              <w:rPr>
                <w:sz w:val="20"/>
                <w:szCs w:val="20"/>
              </w:rPr>
              <w:t>In the immediate aftermath of the Lehman filing, markets were illiquid and dealers were unwilling to provide replacement quotations. Non-defaulting parties could not obtain the three quotes required — many fell back to Loss, which the 1992 Master permitted as a fallback.</w:t>
            </w:r>
          </w:p>
        </w:tc>
      </w:tr>
      <w:tr w:rsidR="0004652A" w14:paraId="56DAC4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645BBB6" w14:textId="77777777" w:rsidR="0004652A" w:rsidRDefault="00000000">
            <w:r>
              <w:rPr>
                <w:b/>
                <w:bCs/>
                <w:sz w:val="20"/>
                <w:szCs w:val="20"/>
              </w:rPr>
              <w:t>Dispute explosion</w:t>
            </w:r>
          </w:p>
        </w:tc>
        <w:tc>
          <w:tcPr>
            <w:tcW w:w="62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3EF8C7" w14:textId="77777777" w:rsidR="0004652A" w:rsidRDefault="00000000">
            <w:r>
              <w:rPr>
                <w:sz w:val="20"/>
                <w:szCs w:val="20"/>
              </w:rPr>
              <w:t>The combination of Market Quotation failures, Loss calculations, and differing views on the correct valuation of complex structured products produced thousands of bilateral disputes. Many remained unresolved for years.</w:t>
            </w:r>
          </w:p>
        </w:tc>
      </w:tr>
      <w:tr w:rsidR="0004652A" w14:paraId="55FB12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1C2BC9A" w14:textId="77777777" w:rsidR="0004652A" w:rsidRDefault="00000000">
            <w:r>
              <w:rPr>
                <w:b/>
                <w:bCs/>
                <w:sz w:val="20"/>
                <w:szCs w:val="20"/>
              </w:rPr>
              <w:t>Cherry-picking attempts</w:t>
            </w:r>
          </w:p>
        </w:tc>
        <w:tc>
          <w:tcPr>
            <w:tcW w:w="6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6CA325E" w14:textId="77777777" w:rsidR="0004652A" w:rsidRDefault="00000000">
            <w:r>
              <w:rPr>
                <w:sz w:val="20"/>
                <w:szCs w:val="20"/>
              </w:rPr>
              <w:t>Lehman's administrators in multiple jurisdictions initially attempted to cherry-pick profitable contracts. Close-out netting provisions were tested in court across the US, UK, and multiple European jurisdictions. In most cases, netting held — but the process was costly and slow.</w:t>
            </w:r>
          </w:p>
        </w:tc>
      </w:tr>
      <w:tr w:rsidR="0004652A" w14:paraId="2E1A11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015D84" w14:textId="77777777" w:rsidR="0004652A" w:rsidRDefault="00000000">
            <w:r>
              <w:rPr>
                <w:b/>
                <w:bCs/>
                <w:sz w:val="20"/>
                <w:szCs w:val="20"/>
              </w:rPr>
              <w:t>Jurisdictional fragmentation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B6D6073" w14:textId="77777777" w:rsidR="0004652A" w:rsidRDefault="00000000">
            <w:r>
              <w:rPr>
                <w:sz w:val="20"/>
                <w:szCs w:val="20"/>
              </w:rPr>
              <w:t>Lehman entities in different jurisdictions were subject to different insolvency regimes. Coordination between administrators in the US, UK, Germany, Japan, and elsewhere was complex, slow, and often adversarial.</w:t>
            </w:r>
          </w:p>
        </w:tc>
      </w:tr>
    </w:tbl>
    <w:p w14:paraId="3915305A" w14:textId="77777777" w:rsidR="0004652A" w:rsidRDefault="0004652A">
      <w:pPr>
        <w:spacing w:before="120"/>
      </w:pPr>
    </w:p>
    <w:p w14:paraId="7CECAD94" w14:textId="77777777" w:rsidR="0004652A" w:rsidRDefault="00000000">
      <w:pPr>
        <w:pStyle w:val="Heading2"/>
      </w:pPr>
      <w:bookmarkStart w:id="20" w:name="_Toc228131629"/>
      <w:r>
        <w:t>3.3  ISDA 2002 — The Redesign</w:t>
      </w:r>
      <w:bookmarkEnd w:id="20"/>
    </w:p>
    <w:p w14:paraId="1ECC1282" w14:textId="77777777" w:rsidR="0004652A" w:rsidRDefault="00000000">
      <w:pPr>
        <w:spacing w:before="80" w:after="80"/>
        <w:jc w:val="both"/>
      </w:pPr>
      <w:r>
        <w:t>The 2002 ISDA Master Agreement addressed the principal weaknesses exposed by the 1992 Master, even though it predated Lehman by six years. Lehman confirmed that the 2002 design choices had been correct.</w:t>
      </w:r>
    </w:p>
    <w:p w14:paraId="15EED5ED" w14:textId="77777777" w:rsidR="0004652A" w:rsidRDefault="0004652A">
      <w:pPr>
        <w:spacing w:before="80"/>
      </w:pPr>
    </w:p>
    <w:p w14:paraId="0691B0A1" w14:textId="77777777" w:rsidR="0004652A" w:rsidRDefault="00000000">
      <w:pPr>
        <w:pStyle w:val="Heading3"/>
      </w:pPr>
      <w:bookmarkStart w:id="21" w:name="_Toc228131630"/>
      <w:r>
        <w:t>Single Close-out Amount</w:t>
      </w:r>
      <w:bookmarkEnd w:id="21"/>
    </w:p>
    <w:p w14:paraId="1E31C790" w14:textId="77777777" w:rsidR="0004652A" w:rsidRDefault="00000000">
      <w:pPr>
        <w:spacing w:before="80" w:after="80"/>
        <w:jc w:val="both"/>
      </w:pPr>
      <w:r>
        <w:t>The 2002 Master replaced the dual Market Quotation/Loss methodology with a single Close-out Amount concept. The non-defaulting party determines the amount it would pay or receive to replace terminated transactions, using commercially reasonable procedures. This is more flexible than Market Quotation (which requires actual quotations) but more principled than the 1992 Loss method, anchoring the calculation to a replacement value standard.</w:t>
      </w:r>
    </w:p>
    <w:p w14:paraId="76C1A631" w14:textId="77777777" w:rsidR="0004652A" w:rsidRDefault="0004652A">
      <w:pPr>
        <w:spacing w:before="80"/>
      </w:pPr>
    </w:p>
    <w:p w14:paraId="7E119F8E" w14:textId="77777777" w:rsidR="0004652A" w:rsidRDefault="00000000">
      <w:pPr>
        <w:pStyle w:val="Heading3"/>
      </w:pPr>
      <w:bookmarkStart w:id="22" w:name="_Toc228131631"/>
      <w:r>
        <w:t>Force Majeure Termination Event</w:t>
      </w:r>
      <w:bookmarkEnd w:id="22"/>
    </w:p>
    <w:p w14:paraId="0523113C" w14:textId="77777777" w:rsidR="0004652A" w:rsidRDefault="00000000">
      <w:pPr>
        <w:spacing w:before="80" w:after="80"/>
        <w:jc w:val="both"/>
      </w:pPr>
      <w:r>
        <w:t>The 2002 Master introduced Force Majeure as a new Termination Event — triggered by events outside a party's control that prevent it from making or receiving payments. This filled a gap in the 1992 Master, which had no provision for situations where performance was impossible rather than merely unwilling.</w:t>
      </w:r>
    </w:p>
    <w:p w14:paraId="2D58EE02" w14:textId="77777777" w:rsidR="0004652A" w:rsidRDefault="0004652A">
      <w:pPr>
        <w:spacing w:before="80"/>
      </w:pPr>
    </w:p>
    <w:p w14:paraId="47AF99F1" w14:textId="77777777" w:rsidR="0004652A" w:rsidRDefault="00000000">
      <w:pPr>
        <w:pStyle w:val="Heading3"/>
      </w:pPr>
      <w:bookmarkStart w:id="23" w:name="_Toc228131632"/>
      <w:r>
        <w:t>Payment Netting Enhancement</w:t>
      </w:r>
      <w:bookmarkEnd w:id="23"/>
    </w:p>
    <w:p w14:paraId="36B19CE0" w14:textId="77777777" w:rsidR="0004652A" w:rsidRDefault="00000000">
      <w:pPr>
        <w:spacing w:before="80" w:after="80"/>
        <w:jc w:val="both"/>
      </w:pPr>
      <w:r>
        <w:lastRenderedPageBreak/>
        <w:t>Section 2(c) netting provisions were clarified and expanded in the 2002 Master, addressing ambiguities in the 1992 version around the scope of payment netting across different transaction types.</w:t>
      </w:r>
    </w:p>
    <w:p w14:paraId="56DC0D8C" w14:textId="77777777" w:rsidR="0004652A" w:rsidRDefault="0004652A">
      <w:pPr>
        <w:spacing w:before="80"/>
      </w:pPr>
    </w:p>
    <w:p w14:paraId="53009B56" w14:textId="77777777" w:rsidR="0004652A" w:rsidRDefault="00000000">
      <w:pPr>
        <w:pStyle w:val="Heading3"/>
      </w:pPr>
      <w:bookmarkStart w:id="24" w:name="_Toc228131633"/>
      <w:r>
        <w:t>1992 vs 2002 — Key Differences</w:t>
      </w:r>
      <w:bookmarkEnd w:id="24"/>
    </w:p>
    <w:p w14:paraId="59540629" w14:textId="77777777" w:rsidR="0004652A" w:rsidRDefault="0004652A">
      <w:pPr>
        <w:spacing w:before="60"/>
      </w:pPr>
    </w:p>
    <w:tbl>
      <w:tblPr>
        <w:tblW w:w="9360" w:type="dxa"/>
        <w:tblCellMar>
          <w:left w:w="10" w:type="dxa"/>
          <w:right w:w="10" w:type="dxa"/>
        </w:tblCellMar>
        <w:tblLook w:val="04A0" w:firstRow="1" w:lastRow="0" w:firstColumn="1" w:lastColumn="0" w:noHBand="0" w:noVBand="1"/>
      </w:tblPr>
      <w:tblGrid>
        <w:gridCol w:w="2400"/>
        <w:gridCol w:w="3480"/>
        <w:gridCol w:w="3480"/>
      </w:tblGrid>
      <w:tr w:rsidR="0004652A" w14:paraId="584C2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77D3D85" w14:textId="77777777" w:rsidR="0004652A" w:rsidRDefault="00000000">
            <w:pPr>
              <w:jc w:val="center"/>
            </w:pPr>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AADDCFF" w14:textId="77777777" w:rsidR="0004652A" w:rsidRDefault="00000000">
            <w:pPr>
              <w:jc w:val="center"/>
            </w:pPr>
            <w:r>
              <w:rPr>
                <w:b/>
                <w:bCs/>
                <w:color w:val="FFFFFF"/>
                <w:sz w:val="20"/>
                <w:szCs w:val="20"/>
              </w:rPr>
              <w:t>ISDA 1992</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B041FFE" w14:textId="77777777" w:rsidR="0004652A" w:rsidRDefault="00000000">
            <w:pPr>
              <w:jc w:val="center"/>
            </w:pPr>
            <w:r>
              <w:rPr>
                <w:b/>
                <w:bCs/>
                <w:color w:val="FFFFFF"/>
                <w:sz w:val="20"/>
                <w:szCs w:val="20"/>
              </w:rPr>
              <w:t>ISDA 2002</w:t>
            </w:r>
          </w:p>
        </w:tc>
      </w:tr>
      <w:tr w:rsidR="0004652A" w14:paraId="3FBFE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CC1EAD5" w14:textId="77777777" w:rsidR="0004652A" w:rsidRDefault="00000000">
            <w:r>
              <w:rPr>
                <w:b/>
                <w:bCs/>
                <w:sz w:val="20"/>
                <w:szCs w:val="20"/>
              </w:rPr>
              <w:t>Close-out methodology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65AFA18" w14:textId="77777777" w:rsidR="0004652A" w:rsidRDefault="00000000">
            <w:r>
              <w:rPr>
                <w:sz w:val="20"/>
                <w:szCs w:val="20"/>
              </w:rPr>
              <w:t>Dual: Market Quotation OR Loss (elected in Schedule)</w:t>
            </w:r>
          </w:p>
        </w:tc>
        <w:tc>
          <w:tcPr>
            <w:tcW w:w="348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5B39495A" w14:textId="77777777" w:rsidR="0004652A" w:rsidRDefault="00000000">
            <w:r>
              <w:rPr>
                <w:sz w:val="20"/>
                <w:szCs w:val="20"/>
              </w:rPr>
              <w:t>Single: Close-out Amount — commercially reasonable replacement value</w:t>
            </w:r>
          </w:p>
        </w:tc>
      </w:tr>
      <w:tr w:rsidR="0004652A" w14:paraId="617C2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0B46D27" w14:textId="77777777" w:rsidR="0004652A" w:rsidRDefault="00000000">
            <w:r>
              <w:rPr>
                <w:b/>
                <w:bCs/>
                <w:sz w:val="20"/>
                <w:szCs w:val="20"/>
              </w:rPr>
              <w:t>Market Quotation fallback</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4CC575E" w14:textId="77777777" w:rsidR="0004652A" w:rsidRDefault="00000000">
            <w:r>
              <w:rPr>
                <w:sz w:val="20"/>
                <w:szCs w:val="20"/>
              </w:rPr>
              <w:t>Falls back to Loss if quotations unavailable — creates uncertainty</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E40A810" w14:textId="77777777" w:rsidR="0004652A" w:rsidRDefault="00000000">
            <w:r>
              <w:rPr>
                <w:sz w:val="20"/>
                <w:szCs w:val="20"/>
              </w:rPr>
              <w:t>Not applicable — Close-out Amount is self-contained</w:t>
            </w:r>
          </w:p>
        </w:tc>
      </w:tr>
      <w:tr w:rsidR="0004652A" w14:paraId="6521D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99F418" w14:textId="77777777" w:rsidR="0004652A" w:rsidRDefault="00000000">
            <w:r>
              <w:rPr>
                <w:b/>
                <w:bCs/>
                <w:sz w:val="20"/>
                <w:szCs w:val="20"/>
              </w:rPr>
              <w:t>Force Majeure</w:t>
            </w:r>
          </w:p>
        </w:tc>
        <w:tc>
          <w:tcPr>
            <w:tcW w:w="34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4362936" w14:textId="77777777" w:rsidR="0004652A" w:rsidRDefault="00000000">
            <w:r>
              <w:rPr>
                <w:sz w:val="20"/>
                <w:szCs w:val="20"/>
              </w:rPr>
              <w:t>Not provided for — significant gap</w:t>
            </w:r>
          </w:p>
        </w:tc>
        <w:tc>
          <w:tcPr>
            <w:tcW w:w="348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5CD7FD6B" w14:textId="77777777" w:rsidR="0004652A" w:rsidRDefault="00000000">
            <w:r>
              <w:rPr>
                <w:sz w:val="20"/>
                <w:szCs w:val="20"/>
              </w:rPr>
              <w:t>Introduced as a Termination Event</w:t>
            </w:r>
          </w:p>
        </w:tc>
      </w:tr>
      <w:tr w:rsidR="0004652A" w14:paraId="618A2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DF546C0" w14:textId="77777777" w:rsidR="0004652A" w:rsidRDefault="00000000">
            <w:r>
              <w:rPr>
                <w:b/>
                <w:bCs/>
                <w:sz w:val="20"/>
                <w:szCs w:val="20"/>
              </w:rPr>
              <w:t>Set-off rights</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5A82737" w14:textId="77777777" w:rsidR="0004652A" w:rsidRDefault="00000000">
            <w:r>
              <w:rPr>
                <w:sz w:val="20"/>
                <w:szCs w:val="20"/>
              </w:rPr>
              <w:t>Limited provisions</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F53F4C" w14:textId="77777777" w:rsidR="0004652A" w:rsidRDefault="00000000">
            <w:r>
              <w:rPr>
                <w:sz w:val="20"/>
                <w:szCs w:val="20"/>
              </w:rPr>
              <w:t>Expanded and clarified</w:t>
            </w:r>
          </w:p>
        </w:tc>
      </w:tr>
      <w:tr w:rsidR="0004652A" w14:paraId="3572C0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C7B9CE6" w14:textId="77777777" w:rsidR="0004652A" w:rsidRDefault="00000000">
            <w:r>
              <w:rPr>
                <w:b/>
                <w:bCs/>
                <w:sz w:val="20"/>
                <w:szCs w:val="20"/>
              </w:rPr>
              <w:t>Settlement Currency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D3EE02B" w14:textId="77777777" w:rsidR="0004652A" w:rsidRDefault="00000000">
            <w:r>
              <w:rPr>
                <w:sz w:val="20"/>
                <w:szCs w:val="20"/>
              </w:rPr>
              <w:t>Non-defaulting party elects Settlement Currency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02ACFCC" w14:textId="77777777" w:rsidR="0004652A" w:rsidRDefault="00000000">
            <w:r>
              <w:rPr>
                <w:sz w:val="20"/>
                <w:szCs w:val="20"/>
              </w:rPr>
              <w:t>Termination Currency elected upfront in Schedule</w:t>
            </w:r>
          </w:p>
        </w:tc>
      </w:tr>
      <w:tr w:rsidR="0004652A" w14:paraId="38046B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E5BE792" w14:textId="77777777" w:rsidR="0004652A" w:rsidRDefault="00000000">
            <w:r>
              <w:rPr>
                <w:b/>
                <w:bCs/>
                <w:sz w:val="20"/>
                <w:szCs w:val="20"/>
              </w:rPr>
              <w:t>Cross-default threshold</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CF971D" w14:textId="77777777" w:rsidR="0004652A" w:rsidRDefault="00000000">
            <w:r>
              <w:rPr>
                <w:sz w:val="20"/>
                <w:szCs w:val="20"/>
              </w:rPr>
              <w:t>Specified Transaction cross-default provisions</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E533E4" w14:textId="77777777" w:rsidR="0004652A" w:rsidRDefault="00000000">
            <w:r>
              <w:rPr>
                <w:sz w:val="20"/>
                <w:szCs w:val="20"/>
              </w:rPr>
              <w:t>Refined and extended</w:t>
            </w:r>
          </w:p>
        </w:tc>
      </w:tr>
      <w:tr w:rsidR="0004652A" w14:paraId="466F0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C8F68EC" w14:textId="77777777" w:rsidR="0004652A" w:rsidRDefault="00000000">
            <w:r>
              <w:rPr>
                <w:b/>
                <w:bCs/>
                <w:sz w:val="20"/>
                <w:szCs w:val="20"/>
              </w:rPr>
              <w:t>Industry adoption</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4B8F096" w14:textId="77777777" w:rsidR="0004652A" w:rsidRDefault="00000000">
            <w:r>
              <w:rPr>
                <w:sz w:val="20"/>
                <w:szCs w:val="20"/>
              </w:rPr>
              <w:t>Still widely in use — particularly for existing relationships not yet migrated</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5F295F1" w14:textId="77777777" w:rsidR="0004652A" w:rsidRDefault="00000000">
            <w:r>
              <w:rPr>
                <w:sz w:val="20"/>
                <w:szCs w:val="20"/>
              </w:rPr>
              <w:t>Preferred for new relationships; most new dealer-to-dealer documentation uses 2002</w:t>
            </w:r>
          </w:p>
        </w:tc>
      </w:tr>
    </w:tbl>
    <w:p w14:paraId="2BFF68EB" w14:textId="77777777" w:rsidR="0004652A" w:rsidRDefault="0004652A">
      <w:pPr>
        <w:spacing w:before="120"/>
      </w:pPr>
    </w:p>
    <w:p w14:paraId="0068D8EA" w14:textId="77777777" w:rsidR="0004652A" w:rsidRDefault="00000000">
      <w:pPr>
        <w:pStyle w:val="Heading2"/>
      </w:pPr>
      <w:bookmarkStart w:id="25" w:name="_Toc228131634"/>
      <w:r>
        <w:t>3.4  Post-2002 Protocols and Supplements</w:t>
      </w:r>
      <w:bookmarkEnd w:id="25"/>
    </w:p>
    <w:p w14:paraId="51563ECE" w14:textId="77777777" w:rsidR="0004652A" w:rsidRDefault="00000000">
      <w:pPr>
        <w:spacing w:before="80" w:after="80"/>
        <w:jc w:val="both"/>
      </w:pPr>
      <w:r>
        <w:t>ISDA has continued to update the framework through a series of protocols and supplements, which allow existing 1992 and 2002 Master Agreements to be amended bilaterally without full renegotiation:</w:t>
      </w:r>
    </w:p>
    <w:p w14:paraId="74B44EB5"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800"/>
        <w:gridCol w:w="1400"/>
        <w:gridCol w:w="5160"/>
      </w:tblGrid>
      <w:tr w:rsidR="0004652A" w14:paraId="54834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3C773B" w14:textId="77777777" w:rsidR="0004652A" w:rsidRDefault="00000000">
            <w:pPr>
              <w:jc w:val="center"/>
            </w:pPr>
            <w:r>
              <w:rPr>
                <w:b/>
                <w:bCs/>
                <w:color w:val="FFFFFF"/>
                <w:sz w:val="20"/>
                <w:szCs w:val="20"/>
              </w:rPr>
              <w:t>Protocol / Supplement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B6E77A" w14:textId="77777777" w:rsidR="0004652A" w:rsidRDefault="00000000">
            <w:pPr>
              <w:jc w:val="center"/>
            </w:pPr>
            <w:r>
              <w:rPr>
                <w:b/>
                <w:bCs/>
                <w:color w:val="FFFFFF"/>
                <w:sz w:val="20"/>
                <w:szCs w:val="20"/>
              </w:rPr>
              <w:t>Year</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DB1361" w14:textId="77777777" w:rsidR="0004652A" w:rsidRDefault="00000000">
            <w:pPr>
              <w:jc w:val="center"/>
            </w:pPr>
            <w:r>
              <w:rPr>
                <w:b/>
                <w:bCs/>
                <w:color w:val="FFFFFF"/>
                <w:sz w:val="20"/>
                <w:szCs w:val="20"/>
              </w:rPr>
              <w:t>Purpose</w:t>
            </w:r>
          </w:p>
        </w:tc>
      </w:tr>
      <w:tr w:rsidR="0004652A" w14:paraId="4ED6F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F47BFD" w14:textId="77777777" w:rsidR="0004652A" w:rsidRDefault="00000000">
            <w:r>
              <w:rPr>
                <w:sz w:val="20"/>
                <w:szCs w:val="20"/>
              </w:rPr>
              <w:t>ISDA 2013 EMIR Portfolio Reconciliation Protocol</w:t>
            </w:r>
          </w:p>
        </w:tc>
        <w:tc>
          <w:tcPr>
            <w:tcW w:w="1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045863C" w14:textId="77777777" w:rsidR="0004652A" w:rsidRDefault="00000000">
            <w:pPr>
              <w:jc w:val="center"/>
            </w:pPr>
            <w:r>
              <w:rPr>
                <w:sz w:val="20"/>
                <w:szCs w:val="20"/>
              </w:rPr>
              <w:t>2013</w:t>
            </w:r>
          </w:p>
        </w:tc>
        <w:tc>
          <w:tcPr>
            <w:tcW w:w="5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63B5FCD" w14:textId="77777777" w:rsidR="0004652A" w:rsidRDefault="00000000">
            <w:r>
              <w:rPr>
                <w:sz w:val="20"/>
                <w:szCs w:val="20"/>
              </w:rPr>
              <w:t>Enabled bilateral adherence to EMIR portfolio reconciliation and dispute resolution requirements without full Master Agreement renegotiation.</w:t>
            </w:r>
          </w:p>
        </w:tc>
      </w:tr>
      <w:tr w:rsidR="0004652A" w14:paraId="5EAA65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6EFEE12" w14:textId="77777777" w:rsidR="0004652A" w:rsidRDefault="00000000">
            <w:r>
              <w:rPr>
                <w:sz w:val="20"/>
                <w:szCs w:val="20"/>
              </w:rPr>
              <w:t>ISDA 2016 Variation Margin Protocol</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D8CF963" w14:textId="77777777" w:rsidR="0004652A" w:rsidRDefault="00000000">
            <w:pPr>
              <w:jc w:val="center"/>
            </w:pPr>
            <w:r>
              <w:rPr>
                <w:sz w:val="20"/>
                <w:szCs w:val="20"/>
              </w:rPr>
              <w:t>2016</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448246F" w14:textId="77777777" w:rsidR="0004652A" w:rsidRDefault="00000000">
            <w:r>
              <w:rPr>
                <w:sz w:val="20"/>
                <w:szCs w:val="20"/>
              </w:rPr>
              <w:t>Amended CSA terms across thousands of bilateral relationships to comply with UMR Phase 1 VM requirements. Largest ISDA protocol adoption in history.</w:t>
            </w:r>
          </w:p>
        </w:tc>
      </w:tr>
      <w:tr w:rsidR="0004652A" w14:paraId="373201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9F7772A" w14:textId="77777777" w:rsidR="0004652A" w:rsidRDefault="00000000">
            <w:r>
              <w:rPr>
                <w:sz w:val="20"/>
                <w:szCs w:val="20"/>
              </w:rPr>
              <w:t>ISDA 2018 US Resolution Stay Protocol</w:t>
            </w:r>
          </w:p>
        </w:tc>
        <w:tc>
          <w:tcPr>
            <w:tcW w:w="1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5A3529C" w14:textId="77777777" w:rsidR="0004652A" w:rsidRDefault="00000000">
            <w:pPr>
              <w:jc w:val="center"/>
            </w:pPr>
            <w:r>
              <w:rPr>
                <w:sz w:val="20"/>
                <w:szCs w:val="20"/>
              </w:rPr>
              <w:t>2018</w:t>
            </w:r>
          </w:p>
        </w:tc>
        <w:tc>
          <w:tcPr>
            <w:tcW w:w="5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5A50808" w14:textId="77777777" w:rsidR="0004652A" w:rsidRDefault="00000000">
            <w:r>
              <w:rPr>
                <w:sz w:val="20"/>
                <w:szCs w:val="20"/>
              </w:rPr>
              <w:t>Implemented contractual stays on early termination rights in support of cross-border resolution frameworks (TLAC, BRRD, OLA). Required by regulators for G-SIBs.</w:t>
            </w:r>
          </w:p>
        </w:tc>
      </w:tr>
      <w:tr w:rsidR="0004652A" w14:paraId="75419E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4643F98" w14:textId="77777777" w:rsidR="0004652A" w:rsidRDefault="00000000">
            <w:r>
              <w:rPr>
                <w:sz w:val="20"/>
                <w:szCs w:val="20"/>
              </w:rPr>
              <w:t>ISDA 2020 IBOR Fallbacks Protocol</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4E863B0" w14:textId="77777777" w:rsidR="0004652A" w:rsidRDefault="00000000">
            <w:pPr>
              <w:jc w:val="center"/>
            </w:pPr>
            <w:r>
              <w:rPr>
                <w:sz w:val="20"/>
                <w:szCs w:val="20"/>
              </w:rPr>
              <w:t>2020</w:t>
            </w:r>
          </w:p>
        </w:tc>
        <w:tc>
          <w:tcPr>
            <w:tcW w:w="5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2453CFD" w14:textId="77777777" w:rsidR="0004652A" w:rsidRDefault="00000000">
            <w:r>
              <w:rPr>
                <w:sz w:val="20"/>
                <w:szCs w:val="20"/>
              </w:rPr>
              <w:t>Addressed LIBOR cessation by amending fallback provisions in existing contracts to reference RFRs (SOFR, SONIA, ESTR). Critical infrastructure for the LIBOR transition.</w:t>
            </w:r>
          </w:p>
        </w:tc>
      </w:tr>
      <w:tr w:rsidR="0004652A" w14:paraId="4E9DB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179304C" w14:textId="77777777" w:rsidR="0004652A" w:rsidRDefault="00000000">
            <w:r>
              <w:rPr>
                <w:sz w:val="20"/>
                <w:szCs w:val="20"/>
              </w:rPr>
              <w:lastRenderedPageBreak/>
              <w:t>ISDA 2022 Digital Asset Definitions</w:t>
            </w:r>
          </w:p>
        </w:tc>
        <w:tc>
          <w:tcPr>
            <w:tcW w:w="1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13EB889" w14:textId="77777777" w:rsidR="0004652A" w:rsidRDefault="00000000">
            <w:pPr>
              <w:jc w:val="center"/>
            </w:pPr>
            <w:r>
              <w:rPr>
                <w:sz w:val="20"/>
                <w:szCs w:val="20"/>
              </w:rPr>
              <w:t>2022</w:t>
            </w:r>
          </w:p>
        </w:tc>
        <w:tc>
          <w:tcPr>
            <w:tcW w:w="5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E3A5362" w14:textId="77777777" w:rsidR="0004652A" w:rsidRDefault="00000000">
            <w:r>
              <w:rPr>
                <w:sz w:val="20"/>
                <w:szCs w:val="20"/>
              </w:rPr>
              <w:t>Extended the ISDA framework to cover digital asset derivatives, providing standardised definitions for crypto-referenced products.</w:t>
            </w:r>
          </w:p>
        </w:tc>
      </w:tr>
    </w:tbl>
    <w:p w14:paraId="14163EE6" w14:textId="77777777" w:rsidR="0004652A" w:rsidRDefault="0004652A">
      <w:pPr>
        <w:spacing w:before="160"/>
      </w:pPr>
    </w:p>
    <w:p w14:paraId="3477C124" w14:textId="77777777" w:rsidR="0004652A" w:rsidRDefault="00000000">
      <w:r>
        <w:br w:type="page"/>
      </w:r>
    </w:p>
    <w:p w14:paraId="713955C5" w14:textId="77777777" w:rsidR="0004652A" w:rsidRDefault="00000000">
      <w:pPr>
        <w:pStyle w:val="Heading1"/>
      </w:pPr>
      <w:bookmarkStart w:id="26" w:name="_Toc228131635"/>
      <w:r>
        <w:lastRenderedPageBreak/>
        <w:t>Section 4 — Netting: Mechanics &amp; Legal Foundation</w:t>
      </w:r>
      <w:bookmarkEnd w:id="26"/>
    </w:p>
    <w:p w14:paraId="3F9C62A6" w14:textId="77777777" w:rsidR="0004652A" w:rsidRDefault="0004652A">
      <w:pPr>
        <w:pBdr>
          <w:bottom w:val="single" w:sz="6" w:space="1" w:color="028090"/>
        </w:pBdr>
        <w:spacing w:before="120" w:after="120"/>
      </w:pPr>
    </w:p>
    <w:p w14:paraId="6D814C59" w14:textId="77777777" w:rsidR="0004652A" w:rsidRDefault="0004652A">
      <w:pPr>
        <w:spacing w:before="80"/>
      </w:pPr>
    </w:p>
    <w:p w14:paraId="145AEE91" w14:textId="77777777" w:rsidR="0004652A" w:rsidRDefault="00000000">
      <w:pPr>
        <w:pStyle w:val="Heading2"/>
      </w:pPr>
      <w:bookmarkStart w:id="27" w:name="_Toc228131636"/>
      <w:r>
        <w:t>4.1  Payment Netting</w:t>
      </w:r>
      <w:bookmarkEnd w:id="27"/>
    </w:p>
    <w:p w14:paraId="7F7EEA71" w14:textId="77777777" w:rsidR="0004652A" w:rsidRDefault="00000000">
      <w:pPr>
        <w:spacing w:before="80" w:after="80"/>
        <w:jc w:val="both"/>
      </w:pPr>
      <w:r>
        <w:t>Payment netting operates on settlement flows — it does not change the underlying trade values but reduces the number and size of payment flows between counterparties. Under Section 2(c) of the ISDA Master, parties may elect that on any given Valuation Date, all amounts payable in the same currency under the same transaction type are netted to a single net payment from one party to the other.</w:t>
      </w:r>
    </w:p>
    <w:p w14:paraId="42F4F2FA"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0E6BC25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4A1A3976" w14:textId="77777777" w:rsidR="0004652A" w:rsidRDefault="00000000">
            <w:pPr>
              <w:jc w:val="center"/>
            </w:pPr>
            <w:r>
              <w:rPr>
                <w:b/>
                <w:bCs/>
                <w:color w:val="C8953A"/>
                <w:sz w:val="20"/>
                <w:szCs w:val="20"/>
              </w:rPr>
              <w:t>EXAMPLE</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6B1B3922" w14:textId="77777777" w:rsidR="0004652A" w:rsidRDefault="00000000">
            <w:pPr>
              <w:jc w:val="both"/>
            </w:pPr>
            <w:r>
              <w:rPr>
                <w:i/>
                <w:iCs/>
                <w:sz w:val="20"/>
                <w:szCs w:val="20"/>
              </w:rPr>
              <w:t>Bank A owes Bank B EUR 5M on a fixed payment under an IRS. Bank B owes Bank A EUR 3.2M on the floating leg of the same swap on the same date. With payment netting, only Bank A pays Bank B EUR 1.8M net. Without it, two gross payments cross — each carrying settlement risk and operational cost.</w:t>
            </w:r>
          </w:p>
        </w:tc>
      </w:tr>
    </w:tbl>
    <w:p w14:paraId="570A65BB" w14:textId="77777777" w:rsidR="0004652A" w:rsidRDefault="0004652A">
      <w:pPr>
        <w:spacing w:before="80"/>
      </w:pPr>
    </w:p>
    <w:p w14:paraId="44ED9BA3" w14:textId="77777777" w:rsidR="0004652A" w:rsidRDefault="00000000">
      <w:pPr>
        <w:spacing w:before="80" w:after="80"/>
        <w:jc w:val="both"/>
      </w:pPr>
      <w:r>
        <w:t>Payment netting is bilateral and transaction-specific. It does not extend across different transactions unless explicitly agreed — this is the role of close-out netting.</w:t>
      </w:r>
    </w:p>
    <w:p w14:paraId="6A789AD9" w14:textId="77777777" w:rsidR="0004652A" w:rsidRDefault="0004652A">
      <w:pPr>
        <w:spacing w:before="120"/>
      </w:pPr>
    </w:p>
    <w:p w14:paraId="2FD9607B" w14:textId="77777777" w:rsidR="0004652A" w:rsidRDefault="00000000">
      <w:pPr>
        <w:pStyle w:val="Heading2"/>
      </w:pPr>
      <w:bookmarkStart w:id="28" w:name="_Toc228131637"/>
      <w:r>
        <w:t>4.2  Close-out Netting</w:t>
      </w:r>
      <w:bookmarkEnd w:id="28"/>
    </w:p>
    <w:p w14:paraId="41572CDE" w14:textId="77777777" w:rsidR="0004652A" w:rsidRDefault="00000000">
      <w:pPr>
        <w:spacing w:before="80" w:after="80"/>
        <w:jc w:val="both"/>
      </w:pPr>
      <w:r>
        <w:t>Close-out netting is the mechanism that delivers the principal economic benefit of the ISDA framework. Upon an Event of Default or Termination Event, all transactions under the Master Agreement are terminated simultaneously. The mark-to-market values of all terminated transactions are calculated and aggregated to a single net amount — the Close-out Amount — payable by one party to the other.</w:t>
      </w:r>
    </w:p>
    <w:p w14:paraId="486126DA" w14:textId="77777777" w:rsidR="0004652A" w:rsidRDefault="0004652A">
      <w:pPr>
        <w:spacing w:before="80"/>
      </w:pPr>
    </w:p>
    <w:p w14:paraId="521C49BE" w14:textId="77777777" w:rsidR="0004652A" w:rsidRDefault="00000000">
      <w:pPr>
        <w:spacing w:before="80" w:after="80"/>
        <w:jc w:val="both"/>
      </w:pPr>
      <w:r>
        <w:t>This eliminates the cherry-picking risk entirely: the defaulting party's estate cannot selectively enforce profitable contracts whilst disclaiming loss-making ones. All contracts terminate simultaneously; only the net amount is owed.</w:t>
      </w:r>
    </w:p>
    <w:p w14:paraId="2245E1FB"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88"/>
        <w:gridCol w:w="7872"/>
      </w:tblGrid>
      <w:tr w:rsidR="0004652A" w14:paraId="1694664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6DFB197F" w14:textId="77777777" w:rsidR="0004652A" w:rsidRDefault="00000000">
            <w:pPr>
              <w:jc w:val="center"/>
            </w:pPr>
            <w:r>
              <w:rPr>
                <w:b/>
                <w:bCs/>
                <w:color w:val="C8953A"/>
                <w:sz w:val="20"/>
                <w:szCs w:val="20"/>
              </w:rPr>
              <w:t>REGULATORY SIGNIFICANCE</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550E09A2" w14:textId="77777777" w:rsidR="0004652A" w:rsidRDefault="00000000">
            <w:pPr>
              <w:jc w:val="both"/>
            </w:pPr>
            <w:r>
              <w:rPr>
                <w:i/>
                <w:iCs/>
                <w:sz w:val="20"/>
                <w:szCs w:val="20"/>
              </w:rPr>
              <w:t>Close-out netting is the legal basis on which SA-CCR allows banks to use net rather than gross exposures for regulatory capital calculation. Without legally enforceable netting, capital treatment reverts to gross — dramatically increasing RWA. Regulators require banks to obtain netting opinions confirming enforceability in each relevant counterparty jurisdiction.</w:t>
            </w:r>
          </w:p>
        </w:tc>
      </w:tr>
    </w:tbl>
    <w:p w14:paraId="562507F0" w14:textId="77777777" w:rsidR="0004652A" w:rsidRDefault="0004652A">
      <w:pPr>
        <w:spacing w:before="120"/>
      </w:pPr>
    </w:p>
    <w:p w14:paraId="65AE60F8" w14:textId="77777777" w:rsidR="0004652A" w:rsidRDefault="00000000">
      <w:pPr>
        <w:pStyle w:val="Heading2"/>
      </w:pPr>
      <w:bookmarkStart w:id="29" w:name="_Toc228131638"/>
      <w:r>
        <w:t>4.3  Portfolio Netting</w:t>
      </w:r>
      <w:bookmarkEnd w:id="29"/>
    </w:p>
    <w:p w14:paraId="6DCB01AD" w14:textId="77777777" w:rsidR="0004652A" w:rsidRDefault="00000000">
      <w:pPr>
        <w:spacing w:before="80" w:after="80"/>
        <w:jc w:val="both"/>
      </w:pPr>
      <w:r>
        <w:t xml:space="preserve">Portfolio netting extends the close-out netting concept across all transactions within a netting set — the full population of trades covered by a single Master Agreement. A bank with 500 trades across equity, </w:t>
      </w:r>
      <w:r>
        <w:lastRenderedPageBreak/>
        <w:t>rates, credit, and FX with a single counterparty, all under one Master Agreement, has a single net exposure for capital and close-out purposes.</w:t>
      </w:r>
    </w:p>
    <w:p w14:paraId="200C4628" w14:textId="77777777" w:rsidR="0004652A" w:rsidRDefault="0004652A">
      <w:pPr>
        <w:spacing w:before="80"/>
      </w:pPr>
    </w:p>
    <w:p w14:paraId="11EC2D33" w14:textId="77777777" w:rsidR="0004652A" w:rsidRDefault="00000000">
      <w:pPr>
        <w:pStyle w:val="Heading2"/>
      </w:pPr>
      <w:bookmarkStart w:id="30" w:name="_Toc228131639"/>
      <w:r>
        <w:t>4.4  The Netting Set — Construction and Regulatory Recognition</w:t>
      </w:r>
      <w:bookmarkEnd w:id="30"/>
    </w:p>
    <w:p w14:paraId="2C8EA7A3" w14:textId="77777777" w:rsidR="0004652A" w:rsidRDefault="00000000">
      <w:pPr>
        <w:spacing w:before="80" w:after="80"/>
        <w:jc w:val="both"/>
      </w:pPr>
      <w:r>
        <w:t>A netting set is the fundamental unit of counterparty credit risk calculation under SA-CCR. Its construction rules are precisely defined:</w:t>
      </w:r>
    </w:p>
    <w:p w14:paraId="77C1F533" w14:textId="77777777" w:rsidR="0004652A" w:rsidRDefault="0004652A">
      <w:pPr>
        <w:spacing w:before="60"/>
      </w:pPr>
    </w:p>
    <w:p w14:paraId="66E88F53" w14:textId="77777777" w:rsidR="0004652A" w:rsidRDefault="00000000">
      <w:pPr>
        <w:pStyle w:val="ListParagraph"/>
        <w:numPr>
          <w:ilvl w:val="0"/>
          <w:numId w:val="2"/>
        </w:numPr>
        <w:spacing w:before="60" w:after="60"/>
      </w:pPr>
      <w:r>
        <w:t>All transactions must be covered by a legally enforceable bilateral netting agreement (typically the ISDA Master Agreement)</w:t>
      </w:r>
    </w:p>
    <w:p w14:paraId="02CF4F47" w14:textId="77777777" w:rsidR="0004652A" w:rsidRDefault="00000000">
      <w:pPr>
        <w:pStyle w:val="ListParagraph"/>
        <w:numPr>
          <w:ilvl w:val="0"/>
          <w:numId w:val="2"/>
        </w:numPr>
        <w:spacing w:before="60" w:after="60"/>
      </w:pPr>
      <w:r>
        <w:t>The netting agreement must be recognised by the regulator as legally enforceable in the relevant jurisdictions</w:t>
      </w:r>
    </w:p>
    <w:p w14:paraId="66210E63" w14:textId="77777777" w:rsidR="0004652A" w:rsidRDefault="00000000">
      <w:pPr>
        <w:pStyle w:val="ListParagraph"/>
        <w:numPr>
          <w:ilvl w:val="0"/>
          <w:numId w:val="2"/>
        </w:numPr>
        <w:spacing w:before="60" w:after="60"/>
      </w:pPr>
      <w:r>
        <w:t>Transactions with different settlement conventions (e.g. DVP vs free delivery) may require separate netting sets</w:t>
      </w:r>
    </w:p>
    <w:p w14:paraId="1D31E3A1" w14:textId="77777777" w:rsidR="0004652A" w:rsidRDefault="00000000">
      <w:pPr>
        <w:pStyle w:val="ListParagraph"/>
        <w:numPr>
          <w:ilvl w:val="0"/>
          <w:numId w:val="2"/>
        </w:numPr>
        <w:spacing w:before="60" w:after="60"/>
      </w:pPr>
      <w:r>
        <w:t>Cleared transactions belong to a CCP netting set, not to the bilateral netting set</w:t>
      </w:r>
    </w:p>
    <w:p w14:paraId="1DF6650B" w14:textId="77777777" w:rsidR="0004652A" w:rsidRDefault="00000000">
      <w:pPr>
        <w:pStyle w:val="ListParagraph"/>
        <w:numPr>
          <w:ilvl w:val="0"/>
          <w:numId w:val="2"/>
        </w:numPr>
        <w:spacing w:before="60" w:after="60"/>
      </w:pPr>
      <w:r>
        <w:t>For capital calculation under SA-CCR, each netting set produces a single EAD figure: EAD = alpha x (RC + PFE), where alpha = 1.4</w:t>
      </w:r>
    </w:p>
    <w:p w14:paraId="108F0A66" w14:textId="77777777" w:rsidR="0004652A" w:rsidRDefault="0004652A">
      <w:pPr>
        <w:spacing w:before="80"/>
      </w:pPr>
    </w:p>
    <w:p w14:paraId="5A8EB5C2" w14:textId="77777777" w:rsidR="0004652A" w:rsidRDefault="00000000">
      <w:pPr>
        <w:pStyle w:val="Heading2"/>
      </w:pPr>
      <w:bookmarkStart w:id="31" w:name="_Toc228131640"/>
      <w:r>
        <w:t>4.5  Legal Enforceability — Why Netting Opinions Are Non-Negotiable</w:t>
      </w:r>
      <w:bookmarkEnd w:id="31"/>
    </w:p>
    <w:p w14:paraId="2FDFB0FD" w14:textId="77777777" w:rsidR="0004652A" w:rsidRDefault="00000000">
      <w:pPr>
        <w:spacing w:before="80" w:after="80"/>
        <w:jc w:val="both"/>
      </w:pPr>
      <w:r>
        <w:t>The economic benefit of netting — and the regulatory capital benefit that depends on it — is only available if netting is legally enforceable in the jurisdiction of the counterparty's insolvency. A netting agreement that looks valid on paper but fails in insolvency proceedings delivers no protection.</w:t>
      </w:r>
    </w:p>
    <w:p w14:paraId="3395A7C3" w14:textId="77777777" w:rsidR="0004652A" w:rsidRDefault="0004652A">
      <w:pPr>
        <w:spacing w:before="80"/>
      </w:pPr>
    </w:p>
    <w:p w14:paraId="0F51B31E" w14:textId="77777777" w:rsidR="0004652A" w:rsidRDefault="00000000">
      <w:pPr>
        <w:spacing w:before="80" w:after="80"/>
        <w:jc w:val="both"/>
      </w:pPr>
      <w:r>
        <w:t>ISDA publishes netting opinions for over 70 jurisdictions, obtained from local counsel, confirming that close-out netting provisions are enforceable in that jurisdiction's insolvency regime. Banks must maintain current opinions for every counterparty jurisdiction in which they operate.</w:t>
      </w:r>
    </w:p>
    <w:p w14:paraId="4C51401E"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3120"/>
        <w:gridCol w:w="3120"/>
        <w:gridCol w:w="3120"/>
      </w:tblGrid>
      <w:tr w:rsidR="0004652A" w14:paraId="4D457D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159DE8" w14:textId="77777777" w:rsidR="0004652A" w:rsidRDefault="00000000">
            <w:pPr>
              <w:jc w:val="center"/>
            </w:pPr>
            <w:r>
              <w:rPr>
                <w:b/>
                <w:bCs/>
                <w:color w:val="FFFFFF"/>
                <w:sz w:val="20"/>
                <w:szCs w:val="20"/>
              </w:rPr>
              <w:t>Jurisdiction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57B369" w14:textId="77777777" w:rsidR="0004652A" w:rsidRDefault="00000000">
            <w:pPr>
              <w:jc w:val="center"/>
            </w:pPr>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8A8CBA" w14:textId="77777777" w:rsidR="0004652A" w:rsidRDefault="00000000">
            <w:pPr>
              <w:jc w:val="center"/>
            </w:pPr>
            <w:r>
              <w:rPr>
                <w:b/>
                <w:bCs/>
                <w:color w:val="FFFFFF"/>
                <w:sz w:val="20"/>
                <w:szCs w:val="20"/>
              </w:rPr>
              <w:t>Capital Treatment</w:t>
            </w:r>
          </w:p>
        </w:tc>
      </w:tr>
      <w:tr w:rsidR="0004652A" w14:paraId="189483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7DE41875" w14:textId="77777777" w:rsidR="0004652A" w:rsidRDefault="00000000">
            <w:r>
              <w:rPr>
                <w:sz w:val="20"/>
                <w:szCs w:val="20"/>
              </w:rPr>
              <w:t>ISDA opinion confirmed — netting enforceable</w:t>
            </w:r>
          </w:p>
        </w:tc>
        <w:tc>
          <w:tcPr>
            <w:tcW w:w="312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328B3086" w14:textId="77777777" w:rsidR="0004652A" w:rsidRDefault="00000000">
            <w:r>
              <w:rPr>
                <w:sz w:val="20"/>
                <w:szCs w:val="20"/>
              </w:rPr>
              <w:t>Full netting recognition</w:t>
            </w:r>
          </w:p>
        </w:tc>
        <w:tc>
          <w:tcPr>
            <w:tcW w:w="312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20D14D70" w14:textId="77777777" w:rsidR="0004652A" w:rsidRDefault="00000000">
            <w:r>
              <w:rPr>
                <w:sz w:val="20"/>
                <w:szCs w:val="20"/>
              </w:rPr>
              <w:t>Net EAD used for SA-CCR; significant RWA reduction</w:t>
            </w:r>
          </w:p>
        </w:tc>
      </w:tr>
      <w:tr w:rsidR="0004652A" w14:paraId="08EC8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1484A53B" w14:textId="77777777" w:rsidR="0004652A" w:rsidRDefault="00000000">
            <w:r>
              <w:rPr>
                <w:sz w:val="20"/>
                <w:szCs w:val="20"/>
              </w:rPr>
              <w:t>Opinion uncertain or not obtained</w:t>
            </w:r>
          </w:p>
        </w:tc>
        <w:tc>
          <w:tcPr>
            <w:tcW w:w="312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3FC38DF8" w14:textId="77777777" w:rsidR="0004652A" w:rsidRDefault="00000000">
            <w:r>
              <w:rPr>
                <w:sz w:val="20"/>
                <w:szCs w:val="20"/>
              </w:rPr>
              <w:t>Netting not recognised</w:t>
            </w:r>
          </w:p>
        </w:tc>
        <w:tc>
          <w:tcPr>
            <w:tcW w:w="312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4C2A2C26" w14:textId="77777777" w:rsidR="0004652A" w:rsidRDefault="00000000">
            <w:r>
              <w:rPr>
                <w:sz w:val="20"/>
                <w:szCs w:val="20"/>
              </w:rPr>
              <w:t>Gross EAD required; full RWA penalty</w:t>
            </w:r>
          </w:p>
        </w:tc>
      </w:tr>
      <w:tr w:rsidR="0004652A" w14:paraId="252D57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5AF3004" w14:textId="77777777" w:rsidR="0004652A" w:rsidRDefault="00000000">
            <w:r>
              <w:rPr>
                <w:sz w:val="20"/>
                <w:szCs w:val="20"/>
              </w:rPr>
              <w:t>Jurisdiction with known enforceability issues</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CD1F6D9" w14:textId="77777777" w:rsidR="0004652A" w:rsidRDefault="00000000">
            <w:r>
              <w:rPr>
                <w:sz w:val="20"/>
                <w:szCs w:val="20"/>
              </w:rPr>
              <w:t>Netting void or severely restricted</w:t>
            </w:r>
          </w:p>
        </w:tc>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DF7C429" w14:textId="77777777" w:rsidR="0004652A" w:rsidRDefault="00000000">
            <w:r>
              <w:rPr>
                <w:sz w:val="20"/>
                <w:szCs w:val="20"/>
              </w:rPr>
              <w:t>Gross EAD mandated; potential for additional supervisory overlay</w:t>
            </w:r>
          </w:p>
        </w:tc>
      </w:tr>
    </w:tbl>
    <w:p w14:paraId="57780923" w14:textId="77777777" w:rsidR="0004652A" w:rsidRDefault="0004652A">
      <w:pPr>
        <w:spacing w:before="120"/>
      </w:pPr>
    </w:p>
    <w:p w14:paraId="33035EFB" w14:textId="77777777" w:rsidR="0004652A" w:rsidRDefault="00000000">
      <w:pPr>
        <w:pStyle w:val="Heading2"/>
      </w:pPr>
      <w:bookmarkStart w:id="32" w:name="_Toc228131641"/>
      <w:r>
        <w:lastRenderedPageBreak/>
        <w:t>4.6  Worked Illustration — Netting Benefit on a Five-Trade Portfolio</w:t>
      </w:r>
      <w:bookmarkEnd w:id="32"/>
    </w:p>
    <w:p w14:paraId="235F7FCD" w14:textId="77777777" w:rsidR="0004652A" w:rsidRDefault="00000000">
      <w:pPr>
        <w:spacing w:before="80" w:after="80"/>
        <w:jc w:val="both"/>
      </w:pPr>
      <w:r>
        <w:t>The following illustrates the netting benefit for a hypothetical portfolio of five IRS trades with a single BBB-rated counterparty, using the Module 4 trade parameters as a reference point (EUR 100M notional, flat OIS at 3.20%, dealer funding spread 80 bps):</w:t>
      </w:r>
    </w:p>
    <w:p w14:paraId="21B6B34A"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800"/>
        <w:gridCol w:w="1600"/>
        <w:gridCol w:w="1600"/>
        <w:gridCol w:w="2200"/>
        <w:gridCol w:w="2160"/>
      </w:tblGrid>
      <w:tr w:rsidR="0004652A" w14:paraId="67F419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08F339" w14:textId="77777777" w:rsidR="0004652A" w:rsidRDefault="00000000">
            <w:pPr>
              <w:jc w:val="center"/>
            </w:pPr>
            <w:r>
              <w:rPr>
                <w:b/>
                <w:bCs/>
                <w:color w:val="FFFFFF"/>
                <w:sz w:val="20"/>
                <w:szCs w:val="20"/>
              </w:rPr>
              <w:t>Trade</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67CDA3" w14:textId="77777777" w:rsidR="0004652A" w:rsidRDefault="00000000">
            <w:pPr>
              <w:jc w:val="center"/>
            </w:pPr>
            <w:r>
              <w:rPr>
                <w:b/>
                <w:bCs/>
                <w:color w:val="FFFFFF"/>
                <w:sz w:val="20"/>
                <w:szCs w:val="20"/>
              </w:rPr>
              <w:t>Notional</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48D0D7" w14:textId="77777777" w:rsidR="0004652A" w:rsidRDefault="00000000">
            <w:pPr>
              <w:jc w:val="center"/>
            </w:pPr>
            <w:r>
              <w:rPr>
                <w:b/>
                <w:bCs/>
                <w:color w:val="FFFFFF"/>
                <w:sz w:val="20"/>
                <w:szCs w:val="20"/>
              </w:rPr>
              <w:t>Tenor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808DCA" w14:textId="77777777" w:rsidR="0004652A" w:rsidRDefault="00000000">
            <w:pPr>
              <w:jc w:val="center"/>
            </w:pPr>
            <w:proofErr w:type="spellStart"/>
            <w:r>
              <w:rPr>
                <w:b/>
                <w:bCs/>
                <w:color w:val="FFFFFF"/>
                <w:sz w:val="20"/>
                <w:szCs w:val="20"/>
              </w:rPr>
              <w:t>MtM</w:t>
            </w:r>
            <w:proofErr w:type="spellEnd"/>
            <w:r>
              <w:rPr>
                <w:b/>
                <w:bCs/>
                <w:color w:val="FFFFFF"/>
                <w:sz w:val="20"/>
                <w:szCs w:val="20"/>
              </w:rPr>
              <w:t xml:space="preserve"> (Dealer View)</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CC5561" w14:textId="77777777" w:rsidR="0004652A" w:rsidRDefault="00000000">
            <w:pPr>
              <w:jc w:val="center"/>
            </w:pPr>
            <w:r>
              <w:rPr>
                <w:b/>
                <w:bCs/>
                <w:color w:val="FFFFFF"/>
                <w:sz w:val="20"/>
                <w:szCs w:val="20"/>
              </w:rPr>
              <w:t>Exposure Type</w:t>
            </w:r>
          </w:p>
        </w:tc>
      </w:tr>
      <w:tr w:rsidR="0004652A" w14:paraId="148BC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A7B2EC9" w14:textId="77777777" w:rsidR="0004652A" w:rsidRDefault="00000000">
            <w:r>
              <w:rPr>
                <w:sz w:val="20"/>
                <w:szCs w:val="20"/>
              </w:rPr>
              <w:t>IRS-01 (pay fixed)</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BE9503" w14:textId="77777777" w:rsidR="0004652A" w:rsidRDefault="00000000">
            <w:pPr>
              <w:jc w:val="right"/>
            </w:pPr>
            <w:r>
              <w:rPr>
                <w:sz w:val="20"/>
                <w:szCs w:val="20"/>
              </w:rPr>
              <w:t>EUR 100M</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4674C36" w14:textId="77777777" w:rsidR="0004652A" w:rsidRDefault="00000000">
            <w:pPr>
              <w:jc w:val="center"/>
            </w:pPr>
            <w:r>
              <w:rPr>
                <w:sz w:val="20"/>
                <w:szCs w:val="20"/>
              </w:rPr>
              <w:t>5Y</w:t>
            </w:r>
          </w:p>
        </w:tc>
        <w:tc>
          <w:tcPr>
            <w:tcW w:w="220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69E38F54" w14:textId="77777777" w:rsidR="0004652A" w:rsidRDefault="00000000">
            <w:pPr>
              <w:jc w:val="right"/>
            </w:pPr>
            <w:r>
              <w:rPr>
                <w:b/>
                <w:bCs/>
                <w:sz w:val="20"/>
                <w:szCs w:val="20"/>
              </w:rPr>
              <w:t>+EUR 4.2M</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9FE86F2" w14:textId="77777777" w:rsidR="0004652A" w:rsidRDefault="00000000">
            <w:r>
              <w:rPr>
                <w:sz w:val="20"/>
                <w:szCs w:val="20"/>
              </w:rPr>
              <w:t>ITM — counterparty owes dealer</w:t>
            </w:r>
          </w:p>
        </w:tc>
      </w:tr>
      <w:tr w:rsidR="0004652A" w14:paraId="430D43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2763863" w14:textId="77777777" w:rsidR="0004652A" w:rsidRDefault="00000000">
            <w:r>
              <w:rPr>
                <w:sz w:val="20"/>
                <w:szCs w:val="20"/>
              </w:rPr>
              <w:t>IRS-02 (receive fixed)</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5E14B2" w14:textId="77777777" w:rsidR="0004652A" w:rsidRDefault="00000000">
            <w:pPr>
              <w:jc w:val="right"/>
            </w:pPr>
            <w:r>
              <w:rPr>
                <w:sz w:val="20"/>
                <w:szCs w:val="20"/>
              </w:rPr>
              <w:t>EUR 75M</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4CA543" w14:textId="77777777" w:rsidR="0004652A" w:rsidRDefault="00000000">
            <w:pPr>
              <w:jc w:val="center"/>
            </w:pPr>
            <w:r>
              <w:rPr>
                <w:sz w:val="20"/>
                <w:szCs w:val="20"/>
              </w:rPr>
              <w:t>3Y</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76CE8CF" w14:textId="77777777" w:rsidR="0004652A" w:rsidRDefault="00000000">
            <w:pPr>
              <w:jc w:val="right"/>
            </w:pPr>
            <w:r>
              <w:rPr>
                <w:b/>
                <w:bCs/>
                <w:color w:val="C0392B"/>
                <w:sz w:val="20"/>
                <w:szCs w:val="20"/>
              </w:rPr>
              <w:t>−EUR 2.8M</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82C3580" w14:textId="77777777" w:rsidR="0004652A" w:rsidRDefault="00000000">
            <w:r>
              <w:rPr>
                <w:sz w:val="20"/>
                <w:szCs w:val="20"/>
              </w:rPr>
              <w:t>OTM — dealer owes counterparty</w:t>
            </w:r>
          </w:p>
        </w:tc>
      </w:tr>
      <w:tr w:rsidR="0004652A" w14:paraId="7EB925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EDD6A9F" w14:textId="77777777" w:rsidR="0004652A" w:rsidRDefault="00000000">
            <w:r>
              <w:rPr>
                <w:sz w:val="20"/>
                <w:szCs w:val="20"/>
              </w:rPr>
              <w:t>IRS-03 (pay fixed)</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F5045EE" w14:textId="77777777" w:rsidR="0004652A" w:rsidRDefault="00000000">
            <w:pPr>
              <w:jc w:val="right"/>
            </w:pPr>
            <w:r>
              <w:rPr>
                <w:sz w:val="20"/>
                <w:szCs w:val="20"/>
              </w:rPr>
              <w:t>EUR 50M</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5979228" w14:textId="77777777" w:rsidR="0004652A" w:rsidRDefault="00000000">
            <w:pPr>
              <w:jc w:val="center"/>
            </w:pPr>
            <w:r>
              <w:rPr>
                <w:sz w:val="20"/>
                <w:szCs w:val="20"/>
              </w:rPr>
              <w:t>7Y</w:t>
            </w:r>
          </w:p>
        </w:tc>
        <w:tc>
          <w:tcPr>
            <w:tcW w:w="220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22CEC214" w14:textId="77777777" w:rsidR="0004652A" w:rsidRDefault="00000000">
            <w:pPr>
              <w:jc w:val="right"/>
            </w:pPr>
            <w:r>
              <w:rPr>
                <w:b/>
                <w:bCs/>
                <w:sz w:val="20"/>
                <w:szCs w:val="20"/>
              </w:rPr>
              <w:t>+EUR 1.9M</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0F83FEC" w14:textId="77777777" w:rsidR="0004652A" w:rsidRDefault="00000000">
            <w:r>
              <w:rPr>
                <w:sz w:val="20"/>
                <w:szCs w:val="20"/>
              </w:rPr>
              <w:t>ITM — counterparty owes dealer</w:t>
            </w:r>
          </w:p>
        </w:tc>
      </w:tr>
      <w:tr w:rsidR="0004652A" w14:paraId="2BA73C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FE3D837" w14:textId="77777777" w:rsidR="0004652A" w:rsidRDefault="00000000">
            <w:r>
              <w:rPr>
                <w:sz w:val="20"/>
                <w:szCs w:val="20"/>
              </w:rPr>
              <w:t>CDS-01 (protection sold)</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2EA7F0A" w14:textId="77777777" w:rsidR="0004652A" w:rsidRDefault="00000000">
            <w:pPr>
              <w:jc w:val="right"/>
            </w:pPr>
            <w:r>
              <w:rPr>
                <w:sz w:val="20"/>
                <w:szCs w:val="20"/>
              </w:rPr>
              <w:t>EUR 25M</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1859ED" w14:textId="77777777" w:rsidR="0004652A" w:rsidRDefault="00000000">
            <w:pPr>
              <w:jc w:val="center"/>
            </w:pPr>
            <w:r>
              <w:rPr>
                <w:sz w:val="20"/>
                <w:szCs w:val="20"/>
              </w:rPr>
              <w:t>5Y</w:t>
            </w:r>
          </w:p>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63EDB40" w14:textId="77777777" w:rsidR="0004652A" w:rsidRDefault="00000000">
            <w:pPr>
              <w:jc w:val="right"/>
            </w:pPr>
            <w:r>
              <w:rPr>
                <w:b/>
                <w:bCs/>
                <w:color w:val="C0392B"/>
                <w:sz w:val="20"/>
                <w:szCs w:val="20"/>
              </w:rPr>
              <w:t>−EUR 0.6M</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46E0449" w14:textId="77777777" w:rsidR="0004652A" w:rsidRDefault="00000000">
            <w:r>
              <w:rPr>
                <w:sz w:val="20"/>
                <w:szCs w:val="20"/>
              </w:rPr>
              <w:t>OTM — dealer owes counterparty</w:t>
            </w:r>
          </w:p>
        </w:tc>
      </w:tr>
      <w:tr w:rsidR="0004652A" w14:paraId="6EEB1B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9D3C3CF" w14:textId="77777777" w:rsidR="0004652A" w:rsidRDefault="00000000">
            <w:r>
              <w:rPr>
                <w:sz w:val="20"/>
                <w:szCs w:val="20"/>
              </w:rPr>
              <w:t>FX Forward</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C0BBF67" w14:textId="77777777" w:rsidR="0004652A" w:rsidRDefault="00000000">
            <w:pPr>
              <w:jc w:val="right"/>
            </w:pPr>
            <w:r>
              <w:rPr>
                <w:sz w:val="20"/>
                <w:szCs w:val="20"/>
              </w:rPr>
              <w:t>EUR 30M</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9BABF23" w14:textId="77777777" w:rsidR="0004652A" w:rsidRDefault="00000000">
            <w:pPr>
              <w:jc w:val="center"/>
            </w:pPr>
            <w:r>
              <w:rPr>
                <w:sz w:val="20"/>
                <w:szCs w:val="20"/>
              </w:rPr>
              <w:t>6M</w:t>
            </w:r>
          </w:p>
        </w:tc>
        <w:tc>
          <w:tcPr>
            <w:tcW w:w="220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1C439110" w14:textId="77777777" w:rsidR="0004652A" w:rsidRDefault="00000000">
            <w:pPr>
              <w:jc w:val="right"/>
            </w:pPr>
            <w:r>
              <w:rPr>
                <w:b/>
                <w:bCs/>
                <w:sz w:val="20"/>
                <w:szCs w:val="20"/>
              </w:rPr>
              <w:t>+EUR 0.3M</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720C324" w14:textId="77777777" w:rsidR="0004652A" w:rsidRDefault="00000000">
            <w:r>
              <w:rPr>
                <w:sz w:val="20"/>
                <w:szCs w:val="20"/>
              </w:rPr>
              <w:t>ITM — counterparty owes dealer</w:t>
            </w:r>
          </w:p>
        </w:tc>
      </w:tr>
    </w:tbl>
    <w:p w14:paraId="4C9D7F91" w14:textId="77777777" w:rsidR="0004652A" w:rsidRDefault="0004652A">
      <w:pPr>
        <w:spacing w:before="60"/>
      </w:pPr>
    </w:p>
    <w:tbl>
      <w:tblPr>
        <w:tblW w:w="9360" w:type="dxa"/>
        <w:tblCellMar>
          <w:left w:w="10" w:type="dxa"/>
          <w:right w:w="10" w:type="dxa"/>
        </w:tblCellMar>
        <w:tblLook w:val="04A0" w:firstRow="1" w:lastRow="0" w:firstColumn="1" w:lastColumn="0" w:noHBand="0" w:noVBand="1"/>
      </w:tblPr>
      <w:tblGrid>
        <w:gridCol w:w="4680"/>
        <w:gridCol w:w="2340"/>
        <w:gridCol w:w="2340"/>
      </w:tblGrid>
      <w:tr w:rsidR="0004652A" w14:paraId="2D794F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33C29A" w14:textId="77777777" w:rsidR="0004652A" w:rsidRDefault="00000000">
            <w:pPr>
              <w:jc w:val="center"/>
            </w:pPr>
            <w:r>
              <w:rPr>
                <w:b/>
                <w:bCs/>
                <w:color w:val="FFFFFF"/>
                <w:sz w:val="20"/>
                <w:szCs w:val="20"/>
              </w:rPr>
              <w:t>Exposure Measure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BD817C" w14:textId="77777777" w:rsidR="0004652A" w:rsidRDefault="00000000">
            <w:pPr>
              <w:jc w:val="center"/>
            </w:pPr>
            <w:r>
              <w:rPr>
                <w:b/>
                <w:bCs/>
                <w:color w:val="FFFFFF"/>
                <w:sz w:val="20"/>
                <w:szCs w:val="20"/>
              </w:rPr>
              <w:t>Amount</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1D4F56" w14:textId="77777777" w:rsidR="0004652A" w:rsidRDefault="00000000">
            <w:pPr>
              <w:jc w:val="center"/>
            </w:pPr>
            <w:r>
              <w:rPr>
                <w:b/>
                <w:bCs/>
                <w:color w:val="FFFFFF"/>
                <w:sz w:val="20"/>
                <w:szCs w:val="20"/>
              </w:rPr>
              <w:t>Notes</w:t>
            </w:r>
          </w:p>
        </w:tc>
      </w:tr>
      <w:tr w:rsidR="0004652A" w14:paraId="43DFEF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1DFC014" w14:textId="77777777" w:rsidR="0004652A" w:rsidRDefault="00000000">
            <w:r>
              <w:rPr>
                <w:b/>
                <w:bCs/>
                <w:sz w:val="20"/>
                <w:szCs w:val="20"/>
              </w:rPr>
              <w:t>Gross positive exposure (sum of ITM trades only)</w:t>
            </w:r>
          </w:p>
        </w:tc>
        <w:tc>
          <w:tcPr>
            <w:tcW w:w="234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FD8785D" w14:textId="77777777" w:rsidR="0004652A" w:rsidRDefault="00000000">
            <w:pPr>
              <w:jc w:val="right"/>
            </w:pPr>
            <w:r>
              <w:rPr>
                <w:sz w:val="20"/>
                <w:szCs w:val="20"/>
              </w:rPr>
              <w:t>EUR 6.4M</w:t>
            </w:r>
          </w:p>
        </w:tc>
        <w:tc>
          <w:tcPr>
            <w:tcW w:w="234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E8E4AFF" w14:textId="77777777" w:rsidR="0004652A" w:rsidRDefault="00000000">
            <w:r>
              <w:rPr>
                <w:sz w:val="20"/>
                <w:szCs w:val="20"/>
              </w:rPr>
              <w:t>No netting — pre-ISDA treatment</w:t>
            </w:r>
          </w:p>
        </w:tc>
      </w:tr>
      <w:tr w:rsidR="0004652A" w14:paraId="38FAF3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1016886" w14:textId="77777777" w:rsidR="0004652A" w:rsidRDefault="00000000">
            <w:r>
              <w:rPr>
                <w:b/>
                <w:bCs/>
                <w:sz w:val="20"/>
                <w:szCs w:val="20"/>
              </w:rPr>
              <w:t>Gross exposure (sum of absolute values)</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E13867E" w14:textId="77777777" w:rsidR="0004652A" w:rsidRDefault="00000000">
            <w:pPr>
              <w:jc w:val="right"/>
            </w:pPr>
            <w:r>
              <w:rPr>
                <w:sz w:val="20"/>
                <w:szCs w:val="20"/>
              </w:rPr>
              <w:t>EUR 9.8M</w:t>
            </w:r>
          </w:p>
        </w:tc>
        <w:tc>
          <w:tcPr>
            <w:tcW w:w="23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1B50E3" w14:textId="77777777" w:rsidR="0004652A" w:rsidRDefault="00000000">
            <w:r>
              <w:rPr>
                <w:sz w:val="20"/>
                <w:szCs w:val="20"/>
              </w:rPr>
              <w:t>Total bilateral exposure both ways</w:t>
            </w:r>
          </w:p>
        </w:tc>
      </w:tr>
      <w:tr w:rsidR="0004652A" w14:paraId="07FAC3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0E6B1E57" w14:textId="77777777" w:rsidR="0004652A" w:rsidRDefault="00000000">
            <w:r>
              <w:rPr>
                <w:b/>
                <w:bCs/>
                <w:sz w:val="20"/>
                <w:szCs w:val="20"/>
              </w:rPr>
              <w:t>Net exposure after close-out netting</w:t>
            </w:r>
          </w:p>
        </w:tc>
        <w:tc>
          <w:tcPr>
            <w:tcW w:w="234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3E779F09" w14:textId="77777777" w:rsidR="0004652A" w:rsidRDefault="00000000">
            <w:pPr>
              <w:jc w:val="right"/>
            </w:pPr>
            <w:r>
              <w:rPr>
                <w:sz w:val="20"/>
                <w:szCs w:val="20"/>
              </w:rPr>
              <w:t>EUR 3.0M</w:t>
            </w:r>
          </w:p>
        </w:tc>
        <w:tc>
          <w:tcPr>
            <w:tcW w:w="234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0E1CF54A" w14:textId="77777777" w:rsidR="0004652A" w:rsidRDefault="00000000">
            <w:r>
              <w:rPr>
                <w:sz w:val="20"/>
                <w:szCs w:val="20"/>
              </w:rPr>
              <w:t>(+6.4M − 3.4M net). 53% reduction in credit exposure</w:t>
            </w:r>
          </w:p>
        </w:tc>
      </w:tr>
      <w:tr w:rsidR="0004652A" w14:paraId="798B7C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3A21E810" w14:textId="77777777" w:rsidR="0004652A" w:rsidRDefault="00000000">
            <w:r>
              <w:rPr>
                <w:b/>
                <w:bCs/>
                <w:sz w:val="20"/>
                <w:szCs w:val="20"/>
              </w:rPr>
              <w:t>SA-CCR EAD (net, with alpha = 1.4)</w:t>
            </w:r>
          </w:p>
        </w:tc>
        <w:tc>
          <w:tcPr>
            <w:tcW w:w="234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41D077EB" w14:textId="77777777" w:rsidR="0004652A" w:rsidRDefault="00000000">
            <w:pPr>
              <w:jc w:val="right"/>
            </w:pPr>
            <w:r>
              <w:rPr>
                <w:sz w:val="20"/>
                <w:szCs w:val="20"/>
              </w:rPr>
              <w:t>~EUR 4.2M</w:t>
            </w:r>
          </w:p>
        </w:tc>
        <w:tc>
          <w:tcPr>
            <w:tcW w:w="234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75953E7F" w14:textId="77777777" w:rsidR="0004652A" w:rsidRDefault="00000000">
            <w:r>
              <w:rPr>
                <w:sz w:val="20"/>
                <w:szCs w:val="20"/>
              </w:rPr>
              <w:t>RC + PFE on netted basis x 1.4</w:t>
            </w:r>
          </w:p>
        </w:tc>
      </w:tr>
      <w:tr w:rsidR="0004652A" w14:paraId="0FBAF1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7458F5A" w14:textId="77777777" w:rsidR="0004652A" w:rsidRDefault="00000000">
            <w:r>
              <w:rPr>
                <w:b/>
                <w:bCs/>
                <w:sz w:val="20"/>
                <w:szCs w:val="20"/>
              </w:rPr>
              <w:t>SA-CCR EAD (gross, no netting)</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299737F" w14:textId="77777777" w:rsidR="0004652A" w:rsidRDefault="00000000">
            <w:pPr>
              <w:jc w:val="right"/>
            </w:pPr>
            <w:r>
              <w:rPr>
                <w:color w:val="C0392B"/>
                <w:sz w:val="20"/>
                <w:szCs w:val="20"/>
              </w:rPr>
              <w:t>~EUR 13.7M</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3F09619" w14:textId="77777777" w:rsidR="0004652A" w:rsidRDefault="00000000">
            <w:r>
              <w:rPr>
                <w:sz w:val="20"/>
                <w:szCs w:val="20"/>
              </w:rPr>
              <w:t>3.3x higher capital requirement</w:t>
            </w:r>
          </w:p>
        </w:tc>
      </w:tr>
    </w:tbl>
    <w:p w14:paraId="11BF8EB8" w14:textId="77777777" w:rsidR="0004652A" w:rsidRDefault="0004652A">
      <w:pPr>
        <w:spacing w:before="120"/>
      </w:pPr>
    </w:p>
    <w:p w14:paraId="7CD2E562" w14:textId="77777777" w:rsidR="0004652A" w:rsidRDefault="00000000">
      <w:pPr>
        <w:spacing w:before="80" w:after="80"/>
        <w:jc w:val="both"/>
      </w:pPr>
      <w:r>
        <w:t>The netting benefit in this example reduces the SA-CCR EAD by approximately EUR 9.5M — a 69% capital reduction. Multiplied across a trading book with thousands of counterparties, the aggregate capital saving from legally enforceable netting runs into billions of dollars for a global bank.</w:t>
      </w:r>
    </w:p>
    <w:p w14:paraId="41B6D7D0" w14:textId="77777777" w:rsidR="0004652A" w:rsidRDefault="0004652A">
      <w:pPr>
        <w:spacing w:before="160"/>
      </w:pPr>
    </w:p>
    <w:p w14:paraId="1E82201B" w14:textId="77777777" w:rsidR="0004652A" w:rsidRDefault="00000000">
      <w:r>
        <w:br w:type="page"/>
      </w:r>
    </w:p>
    <w:p w14:paraId="0116619C" w14:textId="77777777" w:rsidR="0004652A" w:rsidRDefault="00000000">
      <w:pPr>
        <w:pStyle w:val="Heading1"/>
      </w:pPr>
      <w:bookmarkStart w:id="33" w:name="_Toc228131642"/>
      <w:r>
        <w:lastRenderedPageBreak/>
        <w:t>Section 5 — Collateral: Variation Margin</w:t>
      </w:r>
      <w:bookmarkEnd w:id="33"/>
    </w:p>
    <w:p w14:paraId="52AB612E" w14:textId="77777777" w:rsidR="0004652A" w:rsidRDefault="0004652A">
      <w:pPr>
        <w:pBdr>
          <w:bottom w:val="single" w:sz="6" w:space="1" w:color="028090"/>
        </w:pBdr>
        <w:spacing w:before="120" w:after="120"/>
      </w:pPr>
    </w:p>
    <w:p w14:paraId="13BC14CE" w14:textId="77777777" w:rsidR="0004652A" w:rsidRDefault="0004652A">
      <w:pPr>
        <w:spacing w:before="80"/>
      </w:pPr>
    </w:p>
    <w:p w14:paraId="3176E1C7" w14:textId="77777777" w:rsidR="0004652A" w:rsidRDefault="00000000">
      <w:pPr>
        <w:pStyle w:val="Heading2"/>
      </w:pPr>
      <w:bookmarkStart w:id="34" w:name="_Toc228131643"/>
      <w:r>
        <w:t>5.1  VM Purpose and Mechanics</w:t>
      </w:r>
      <w:bookmarkEnd w:id="34"/>
    </w:p>
    <w:p w14:paraId="38C058F3" w14:textId="77777777" w:rsidR="0004652A" w:rsidRDefault="00000000">
      <w:pPr>
        <w:spacing w:before="80" w:after="80"/>
        <w:jc w:val="both"/>
      </w:pPr>
      <w:r>
        <w:t>Variation Margin (VM) is the daily mark-to-market settlement mechanism for OTC derivative portfolios. Its economic purpose is to ensure that accumulated gains and losses on derivative positions are settled in near-real-time rather than at maturity, dramatically reducing the credit exposure that builds up between counterparties over a trade's life.</w:t>
      </w:r>
    </w:p>
    <w:p w14:paraId="46212AF5" w14:textId="77777777" w:rsidR="0004652A" w:rsidRDefault="0004652A">
      <w:pPr>
        <w:spacing w:before="80"/>
      </w:pPr>
    </w:p>
    <w:p w14:paraId="0179DA31" w14:textId="77777777" w:rsidR="0004652A" w:rsidRDefault="00000000">
      <w:pPr>
        <w:spacing w:before="80" w:after="80"/>
        <w:jc w:val="both"/>
      </w:pPr>
      <w:r>
        <w:t xml:space="preserve">VM operates as follows: each Valuation Date (typically daily for bank-to-bank trades), the Valuation Agent calculates the net </w:t>
      </w:r>
      <w:proofErr w:type="spellStart"/>
      <w:r>
        <w:t>MtM</w:t>
      </w:r>
      <w:proofErr w:type="spellEnd"/>
      <w:r>
        <w:t xml:space="preserve"> value of all trades in the netting set. If the net value has moved in favour of Party A since the last VM exchange, Party B posts collateral to Party A equal to the change. The process runs in reverse when the market moves the other way.</w:t>
      </w:r>
    </w:p>
    <w:p w14:paraId="3AB42D78"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6AE8976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2D4119C1" w14:textId="77777777" w:rsidR="0004652A" w:rsidRDefault="00000000">
            <w:pPr>
              <w:jc w:val="center"/>
            </w:pPr>
            <w:r>
              <w:rPr>
                <w:b/>
                <w:bCs/>
                <w:color w:val="C8953A"/>
                <w:sz w:val="20"/>
                <w:szCs w:val="20"/>
              </w:rPr>
              <w:t>KEY EFFECT ON XVA</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3585D928" w14:textId="77777777" w:rsidR="0004652A" w:rsidRDefault="00000000">
            <w:pPr>
              <w:jc w:val="both"/>
            </w:pPr>
            <w:r>
              <w:rPr>
                <w:i/>
                <w:iCs/>
                <w:sz w:val="20"/>
                <w:szCs w:val="20"/>
              </w:rPr>
              <w:t>VM dramatically reduces CVA and FVA. A fully VM-collateralised portfolio has near-zero CVA because the credit exposure is settled daily — at most one day's market movement is uncollateralised at any point. FVA on a VM-collateralised book approaches zero for the same reason: the trade is effectively funded by the VM flows rather than by the bank's own balance sheet.</w:t>
            </w:r>
          </w:p>
        </w:tc>
      </w:tr>
    </w:tbl>
    <w:p w14:paraId="7805AD13" w14:textId="77777777" w:rsidR="0004652A" w:rsidRDefault="0004652A">
      <w:pPr>
        <w:spacing w:before="120"/>
      </w:pPr>
    </w:p>
    <w:p w14:paraId="0CCD9D94" w14:textId="77777777" w:rsidR="0004652A" w:rsidRDefault="00000000">
      <w:pPr>
        <w:pStyle w:val="Heading2"/>
      </w:pPr>
      <w:bookmarkStart w:id="35" w:name="_Toc228131644"/>
      <w:r>
        <w:t>5.2  Eligible Assets and Haircuts</w:t>
      </w:r>
      <w:bookmarkEnd w:id="35"/>
    </w:p>
    <w:p w14:paraId="4722EAFE" w14:textId="77777777" w:rsidR="0004652A" w:rsidRDefault="00000000">
      <w:pPr>
        <w:spacing w:before="80" w:after="80"/>
        <w:jc w:val="both"/>
      </w:pPr>
      <w:r>
        <w:t>Not all assets are eligible as VM collateral. The CSA specifies the Eligible Credit Support schedule. Typical eligibility tiers:</w:t>
      </w:r>
    </w:p>
    <w:p w14:paraId="219DDCE7"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800"/>
        <w:gridCol w:w="1800"/>
        <w:gridCol w:w="4760"/>
      </w:tblGrid>
      <w:tr w:rsidR="0004652A" w14:paraId="24D6F5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0306076" w14:textId="77777777" w:rsidR="0004652A" w:rsidRDefault="00000000">
            <w:pPr>
              <w:jc w:val="center"/>
            </w:pPr>
            <w:r>
              <w:rPr>
                <w:b/>
                <w:bCs/>
                <w:color w:val="FFFFFF"/>
                <w:sz w:val="20"/>
                <w:szCs w:val="20"/>
              </w:rPr>
              <w:t>Asset Type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F160D7" w14:textId="77777777" w:rsidR="0004652A" w:rsidRDefault="00000000">
            <w:pPr>
              <w:jc w:val="center"/>
            </w:pPr>
            <w:r>
              <w:rPr>
                <w:b/>
                <w:bCs/>
                <w:color w:val="FFFFFF"/>
                <w:sz w:val="20"/>
                <w:szCs w:val="20"/>
              </w:rPr>
              <w:t>Typical Haircut</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91CE701" w14:textId="77777777" w:rsidR="0004652A" w:rsidRDefault="00000000">
            <w:pPr>
              <w:jc w:val="center"/>
            </w:pPr>
            <w:r>
              <w:rPr>
                <w:b/>
                <w:bCs/>
                <w:color w:val="FFFFFF"/>
                <w:sz w:val="20"/>
                <w:szCs w:val="20"/>
              </w:rPr>
              <w:t>Notes</w:t>
            </w:r>
          </w:p>
        </w:tc>
      </w:tr>
      <w:tr w:rsidR="0004652A" w14:paraId="18FF81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593C9D8" w14:textId="77777777" w:rsidR="0004652A" w:rsidRDefault="00000000">
            <w:r>
              <w:rPr>
                <w:sz w:val="20"/>
                <w:szCs w:val="20"/>
              </w:rPr>
              <w:t>Cash (base currency)</w:t>
            </w:r>
          </w:p>
        </w:tc>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1B347B8" w14:textId="77777777" w:rsidR="0004652A" w:rsidRDefault="00000000">
            <w:pPr>
              <w:jc w:val="center"/>
            </w:pPr>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5D35F66" w14:textId="77777777" w:rsidR="0004652A" w:rsidRDefault="00000000">
            <w:r>
              <w:rPr>
                <w:sz w:val="20"/>
                <w:szCs w:val="20"/>
              </w:rPr>
              <w:t>No haircut — cash is the cleanest collateral. OIS rate paid on cash VM (ESTR for EUR, SOFR for USD).</w:t>
            </w:r>
          </w:p>
        </w:tc>
      </w:tr>
      <w:tr w:rsidR="0004652A" w14:paraId="11146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D229233" w14:textId="77777777" w:rsidR="0004652A" w:rsidRDefault="00000000">
            <w:r>
              <w:rPr>
                <w:sz w:val="20"/>
                <w:szCs w:val="20"/>
              </w:rPr>
              <w:t>G10 Government Bonds (≤2Y)</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24F7F60" w14:textId="77777777" w:rsidR="0004652A" w:rsidRDefault="00000000">
            <w:pPr>
              <w:jc w:val="center"/>
            </w:pPr>
            <w:r>
              <w:rPr>
                <w:sz w:val="20"/>
                <w:szCs w:val="20"/>
              </w:rPr>
              <w:t>0.5–1%</w:t>
            </w:r>
          </w:p>
        </w:tc>
        <w:tc>
          <w:tcPr>
            <w:tcW w:w="4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ED65F57" w14:textId="77777777" w:rsidR="0004652A" w:rsidRDefault="00000000">
            <w:r>
              <w:rPr>
                <w:sz w:val="20"/>
                <w:szCs w:val="20"/>
              </w:rPr>
              <w:t>Near-cash; low duration risk. Must be from eligible issuer list.</w:t>
            </w:r>
          </w:p>
        </w:tc>
      </w:tr>
      <w:tr w:rsidR="0004652A" w14:paraId="637FA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5F8BD1A" w14:textId="77777777" w:rsidR="0004652A" w:rsidRDefault="00000000">
            <w:r>
              <w:rPr>
                <w:sz w:val="20"/>
                <w:szCs w:val="20"/>
              </w:rPr>
              <w:t>G10 Government Bonds (2–10Y)</w:t>
            </w:r>
          </w:p>
        </w:tc>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27B8129" w14:textId="77777777" w:rsidR="0004652A" w:rsidRDefault="00000000">
            <w:pPr>
              <w:jc w:val="center"/>
            </w:pPr>
            <w:r>
              <w:rPr>
                <w:sz w:val="20"/>
                <w:szCs w:val="20"/>
              </w:rPr>
              <w:t>2–4%</w:t>
            </w:r>
          </w:p>
        </w:tc>
        <w:tc>
          <w:tcPr>
            <w:tcW w:w="4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716DF42" w14:textId="77777777" w:rsidR="0004652A" w:rsidRDefault="00000000">
            <w:r>
              <w:rPr>
                <w:sz w:val="20"/>
                <w:szCs w:val="20"/>
              </w:rPr>
              <w:t>Standard sovereign bond collateral. Duration haircut reflects interest rate risk in collateral value.</w:t>
            </w:r>
          </w:p>
        </w:tc>
      </w:tr>
      <w:tr w:rsidR="0004652A" w14:paraId="6771BA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3325058" w14:textId="77777777" w:rsidR="0004652A" w:rsidRDefault="00000000">
            <w:r>
              <w:rPr>
                <w:sz w:val="20"/>
                <w:szCs w:val="20"/>
              </w:rPr>
              <w:t>G10 Government Bonds (&gt;10Y)</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C411FCE" w14:textId="77777777" w:rsidR="0004652A" w:rsidRDefault="00000000">
            <w:pPr>
              <w:jc w:val="center"/>
            </w:pPr>
            <w:r>
              <w:rPr>
                <w:sz w:val="20"/>
                <w:szCs w:val="20"/>
              </w:rPr>
              <w:t>4–8%</w:t>
            </w:r>
          </w:p>
        </w:tc>
        <w:tc>
          <w:tcPr>
            <w:tcW w:w="4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96DE186" w14:textId="77777777" w:rsidR="0004652A" w:rsidRDefault="00000000">
            <w:r>
              <w:rPr>
                <w:sz w:val="20"/>
                <w:szCs w:val="20"/>
              </w:rPr>
              <w:t>Longer duration; higher haircut. Some CSAs exclude maturities beyond 30Y.</w:t>
            </w:r>
          </w:p>
        </w:tc>
      </w:tr>
      <w:tr w:rsidR="0004652A" w14:paraId="362DC9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11284DE" w14:textId="77777777" w:rsidR="0004652A" w:rsidRDefault="00000000">
            <w:r>
              <w:rPr>
                <w:sz w:val="20"/>
                <w:szCs w:val="20"/>
              </w:rPr>
              <w:t>Agency Securities</w:t>
            </w:r>
          </w:p>
        </w:tc>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E7FF738" w14:textId="77777777" w:rsidR="0004652A" w:rsidRDefault="00000000">
            <w:pPr>
              <w:jc w:val="center"/>
            </w:pPr>
            <w:r>
              <w:rPr>
                <w:sz w:val="20"/>
                <w:szCs w:val="20"/>
              </w:rPr>
              <w:t>1–3%</w:t>
            </w:r>
          </w:p>
        </w:tc>
        <w:tc>
          <w:tcPr>
            <w:tcW w:w="4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E3BC628" w14:textId="77777777" w:rsidR="0004652A" w:rsidRDefault="00000000">
            <w:r>
              <w:rPr>
                <w:sz w:val="20"/>
                <w:szCs w:val="20"/>
              </w:rPr>
              <w:t>Quasi-sovereign; typically eligible where government bonds are. Haircut reflects slightly higher credit risk vs direct sovereign.</w:t>
            </w:r>
          </w:p>
        </w:tc>
      </w:tr>
      <w:tr w:rsidR="0004652A" w14:paraId="5ACA2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5A4363D" w14:textId="77777777" w:rsidR="0004652A" w:rsidRDefault="00000000">
            <w:r>
              <w:rPr>
                <w:sz w:val="20"/>
                <w:szCs w:val="20"/>
              </w:rPr>
              <w:lastRenderedPageBreak/>
              <w:t>Investment Grade Corporate Bonds</w:t>
            </w:r>
          </w:p>
        </w:tc>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7C1776F" w14:textId="77777777" w:rsidR="0004652A" w:rsidRDefault="00000000">
            <w:pPr>
              <w:jc w:val="center"/>
            </w:pPr>
            <w:r>
              <w:rPr>
                <w:sz w:val="20"/>
                <w:szCs w:val="20"/>
              </w:rPr>
              <w:t>6–12%</w:t>
            </w:r>
          </w:p>
        </w:tc>
        <w:tc>
          <w:tcPr>
            <w:tcW w:w="4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40FBCC9" w14:textId="77777777" w:rsidR="0004652A" w:rsidRDefault="00000000">
            <w:r>
              <w:rPr>
                <w:sz w:val="20"/>
                <w:szCs w:val="20"/>
              </w:rPr>
              <w:t>Often excluded from bilateral VM CSAs. Where included, significant haircuts reflect credit and liquidity risk.</w:t>
            </w:r>
          </w:p>
        </w:tc>
      </w:tr>
      <w:tr w:rsidR="0004652A" w14:paraId="78ECF8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95C64A7" w14:textId="77777777" w:rsidR="0004652A" w:rsidRDefault="00000000">
            <w:r>
              <w:rPr>
                <w:sz w:val="20"/>
                <w:szCs w:val="20"/>
              </w:rPr>
              <w:t>Equities (major indices)</w:t>
            </w:r>
          </w:p>
        </w:tc>
        <w:tc>
          <w:tcPr>
            <w:tcW w:w="1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88E1EA2" w14:textId="77777777" w:rsidR="0004652A" w:rsidRDefault="00000000">
            <w:pPr>
              <w:jc w:val="center"/>
            </w:pPr>
            <w:r>
              <w:rPr>
                <w:sz w:val="20"/>
                <w:szCs w:val="20"/>
              </w:rPr>
              <w:t>15–25%</w:t>
            </w:r>
          </w:p>
        </w:tc>
        <w:tc>
          <w:tcPr>
            <w:tcW w:w="4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F39D6A9" w14:textId="77777777" w:rsidR="0004652A" w:rsidRDefault="00000000">
            <w:r>
              <w:rPr>
                <w:sz w:val="20"/>
                <w:szCs w:val="20"/>
              </w:rPr>
              <w:t>Rarely eligible for bilateral VM. More common in prime brokerage contexts.</w:t>
            </w:r>
          </w:p>
        </w:tc>
      </w:tr>
    </w:tbl>
    <w:p w14:paraId="361456EF" w14:textId="77777777" w:rsidR="0004652A" w:rsidRDefault="0004652A">
      <w:pPr>
        <w:spacing w:before="120"/>
      </w:pPr>
    </w:p>
    <w:p w14:paraId="4557D315" w14:textId="77777777" w:rsidR="0004652A" w:rsidRDefault="00000000">
      <w:pPr>
        <w:pStyle w:val="Heading2"/>
      </w:pPr>
      <w:bookmarkStart w:id="36" w:name="_Toc228131645"/>
      <w:r>
        <w:t>5.3  VM Under a CSA vs Cleared Trades</w:t>
      </w:r>
      <w:bookmarkEnd w:id="36"/>
    </w:p>
    <w:p w14:paraId="5549B8AD" w14:textId="77777777" w:rsidR="0004652A" w:rsidRDefault="00000000">
      <w:pPr>
        <w:spacing w:before="80" w:after="80"/>
        <w:jc w:val="both"/>
      </w:pPr>
      <w:r>
        <w:t>Bilateral VM under a CSA and cleared VM at a CCP operate differently in important respects:</w:t>
      </w:r>
    </w:p>
    <w:p w14:paraId="083E9BD8"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400"/>
        <w:gridCol w:w="3480"/>
        <w:gridCol w:w="3480"/>
      </w:tblGrid>
      <w:tr w:rsidR="0004652A" w14:paraId="3F6CB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ED5C86" w14:textId="77777777" w:rsidR="0004652A" w:rsidRDefault="00000000">
            <w:pPr>
              <w:jc w:val="center"/>
            </w:pPr>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035D38" w14:textId="77777777" w:rsidR="0004652A" w:rsidRDefault="00000000">
            <w:pPr>
              <w:jc w:val="center"/>
            </w:pPr>
            <w:r>
              <w:rPr>
                <w:b/>
                <w:bCs/>
                <w:color w:val="FFFFFF"/>
                <w:sz w:val="20"/>
                <w:szCs w:val="20"/>
              </w:rPr>
              <w:t>Bilateral CSA VM</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1BED54" w14:textId="77777777" w:rsidR="0004652A" w:rsidRDefault="00000000">
            <w:pPr>
              <w:jc w:val="center"/>
            </w:pPr>
            <w:r>
              <w:rPr>
                <w:b/>
                <w:bCs/>
                <w:color w:val="FFFFFF"/>
                <w:sz w:val="20"/>
                <w:szCs w:val="20"/>
              </w:rPr>
              <w:t>CCP VM</w:t>
            </w:r>
          </w:p>
        </w:tc>
      </w:tr>
      <w:tr w:rsidR="0004652A" w14:paraId="4FEB84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8503B1C" w14:textId="77777777" w:rsidR="0004652A" w:rsidRDefault="00000000">
            <w:r>
              <w:rPr>
                <w:b/>
                <w:bCs/>
                <w:sz w:val="20"/>
                <w:szCs w:val="20"/>
              </w:rPr>
              <w:t>Frequency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8F88D85" w14:textId="77777777" w:rsidR="0004652A" w:rsidRDefault="00000000">
            <w:r>
              <w:rPr>
                <w:sz w:val="20"/>
                <w:szCs w:val="20"/>
              </w:rPr>
              <w:t>Daily (standard for bank-to-bank); potentially less frequent for corporate counterparties</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59F3D3" w14:textId="77777777" w:rsidR="0004652A" w:rsidRDefault="00000000">
            <w:r>
              <w:rPr>
                <w:sz w:val="20"/>
                <w:szCs w:val="20"/>
              </w:rPr>
              <w:t>Intraday (typically 2x or more per day for major CCPs)</w:t>
            </w:r>
          </w:p>
        </w:tc>
      </w:tr>
      <w:tr w:rsidR="0004652A" w14:paraId="7C0ED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93C5CBF" w14:textId="77777777" w:rsidR="0004652A" w:rsidRDefault="00000000">
            <w:r>
              <w:rPr>
                <w:b/>
                <w:bCs/>
                <w:sz w:val="20"/>
                <w:szCs w:val="20"/>
              </w:rPr>
              <w:t>Eligible collateral</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BBED44B" w14:textId="77777777" w:rsidR="0004652A" w:rsidRDefault="00000000">
            <w:r>
              <w:rPr>
                <w:sz w:val="20"/>
                <w:szCs w:val="20"/>
              </w:rPr>
              <w:t>Negotiated bilaterally in CSA; varies widely</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2E310F9" w14:textId="77777777" w:rsidR="0004652A" w:rsidRDefault="00000000">
            <w:r>
              <w:rPr>
                <w:sz w:val="20"/>
                <w:szCs w:val="20"/>
              </w:rPr>
              <w:t>Defined by CCP rulebook; typically narrower (cash or select government bonds)</w:t>
            </w:r>
          </w:p>
        </w:tc>
      </w:tr>
      <w:tr w:rsidR="0004652A" w14:paraId="1F13BB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16C37E8" w14:textId="77777777" w:rsidR="0004652A" w:rsidRDefault="00000000">
            <w:r>
              <w:rPr>
                <w:b/>
                <w:bCs/>
                <w:sz w:val="20"/>
                <w:szCs w:val="20"/>
              </w:rPr>
              <w:t>Interest on cash VM</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FA9A7CF" w14:textId="77777777" w:rsidR="0004652A" w:rsidRDefault="00000000">
            <w:r>
              <w:rPr>
                <w:sz w:val="20"/>
                <w:szCs w:val="20"/>
              </w:rPr>
              <w:t>OIS rate (ESTR/SOFR/SONIA) per CSA</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A977295" w14:textId="77777777" w:rsidR="0004652A" w:rsidRDefault="00000000">
            <w:r>
              <w:rPr>
                <w:sz w:val="20"/>
                <w:szCs w:val="20"/>
              </w:rPr>
              <w:t>CCP price alignment interest (PAI) — also OIS-based</w:t>
            </w:r>
          </w:p>
        </w:tc>
      </w:tr>
      <w:tr w:rsidR="0004652A" w14:paraId="00169A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317D906" w14:textId="77777777" w:rsidR="0004652A" w:rsidRDefault="00000000">
            <w:r>
              <w:rPr>
                <w:b/>
                <w:bCs/>
                <w:sz w:val="20"/>
                <w:szCs w:val="20"/>
              </w:rPr>
              <w:t>Rehypothecation</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4ED8E33" w14:textId="77777777" w:rsidR="0004652A" w:rsidRDefault="00000000">
            <w:r>
              <w:rPr>
                <w:sz w:val="20"/>
                <w:szCs w:val="20"/>
              </w:rPr>
              <w:t>Permitted under most bilateral CSAs — receiving party may reuse VM</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8751E42" w14:textId="77777777" w:rsidR="0004652A" w:rsidRDefault="00000000">
            <w:r>
              <w:rPr>
                <w:sz w:val="20"/>
                <w:szCs w:val="20"/>
              </w:rPr>
              <w:t>CCP holds VM; not rehypothecated to clearing members</w:t>
            </w:r>
          </w:p>
        </w:tc>
      </w:tr>
      <w:tr w:rsidR="0004652A" w14:paraId="29643F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E3B8A3E" w14:textId="77777777" w:rsidR="0004652A" w:rsidRDefault="00000000">
            <w:r>
              <w:rPr>
                <w:b/>
                <w:bCs/>
                <w:sz w:val="20"/>
                <w:szCs w:val="20"/>
              </w:rPr>
              <w:t>Default waterfall</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D336C34" w14:textId="77777777" w:rsidR="0004652A" w:rsidRDefault="00000000">
            <w:r>
              <w:rPr>
                <w:sz w:val="20"/>
                <w:szCs w:val="20"/>
              </w:rPr>
              <w:t>Bilateral close-out under Master Agreement</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8CADBEF" w14:textId="77777777" w:rsidR="0004652A" w:rsidRDefault="00000000">
            <w:r>
              <w:rPr>
                <w:sz w:val="20"/>
                <w:szCs w:val="20"/>
              </w:rPr>
              <w:t>CCP loss waterfall: VM → IM → default fund → CCP equity</w:t>
            </w:r>
          </w:p>
        </w:tc>
      </w:tr>
    </w:tbl>
    <w:p w14:paraId="05F395B3" w14:textId="77777777" w:rsidR="0004652A" w:rsidRDefault="0004652A">
      <w:pPr>
        <w:spacing w:before="120"/>
      </w:pPr>
    </w:p>
    <w:p w14:paraId="6CC2AA46" w14:textId="77777777" w:rsidR="0004652A" w:rsidRDefault="00000000">
      <w:pPr>
        <w:pStyle w:val="Heading2"/>
      </w:pPr>
      <w:bookmarkStart w:id="37" w:name="_Toc228131646"/>
      <w:r>
        <w:t>5.4  Threshold, MTA, and Residual Exposure</w:t>
      </w:r>
      <w:bookmarkEnd w:id="37"/>
    </w:p>
    <w:p w14:paraId="030B2CC1" w14:textId="77777777" w:rsidR="0004652A" w:rsidRDefault="00000000">
      <w:pPr>
        <w:spacing w:before="80" w:after="80"/>
        <w:jc w:val="both"/>
      </w:pPr>
      <w:r>
        <w:t>Two CSA parameters directly determine how much uncollateralised exposure remains even under a VM agreement:</w:t>
      </w:r>
    </w:p>
    <w:p w14:paraId="5EC09C30" w14:textId="77777777" w:rsidR="0004652A" w:rsidRDefault="0004652A">
      <w:pPr>
        <w:spacing w:before="80"/>
      </w:pPr>
    </w:p>
    <w:p w14:paraId="1E34C07F" w14:textId="77777777" w:rsidR="0004652A" w:rsidRDefault="00000000">
      <w:pPr>
        <w:pStyle w:val="ListParagraph"/>
        <w:numPr>
          <w:ilvl w:val="0"/>
          <w:numId w:val="2"/>
        </w:numPr>
        <w:spacing w:before="60" w:after="60"/>
      </w:pPr>
      <w:r>
        <w:t>Threshold (TH): the amount of exposure that the posting party may have before any collateral is required. A zero threshold means full collateralisation from the first dollar; a positive threshold leaves that amount permanently uncollateralised. Thresholds are often credit-rating-linked — rising as the counterparty's rating deteriorates.</w:t>
      </w:r>
    </w:p>
    <w:p w14:paraId="68C9978F" w14:textId="77777777" w:rsidR="0004652A" w:rsidRDefault="00000000">
      <w:pPr>
        <w:pStyle w:val="ListParagraph"/>
        <w:numPr>
          <w:ilvl w:val="0"/>
          <w:numId w:val="2"/>
        </w:numPr>
        <w:spacing w:before="60" w:after="60"/>
      </w:pPr>
      <w:r>
        <w:t>Minimum Transfer Amount (MTA): the minimum size of any collateral call or return. Calls below the MTA are not made. This creates a band of uncollateralised exposure up to the MTA at all times.</w:t>
      </w:r>
    </w:p>
    <w:p w14:paraId="18C83779" w14:textId="77777777" w:rsidR="0004652A" w:rsidRDefault="0004652A">
      <w:pPr>
        <w:spacing w:before="80"/>
      </w:pPr>
    </w:p>
    <w:p w14:paraId="5404CD5C" w14:textId="77777777" w:rsidR="0004652A" w:rsidRDefault="00000000">
      <w:pPr>
        <w:spacing w:before="80" w:after="80"/>
        <w:jc w:val="both"/>
      </w:pPr>
      <w:r>
        <w:t>The combination of Threshold and MTA defines the maximum uncollateralised exposure that can accumulate before a VM call is triggered. For CVA and FVA modelling purposes, this residual exposure — often called the Independent Amount shortfall — must be explicitly modelled.</w:t>
      </w:r>
    </w:p>
    <w:p w14:paraId="5747294C" w14:textId="77777777" w:rsidR="0004652A" w:rsidRDefault="0004652A">
      <w:pPr>
        <w:spacing w:before="120"/>
      </w:pPr>
    </w:p>
    <w:p w14:paraId="60083182" w14:textId="77777777" w:rsidR="0004652A" w:rsidRDefault="00000000">
      <w:pPr>
        <w:pStyle w:val="Heading2"/>
      </w:pPr>
      <w:bookmarkStart w:id="38" w:name="_Toc228131647"/>
      <w:r>
        <w:lastRenderedPageBreak/>
        <w:t>5.5  VM Dispute Mechanics</w:t>
      </w:r>
      <w:bookmarkEnd w:id="38"/>
    </w:p>
    <w:p w14:paraId="35602D75" w14:textId="77777777" w:rsidR="0004652A" w:rsidRDefault="00000000">
      <w:pPr>
        <w:spacing w:before="80" w:after="80"/>
        <w:jc w:val="both"/>
      </w:pPr>
      <w:r>
        <w:t>When the two parties' valuations disagree by more than the agreed tolerance band, a VM dispute arises. Standard CSA dispute procedures:</w:t>
      </w:r>
    </w:p>
    <w:p w14:paraId="45BCA431" w14:textId="77777777" w:rsidR="0004652A" w:rsidRDefault="0004652A">
      <w:pPr>
        <w:spacing w:before="60"/>
      </w:pPr>
    </w:p>
    <w:p w14:paraId="70F3B89A" w14:textId="77777777" w:rsidR="0004652A" w:rsidRDefault="00000000">
      <w:pPr>
        <w:pStyle w:val="ListParagraph"/>
        <w:numPr>
          <w:ilvl w:val="0"/>
          <w:numId w:val="3"/>
        </w:numPr>
        <w:spacing w:before="60" w:after="60"/>
      </w:pPr>
      <w:r>
        <w:t>The disputing party notifies the Valuation Agent of the dispute, identifying the discrepancy.</w:t>
      </w:r>
    </w:p>
    <w:p w14:paraId="50FDCCC1" w14:textId="77777777" w:rsidR="0004652A" w:rsidRDefault="00000000">
      <w:pPr>
        <w:pStyle w:val="ListParagraph"/>
        <w:numPr>
          <w:ilvl w:val="0"/>
          <w:numId w:val="3"/>
        </w:numPr>
        <w:spacing w:before="60" w:after="60"/>
      </w:pPr>
      <w:r>
        <w:t>Each party provides its own valuation to the other.</w:t>
      </w:r>
    </w:p>
    <w:p w14:paraId="33A4D5AA" w14:textId="77777777" w:rsidR="0004652A" w:rsidRDefault="00000000">
      <w:pPr>
        <w:pStyle w:val="ListParagraph"/>
        <w:numPr>
          <w:ilvl w:val="0"/>
          <w:numId w:val="3"/>
        </w:numPr>
        <w:spacing w:before="60" w:after="60"/>
      </w:pPr>
      <w:r>
        <w:t>If the dispute is not resolved within the agreed resolution period (typically 5 business days), each party may seek independent quotations from Reference Market Makers.</w:t>
      </w:r>
    </w:p>
    <w:p w14:paraId="55A5B485" w14:textId="77777777" w:rsidR="0004652A" w:rsidRDefault="00000000">
      <w:pPr>
        <w:pStyle w:val="ListParagraph"/>
        <w:numPr>
          <w:ilvl w:val="0"/>
          <w:numId w:val="3"/>
        </w:numPr>
        <w:spacing w:before="60" w:after="60"/>
      </w:pPr>
      <w:r>
        <w:t>The undisputed amount is typically transferred promptly even while the dispute is pending, to minimise credit exposure.</w:t>
      </w:r>
    </w:p>
    <w:p w14:paraId="510B4362" w14:textId="77777777" w:rsidR="0004652A" w:rsidRDefault="0004652A">
      <w:pPr>
        <w:spacing w:before="80"/>
      </w:pPr>
    </w:p>
    <w:p w14:paraId="3824E41D" w14:textId="77777777" w:rsidR="0004652A" w:rsidRDefault="00000000">
      <w:pPr>
        <w:spacing w:before="80" w:after="80"/>
        <w:jc w:val="both"/>
      </w:pPr>
      <w:r>
        <w:t>Disputes most commonly arise on illiquid or complex products where model valuations diverge significantly. This is a known weakness of the bilateral framework and a driver of the post-2008 push toward central clearing for standardised products.</w:t>
      </w:r>
    </w:p>
    <w:p w14:paraId="7A4FFA62" w14:textId="77777777" w:rsidR="0004652A" w:rsidRDefault="0004652A">
      <w:pPr>
        <w:spacing w:before="160"/>
      </w:pPr>
    </w:p>
    <w:p w14:paraId="6945773D" w14:textId="77777777" w:rsidR="0004652A" w:rsidRDefault="00000000">
      <w:r>
        <w:br w:type="page"/>
      </w:r>
    </w:p>
    <w:p w14:paraId="28FC3FE5" w14:textId="77777777" w:rsidR="0004652A" w:rsidRDefault="00000000">
      <w:pPr>
        <w:pStyle w:val="Heading1"/>
      </w:pPr>
      <w:bookmarkStart w:id="39" w:name="_Toc228131648"/>
      <w:r>
        <w:lastRenderedPageBreak/>
        <w:t>Section 6 — Collateral: Initial Margin</w:t>
      </w:r>
      <w:bookmarkEnd w:id="39"/>
    </w:p>
    <w:p w14:paraId="702BFAC5" w14:textId="77777777" w:rsidR="0004652A" w:rsidRDefault="0004652A">
      <w:pPr>
        <w:pBdr>
          <w:bottom w:val="single" w:sz="6" w:space="1" w:color="028090"/>
        </w:pBdr>
        <w:spacing w:before="120" w:after="120"/>
      </w:pPr>
    </w:p>
    <w:p w14:paraId="62405BD0" w14:textId="77777777" w:rsidR="0004652A" w:rsidRDefault="0004652A">
      <w:pPr>
        <w:spacing w:before="80"/>
      </w:pPr>
    </w:p>
    <w:p w14:paraId="5A0F2B54" w14:textId="77777777" w:rsidR="0004652A" w:rsidRDefault="00000000">
      <w:pPr>
        <w:pStyle w:val="Heading2"/>
      </w:pPr>
      <w:bookmarkStart w:id="40" w:name="_Toc228131649"/>
      <w:r>
        <w:t xml:space="preserve">6.1  IM Purpose — The Buffer Against </w:t>
      </w:r>
      <w:proofErr w:type="spellStart"/>
      <w:r>
        <w:t>MPoR</w:t>
      </w:r>
      <w:proofErr w:type="spellEnd"/>
      <w:r>
        <w:t xml:space="preserve"> Exposure</w:t>
      </w:r>
      <w:bookmarkEnd w:id="40"/>
    </w:p>
    <w:p w14:paraId="12FE1D85" w14:textId="77777777" w:rsidR="0004652A" w:rsidRDefault="00000000">
      <w:pPr>
        <w:spacing w:before="80" w:after="80"/>
        <w:jc w:val="both"/>
      </w:pPr>
      <w:r>
        <w:t xml:space="preserve">Initial Margin (IM) serves a fundamentally different purpose from Variation Margin. VM eliminates the accumulated </w:t>
      </w:r>
      <w:proofErr w:type="spellStart"/>
      <w:r>
        <w:t>MtM</w:t>
      </w:r>
      <w:proofErr w:type="spellEnd"/>
      <w:r>
        <w:t xml:space="preserve"> exposure by settling it daily. IM protects against the exposure that could accumulate during the Margin Period of Risk (</w:t>
      </w:r>
      <w:proofErr w:type="spellStart"/>
      <w:r>
        <w:t>MPoR</w:t>
      </w:r>
      <w:proofErr w:type="spellEnd"/>
      <w:r>
        <w:t>) — the time between the last VM exchange and the close-out and replacement of all positions following a counterparty default.</w:t>
      </w:r>
    </w:p>
    <w:p w14:paraId="39BF2F4A" w14:textId="77777777" w:rsidR="0004652A" w:rsidRDefault="0004652A">
      <w:pPr>
        <w:spacing w:before="80"/>
      </w:pPr>
    </w:p>
    <w:p w14:paraId="7685F7A8" w14:textId="77777777" w:rsidR="0004652A" w:rsidRDefault="00000000">
      <w:pPr>
        <w:spacing w:before="80" w:after="80"/>
        <w:jc w:val="both"/>
      </w:pPr>
      <w:r>
        <w:t xml:space="preserve">During the </w:t>
      </w:r>
      <w:proofErr w:type="spellStart"/>
      <w:r>
        <w:t>MPoR</w:t>
      </w:r>
      <w:proofErr w:type="spellEnd"/>
      <w:r>
        <w:t xml:space="preserve">, markets continue to move, but no collateral is being exchanged with the defaulted counterparty. IM is sized to cover the potential market movement over this period at a high confidence level (typically 99th percentile over the </w:t>
      </w:r>
      <w:proofErr w:type="spellStart"/>
      <w:r>
        <w:t>MPoR</w:t>
      </w:r>
      <w:proofErr w:type="spellEnd"/>
      <w:r>
        <w:t xml:space="preserve"> horizon).</w:t>
      </w:r>
    </w:p>
    <w:p w14:paraId="0C7AD6B4"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3DFBBF3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5F8B75CE" w14:textId="77777777" w:rsidR="0004652A" w:rsidRDefault="00000000">
            <w:pPr>
              <w:jc w:val="center"/>
            </w:pPr>
            <w:r>
              <w:rPr>
                <w:b/>
                <w:bCs/>
                <w:color w:val="C8953A"/>
                <w:sz w:val="20"/>
                <w:szCs w:val="20"/>
              </w:rPr>
              <w:t>DISTINCTION</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04334571" w14:textId="77777777" w:rsidR="0004652A" w:rsidRDefault="00000000">
            <w:pPr>
              <w:jc w:val="both"/>
            </w:pPr>
            <w:r>
              <w:rPr>
                <w:i/>
                <w:iCs/>
                <w:sz w:val="20"/>
                <w:szCs w:val="20"/>
              </w:rPr>
              <w:t xml:space="preserve">VM = settlement of what has already happened (current </w:t>
            </w:r>
            <w:proofErr w:type="spellStart"/>
            <w:r>
              <w:rPr>
                <w:i/>
                <w:iCs/>
                <w:sz w:val="20"/>
                <w:szCs w:val="20"/>
              </w:rPr>
              <w:t>MtM</w:t>
            </w:r>
            <w:proofErr w:type="spellEnd"/>
            <w:r>
              <w:rPr>
                <w:i/>
                <w:iCs/>
                <w:sz w:val="20"/>
                <w:szCs w:val="20"/>
              </w:rPr>
              <w:t xml:space="preserve">). IM = pre-funding against what might happen (future potential exposure during </w:t>
            </w:r>
            <w:proofErr w:type="spellStart"/>
            <w:r>
              <w:rPr>
                <w:i/>
                <w:iCs/>
                <w:sz w:val="20"/>
                <w:szCs w:val="20"/>
              </w:rPr>
              <w:t>MPoR</w:t>
            </w:r>
            <w:proofErr w:type="spellEnd"/>
            <w:r>
              <w:rPr>
                <w:i/>
                <w:iCs/>
                <w:sz w:val="20"/>
                <w:szCs w:val="20"/>
              </w:rPr>
              <w:t>). Both are required for a fully collateralised bilateral relationship under UMR.</w:t>
            </w:r>
          </w:p>
        </w:tc>
      </w:tr>
    </w:tbl>
    <w:p w14:paraId="7DE37F89" w14:textId="77777777" w:rsidR="0004652A" w:rsidRDefault="0004652A">
      <w:pPr>
        <w:spacing w:before="120"/>
      </w:pPr>
    </w:p>
    <w:p w14:paraId="1BA0B3D1" w14:textId="77777777" w:rsidR="0004652A" w:rsidRDefault="00000000">
      <w:pPr>
        <w:pStyle w:val="Heading2"/>
      </w:pPr>
      <w:bookmarkStart w:id="41" w:name="_Toc228131650"/>
      <w:r>
        <w:t>6.2  UMR Phase-In Recap</w:t>
      </w:r>
      <w:bookmarkEnd w:id="41"/>
    </w:p>
    <w:p w14:paraId="7F1F14F1" w14:textId="77777777" w:rsidR="0004652A" w:rsidRDefault="00000000">
      <w:pPr>
        <w:spacing w:before="80" w:after="80"/>
        <w:jc w:val="both"/>
      </w:pPr>
      <w:r>
        <w:t>The Uncleared Margin Rules (UMR), developed jointly by BCBS and IOSCO and implemented by national regulators from 2016, introduced mandatory bilateral IM requirements for non-cleared OTC derivatives. The phase-in was structured by Average Aggregate Notional Amount (AANA) of non-cleared derivatives:</w:t>
      </w:r>
    </w:p>
    <w:p w14:paraId="66734E58"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200"/>
        <w:gridCol w:w="2400"/>
        <w:gridCol w:w="2160"/>
        <w:gridCol w:w="3600"/>
      </w:tblGrid>
      <w:tr w:rsidR="0004652A" w14:paraId="013C53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917C47" w14:textId="77777777" w:rsidR="0004652A" w:rsidRDefault="00000000">
            <w:pPr>
              <w:jc w:val="center"/>
            </w:pPr>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59A8BB" w14:textId="77777777" w:rsidR="0004652A" w:rsidRDefault="00000000">
            <w:pPr>
              <w:jc w:val="center"/>
            </w:pPr>
            <w:r>
              <w:rPr>
                <w:b/>
                <w:bCs/>
                <w:color w:val="FFFFFF"/>
                <w:sz w:val="20"/>
                <w:szCs w:val="20"/>
              </w:rPr>
              <w:t>Implementation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AAC801" w14:textId="77777777" w:rsidR="0004652A" w:rsidRDefault="00000000">
            <w:pPr>
              <w:jc w:val="center"/>
            </w:pPr>
            <w:r>
              <w:rPr>
                <w:b/>
                <w:bCs/>
                <w:color w:val="FFFFFF"/>
                <w:sz w:val="20"/>
                <w:szCs w:val="20"/>
              </w:rPr>
              <w:t>AANA Threshold</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C79F70" w14:textId="77777777" w:rsidR="0004652A" w:rsidRDefault="00000000">
            <w:pPr>
              <w:jc w:val="center"/>
            </w:pPr>
            <w:r>
              <w:rPr>
                <w:b/>
                <w:bCs/>
                <w:color w:val="FFFFFF"/>
                <w:sz w:val="20"/>
                <w:szCs w:val="20"/>
              </w:rPr>
              <w:t>Entities Captured</w:t>
            </w:r>
          </w:p>
        </w:tc>
      </w:tr>
      <w:tr w:rsidR="0004652A" w14:paraId="724C59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639C80" w14:textId="77777777" w:rsidR="0004652A" w:rsidRDefault="00000000">
            <w:pPr>
              <w:jc w:val="center"/>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2777CE5" w14:textId="77777777" w:rsidR="0004652A" w:rsidRDefault="00000000">
            <w:pPr>
              <w:jc w:val="center"/>
            </w:pPr>
            <w:r>
              <w:rPr>
                <w:sz w:val="20"/>
                <w:szCs w:val="20"/>
              </w:rPr>
              <w:t>Sep 2016</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CFF2A79" w14:textId="77777777" w:rsidR="0004652A" w:rsidRDefault="00000000">
            <w:pPr>
              <w:jc w:val="center"/>
            </w:pPr>
            <w:r>
              <w:rPr>
                <w:sz w:val="20"/>
                <w:szCs w:val="20"/>
              </w:rPr>
              <w:t>≥ EUR 3 trillion</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40D6E46" w14:textId="77777777" w:rsidR="0004652A" w:rsidRDefault="00000000">
            <w:r>
              <w:rPr>
                <w:sz w:val="20"/>
                <w:szCs w:val="20"/>
              </w:rPr>
              <w:t>Largest global dealers — G-SIBs and major buy-side</w:t>
            </w:r>
          </w:p>
        </w:tc>
      </w:tr>
      <w:tr w:rsidR="0004652A" w14:paraId="756D05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090D0B" w14:textId="77777777" w:rsidR="0004652A" w:rsidRDefault="00000000">
            <w:pPr>
              <w:jc w:val="center"/>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44657B4" w14:textId="77777777" w:rsidR="0004652A" w:rsidRDefault="00000000">
            <w:pPr>
              <w:jc w:val="center"/>
            </w:pPr>
            <w:r>
              <w:rPr>
                <w:sz w:val="20"/>
                <w:szCs w:val="20"/>
              </w:rPr>
              <w:t>Sep 2017</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99F8635" w14:textId="77777777" w:rsidR="0004652A" w:rsidRDefault="00000000">
            <w:pPr>
              <w:jc w:val="center"/>
            </w:pPr>
            <w:r>
              <w:rPr>
                <w:sz w:val="20"/>
                <w:szCs w:val="20"/>
              </w:rPr>
              <w:t>≥ EUR 2.25 trillion</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7EC75B8" w14:textId="77777777" w:rsidR="0004652A" w:rsidRDefault="00000000">
            <w:r>
              <w:rPr>
                <w:sz w:val="20"/>
                <w:szCs w:val="20"/>
              </w:rPr>
              <w:t>Large dealers and significant buy-side firms</w:t>
            </w:r>
          </w:p>
        </w:tc>
      </w:tr>
      <w:tr w:rsidR="0004652A" w14:paraId="4969DE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26DBBA3" w14:textId="77777777" w:rsidR="0004652A" w:rsidRDefault="00000000">
            <w:pPr>
              <w:jc w:val="center"/>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6C43FF1" w14:textId="77777777" w:rsidR="0004652A" w:rsidRDefault="00000000">
            <w:pPr>
              <w:jc w:val="center"/>
            </w:pPr>
            <w:r>
              <w:rPr>
                <w:sz w:val="20"/>
                <w:szCs w:val="20"/>
              </w:rPr>
              <w:t>Sep 2018</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1D5F7C3" w14:textId="77777777" w:rsidR="0004652A" w:rsidRDefault="00000000">
            <w:pPr>
              <w:jc w:val="center"/>
            </w:pPr>
            <w:r>
              <w:rPr>
                <w:sz w:val="20"/>
                <w:szCs w:val="20"/>
              </w:rPr>
              <w:t>≥ EUR 1.5 trillion</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88ECD61" w14:textId="77777777" w:rsidR="0004652A" w:rsidRDefault="00000000">
            <w:r>
              <w:rPr>
                <w:sz w:val="20"/>
                <w:szCs w:val="20"/>
              </w:rPr>
              <w:t>Mid-tier dealers and large asset managers</w:t>
            </w:r>
          </w:p>
        </w:tc>
      </w:tr>
      <w:tr w:rsidR="0004652A" w14:paraId="7FF57D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D85D8ED" w14:textId="77777777" w:rsidR="0004652A" w:rsidRDefault="00000000">
            <w:pPr>
              <w:jc w:val="center"/>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2DFEF31" w14:textId="77777777" w:rsidR="0004652A" w:rsidRDefault="00000000">
            <w:pPr>
              <w:jc w:val="center"/>
            </w:pPr>
            <w:r>
              <w:rPr>
                <w:sz w:val="20"/>
                <w:szCs w:val="20"/>
              </w:rPr>
              <w:t>Sep 2019</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3E7DE47" w14:textId="77777777" w:rsidR="0004652A" w:rsidRDefault="00000000">
            <w:pPr>
              <w:jc w:val="center"/>
            </w:pPr>
            <w:r>
              <w:rPr>
                <w:sz w:val="20"/>
                <w:szCs w:val="20"/>
              </w:rPr>
              <w:t>≥ EUR 0.75 trillion</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1471B77" w14:textId="77777777" w:rsidR="0004652A" w:rsidRDefault="00000000">
            <w:r>
              <w:rPr>
                <w:sz w:val="20"/>
                <w:szCs w:val="20"/>
              </w:rPr>
              <w:t>Smaller dealers and regional banks</w:t>
            </w:r>
          </w:p>
        </w:tc>
      </w:tr>
      <w:tr w:rsidR="0004652A" w14:paraId="2C0D52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7E10AFE" w14:textId="77777777" w:rsidR="0004652A" w:rsidRDefault="00000000">
            <w:pPr>
              <w:jc w:val="center"/>
            </w:pPr>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F6F57A9" w14:textId="77777777" w:rsidR="0004652A" w:rsidRDefault="00000000">
            <w:pPr>
              <w:jc w:val="center"/>
            </w:pPr>
            <w:r>
              <w:rPr>
                <w:sz w:val="20"/>
                <w:szCs w:val="20"/>
              </w:rPr>
              <w:t>Sep 2021</w:t>
            </w:r>
          </w:p>
        </w:tc>
        <w:tc>
          <w:tcPr>
            <w:tcW w:w="21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D82E0BC" w14:textId="77777777" w:rsidR="0004652A" w:rsidRDefault="00000000">
            <w:pPr>
              <w:jc w:val="center"/>
            </w:pPr>
            <w:r>
              <w:rPr>
                <w:sz w:val="20"/>
                <w:szCs w:val="20"/>
              </w:rPr>
              <w:t>≥ EUR 50 billion</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0F46D2E" w14:textId="77777777" w:rsidR="0004652A" w:rsidRDefault="00000000">
            <w:r>
              <w:rPr>
                <w:sz w:val="20"/>
                <w:szCs w:val="20"/>
              </w:rPr>
              <w:t>Broad mid-market capture; significant operational burden</w:t>
            </w:r>
          </w:p>
        </w:tc>
      </w:tr>
      <w:tr w:rsidR="0004652A" w14:paraId="2C7B00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6187714" w14:textId="77777777" w:rsidR="0004652A" w:rsidRDefault="00000000">
            <w:pPr>
              <w:jc w:val="center"/>
            </w:pPr>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39D0558" w14:textId="77777777" w:rsidR="0004652A" w:rsidRDefault="00000000">
            <w:pPr>
              <w:jc w:val="center"/>
            </w:pPr>
            <w:r>
              <w:rPr>
                <w:sz w:val="20"/>
                <w:szCs w:val="20"/>
              </w:rPr>
              <w:t>Sep 2022</w:t>
            </w:r>
          </w:p>
        </w:tc>
        <w:tc>
          <w:tcPr>
            <w:tcW w:w="2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E2DAF4" w14:textId="77777777" w:rsidR="0004652A" w:rsidRDefault="00000000">
            <w:pPr>
              <w:jc w:val="center"/>
            </w:pPr>
            <w:r>
              <w:rPr>
                <w:sz w:val="20"/>
                <w:szCs w:val="20"/>
              </w:rPr>
              <w:t>≥ EUR 8 billion</w:t>
            </w:r>
          </w:p>
        </w:tc>
        <w:tc>
          <w:tcPr>
            <w:tcW w:w="3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EF6C89E" w14:textId="77777777" w:rsidR="0004652A" w:rsidRDefault="00000000">
            <w:r>
              <w:rPr>
                <w:sz w:val="20"/>
                <w:szCs w:val="20"/>
              </w:rPr>
              <w:t>Near-complete market coverage. ISDA estimated ~1,000 new bilateral IM relationships activated in Phase 5–6.</w:t>
            </w:r>
          </w:p>
        </w:tc>
      </w:tr>
    </w:tbl>
    <w:p w14:paraId="05C2DA0D" w14:textId="77777777" w:rsidR="0004652A" w:rsidRDefault="0004652A">
      <w:pPr>
        <w:spacing w:before="120"/>
      </w:pPr>
    </w:p>
    <w:p w14:paraId="1F33E96F" w14:textId="77777777" w:rsidR="0004652A" w:rsidRDefault="00000000">
      <w:pPr>
        <w:pStyle w:val="Heading2"/>
      </w:pPr>
      <w:bookmarkStart w:id="42" w:name="_Toc228131651"/>
      <w:r>
        <w:lastRenderedPageBreak/>
        <w:t>6.3  SIMM — Sensitivity-Based IM Calculation</w:t>
      </w:r>
      <w:bookmarkEnd w:id="42"/>
    </w:p>
    <w:p w14:paraId="258F1075" w14:textId="77777777" w:rsidR="0004652A" w:rsidRDefault="00000000">
      <w:pPr>
        <w:spacing w:before="80" w:after="80"/>
        <w:jc w:val="both"/>
      </w:pPr>
      <w:r>
        <w:t>The Standard Initial Margin Model (SIMM), developed by ISDA, is the industry-standard model for computing bilateral IM under UMR. SIMM v2.8+2506 (December 2025) is the current version.</w:t>
      </w:r>
    </w:p>
    <w:p w14:paraId="7C7716C4" w14:textId="77777777" w:rsidR="0004652A" w:rsidRDefault="0004652A">
      <w:pPr>
        <w:spacing w:before="80"/>
      </w:pPr>
    </w:p>
    <w:p w14:paraId="7FB15B3B" w14:textId="77777777" w:rsidR="0004652A" w:rsidRDefault="00000000">
      <w:pPr>
        <w:spacing w:before="80" w:after="80"/>
        <w:jc w:val="both"/>
      </w:pPr>
      <w:r>
        <w:t>SIMM calculates IM as a function of risk sensitivities (</w:t>
      </w:r>
      <w:proofErr w:type="spellStart"/>
      <w:r>
        <w:t>greeks</w:t>
      </w:r>
      <w:proofErr w:type="spellEnd"/>
      <w:r>
        <w:t xml:space="preserve">) across six risk classes: IR (Interest Rate), CR-Q (Credit Qualifying), CR-NQ (Credit Non-Qualifying), EQ (Equity), FX (Foreign Exchange), and CM (Commodities). For each risk class, a delta, </w:t>
      </w:r>
      <w:proofErr w:type="spellStart"/>
      <w:r>
        <w:t>vega</w:t>
      </w:r>
      <w:proofErr w:type="spellEnd"/>
      <w:r>
        <w:t>, and curvature margin is calculated. Cross-asset and cross-bucket correlations are applied to produce diversification benefit.</w:t>
      </w:r>
    </w:p>
    <w:p w14:paraId="5205D45A"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9360"/>
      </w:tblGrid>
      <w:tr w:rsidR="0004652A" w14:paraId="3F3FEC67" w14:textId="77777777">
        <w:tblPrEx>
          <w:tblCellMar>
            <w:top w:w="0" w:type="dxa"/>
            <w:bottom w:w="0" w:type="dxa"/>
          </w:tblCellMar>
        </w:tblPrEx>
        <w:tc>
          <w:tcPr>
            <w:tcW w:w="9360" w:type="dxa"/>
            <w:tcBorders>
              <w:top w:val="single" w:sz="4" w:space="0" w:color="028090"/>
              <w:left w:val="single" w:sz="12" w:space="0" w:color="C8953A"/>
              <w:bottom w:val="single" w:sz="4" w:space="0" w:color="028090"/>
              <w:right w:val="single" w:sz="1" w:space="0" w:color="F4F6F8"/>
            </w:tcBorders>
            <w:shd w:val="clear" w:color="auto" w:fill="1B2A4A"/>
            <w:tcMar>
              <w:top w:w="120" w:type="dxa"/>
              <w:left w:w="200" w:type="dxa"/>
              <w:bottom w:w="120" w:type="dxa"/>
              <w:right w:w="200" w:type="dxa"/>
            </w:tcMar>
          </w:tcPr>
          <w:p w14:paraId="44B06C84" w14:textId="77777777" w:rsidR="0004652A" w:rsidRDefault="00000000">
            <w:pPr>
              <w:jc w:val="center"/>
            </w:pPr>
            <w:r>
              <w:rPr>
                <w:rFonts w:ascii="Courier New" w:eastAsia="Courier New" w:hAnsi="Courier New" w:cs="Courier New"/>
                <w:b/>
                <w:bCs/>
                <w:color w:val="FFFFFF"/>
              </w:rPr>
              <w:t xml:space="preserve">SIMM IM = sqrt[ </w:t>
            </w:r>
            <w:proofErr w:type="spellStart"/>
            <w:r>
              <w:rPr>
                <w:rFonts w:ascii="Courier New" w:eastAsia="Courier New" w:hAnsi="Courier New" w:cs="Courier New"/>
                <w:b/>
                <w:bCs/>
                <w:color w:val="FFFFFF"/>
              </w:rPr>
              <w:t>sum_i</w:t>
            </w:r>
            <w:proofErr w:type="spellEnd"/>
            <w:r>
              <w:rPr>
                <w:rFonts w:ascii="Courier New" w:eastAsia="Courier New" w:hAnsi="Courier New" w:cs="Courier New"/>
                <w:b/>
                <w:bCs/>
                <w:color w:val="FFFFFF"/>
              </w:rPr>
              <w:t>(WS_i^2) + sum_{</w:t>
            </w:r>
            <w:proofErr w:type="spellStart"/>
            <w:r>
              <w:rPr>
                <w:rFonts w:ascii="Courier New" w:eastAsia="Courier New" w:hAnsi="Courier New" w:cs="Courier New"/>
                <w:b/>
                <w:bCs/>
                <w:color w:val="FFFFFF"/>
              </w:rPr>
              <w:t>i≠j</w:t>
            </w:r>
            <w:proofErr w:type="spellEnd"/>
            <w:r>
              <w:rPr>
                <w:rFonts w:ascii="Courier New" w:eastAsia="Courier New" w:hAnsi="Courier New" w:cs="Courier New"/>
                <w:b/>
                <w:bCs/>
                <w:color w:val="FFFFFF"/>
              </w:rPr>
              <w:t>}(</w:t>
            </w:r>
            <w:proofErr w:type="spellStart"/>
            <w:r>
              <w:rPr>
                <w:rFonts w:ascii="Courier New" w:eastAsia="Courier New" w:hAnsi="Courier New" w:cs="Courier New"/>
                <w:b/>
                <w:bCs/>
                <w:color w:val="FFFFFF"/>
              </w:rPr>
              <w:t>rho_ij</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WS_i</w:t>
            </w:r>
            <w:proofErr w:type="spellEnd"/>
            <w:r>
              <w:rPr>
                <w:rFonts w:ascii="Courier New" w:eastAsia="Courier New" w:hAnsi="Courier New" w:cs="Courier New"/>
                <w:b/>
                <w:bCs/>
                <w:color w:val="FFFFFF"/>
              </w:rPr>
              <w:t xml:space="preserve"> * </w:t>
            </w:r>
            <w:proofErr w:type="spellStart"/>
            <w:r>
              <w:rPr>
                <w:rFonts w:ascii="Courier New" w:eastAsia="Courier New" w:hAnsi="Courier New" w:cs="Courier New"/>
                <w:b/>
                <w:bCs/>
                <w:color w:val="FFFFFF"/>
              </w:rPr>
              <w:t>WS_j</w:t>
            </w:r>
            <w:proofErr w:type="spellEnd"/>
            <w:r>
              <w:rPr>
                <w:rFonts w:ascii="Courier New" w:eastAsia="Courier New" w:hAnsi="Courier New" w:cs="Courier New"/>
                <w:b/>
                <w:bCs/>
                <w:color w:val="FFFFFF"/>
              </w:rPr>
              <w:t>) ]</w:t>
            </w:r>
          </w:p>
        </w:tc>
      </w:tr>
    </w:tbl>
    <w:p w14:paraId="125D0D34" w14:textId="77777777" w:rsidR="0004652A" w:rsidRDefault="0004652A">
      <w:pPr>
        <w:spacing w:before="60"/>
      </w:pPr>
    </w:p>
    <w:p w14:paraId="16D038F1" w14:textId="77777777" w:rsidR="0004652A" w:rsidRDefault="00000000">
      <w:pPr>
        <w:spacing w:before="80" w:after="80"/>
        <w:jc w:val="both"/>
      </w:pPr>
      <w:r>
        <w:t xml:space="preserve">Where </w:t>
      </w:r>
      <w:proofErr w:type="spellStart"/>
      <w:r>
        <w:t>WS_i</w:t>
      </w:r>
      <w:proofErr w:type="spellEnd"/>
      <w:r>
        <w:t xml:space="preserve"> are the weighted sensitivities for each risk bucket and </w:t>
      </w:r>
      <w:proofErr w:type="spellStart"/>
      <w:r>
        <w:t>rho_ij</w:t>
      </w:r>
      <w:proofErr w:type="spellEnd"/>
      <w:r>
        <w:t xml:space="preserve"> are the intra-bucket correlation parameters. See Module 4 for the full MVA derivation using SIMM.</w:t>
      </w:r>
    </w:p>
    <w:p w14:paraId="4D25401B"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51"/>
        <w:gridCol w:w="7909"/>
      </w:tblGrid>
      <w:tr w:rsidR="0004652A" w14:paraId="7C89FF2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29191B62" w14:textId="77777777" w:rsidR="0004652A" w:rsidRDefault="00000000">
            <w:pPr>
              <w:jc w:val="center"/>
            </w:pPr>
            <w:r>
              <w:rPr>
                <w:b/>
                <w:bCs/>
                <w:color w:val="C8953A"/>
                <w:sz w:val="20"/>
                <w:szCs w:val="20"/>
              </w:rPr>
              <w:t>CALIBRATION NOTE</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433C54B2" w14:textId="77777777" w:rsidR="0004652A" w:rsidRDefault="00000000">
            <w:pPr>
              <w:jc w:val="both"/>
            </w:pPr>
            <w:r>
              <w:rPr>
                <w:i/>
                <w:iCs/>
                <w:sz w:val="20"/>
                <w:szCs w:val="20"/>
              </w:rPr>
              <w:t>SIMM v2.8+2506 (December 2025): EUR IR delta risk weight confirmed within 70–80 bps range; 75 bps used in worked examples across Modules 4 and 5. Credit Qualifying weights increased for high-yield/non-rated subsectors. Commodity weights decreased (energy-sector normalisation). Always refer to the current ISDA SIMM publication for live production calibration.</w:t>
            </w:r>
          </w:p>
        </w:tc>
      </w:tr>
    </w:tbl>
    <w:p w14:paraId="550FBC10" w14:textId="77777777" w:rsidR="0004652A" w:rsidRDefault="0004652A">
      <w:pPr>
        <w:spacing w:before="120"/>
      </w:pPr>
    </w:p>
    <w:p w14:paraId="57AE93BE" w14:textId="77777777" w:rsidR="0004652A" w:rsidRDefault="00000000">
      <w:pPr>
        <w:pStyle w:val="Heading2"/>
      </w:pPr>
      <w:bookmarkStart w:id="43" w:name="_Toc228131652"/>
      <w:r>
        <w:t>6.4  Grid/Schedule Approach vs SIMM</w:t>
      </w:r>
      <w:bookmarkEnd w:id="43"/>
    </w:p>
    <w:p w14:paraId="5F66C95F" w14:textId="77777777" w:rsidR="0004652A" w:rsidRDefault="00000000">
      <w:pPr>
        <w:spacing w:before="80" w:after="80"/>
        <w:jc w:val="both"/>
      </w:pPr>
      <w:r>
        <w:t>Entities below the SIMM eligibility threshold, or those choosing not to develop SIMM infrastructure, may use the regulatory grid/schedule approach as an alternative:</w:t>
      </w:r>
    </w:p>
    <w:p w14:paraId="05482A31"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400"/>
        <w:gridCol w:w="3480"/>
        <w:gridCol w:w="3480"/>
      </w:tblGrid>
      <w:tr w:rsidR="0004652A" w14:paraId="1BDA6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8743C3" w14:textId="77777777" w:rsidR="0004652A" w:rsidRDefault="00000000">
            <w:pPr>
              <w:jc w:val="center"/>
            </w:pPr>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3F5EE4" w14:textId="77777777" w:rsidR="0004652A" w:rsidRDefault="00000000">
            <w:pPr>
              <w:jc w:val="center"/>
            </w:pPr>
            <w:r>
              <w:rPr>
                <w:b/>
                <w:bCs/>
                <w:color w:val="FFFFFF"/>
                <w:sz w:val="20"/>
                <w:szCs w:val="20"/>
              </w:rPr>
              <w:t>SIMM</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6281C82" w14:textId="77777777" w:rsidR="0004652A" w:rsidRDefault="00000000">
            <w:pPr>
              <w:jc w:val="center"/>
            </w:pPr>
            <w:r>
              <w:rPr>
                <w:b/>
                <w:bCs/>
                <w:color w:val="FFFFFF"/>
                <w:sz w:val="20"/>
                <w:szCs w:val="20"/>
              </w:rPr>
              <w:t>Grid / Schedule</w:t>
            </w:r>
          </w:p>
        </w:tc>
      </w:tr>
      <w:tr w:rsidR="0004652A" w14:paraId="579BA3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5771ECD" w14:textId="77777777" w:rsidR="0004652A" w:rsidRDefault="00000000">
            <w:r>
              <w:rPr>
                <w:b/>
                <w:bCs/>
                <w:sz w:val="20"/>
                <w:szCs w:val="20"/>
              </w:rPr>
              <w:t>Calculation basis</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5E5729D" w14:textId="77777777" w:rsidR="0004652A" w:rsidRDefault="00000000">
            <w:r>
              <w:rPr>
                <w:sz w:val="20"/>
                <w:szCs w:val="20"/>
              </w:rPr>
              <w:t>Sensitivity-based (</w:t>
            </w:r>
            <w:proofErr w:type="spellStart"/>
            <w:r>
              <w:rPr>
                <w:sz w:val="20"/>
                <w:szCs w:val="20"/>
              </w:rPr>
              <w:t>greeks</w:t>
            </w:r>
            <w:proofErr w:type="spellEnd"/>
            <w:r>
              <w:rPr>
                <w:sz w:val="20"/>
                <w:szCs w:val="20"/>
              </w:rPr>
              <w:t>) — granular, portfolio-aware</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E6AF091" w14:textId="77777777" w:rsidR="0004652A" w:rsidRDefault="00000000">
            <w:r>
              <w:rPr>
                <w:sz w:val="20"/>
                <w:szCs w:val="20"/>
              </w:rPr>
              <w:t>Notional-based percentage by asset class and maturity bucket</w:t>
            </w:r>
          </w:p>
        </w:tc>
      </w:tr>
      <w:tr w:rsidR="0004652A" w14:paraId="4863BC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8EF45C2" w14:textId="77777777" w:rsidR="0004652A" w:rsidRDefault="00000000">
            <w:r>
              <w:rPr>
                <w:b/>
                <w:bCs/>
                <w:sz w:val="20"/>
                <w:szCs w:val="20"/>
              </w:rPr>
              <w:t>Conservatism</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E53C7F7" w14:textId="77777777" w:rsidR="0004652A" w:rsidRDefault="00000000">
            <w:r>
              <w:rPr>
                <w:sz w:val="20"/>
                <w:szCs w:val="20"/>
              </w:rPr>
              <w:t>Lower IM for diversified portfolios (correlation benefit)</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F2B3A2D" w14:textId="77777777" w:rsidR="0004652A" w:rsidRDefault="00000000">
            <w:r>
              <w:rPr>
                <w:sz w:val="20"/>
                <w:szCs w:val="20"/>
              </w:rPr>
              <w:t>Generally more conservative — no diversification benefit recognised</w:t>
            </w:r>
          </w:p>
        </w:tc>
      </w:tr>
      <w:tr w:rsidR="0004652A" w14:paraId="753727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53C65D0" w14:textId="77777777" w:rsidR="0004652A" w:rsidRDefault="00000000">
            <w:r>
              <w:rPr>
                <w:b/>
                <w:bCs/>
                <w:sz w:val="20"/>
                <w:szCs w:val="20"/>
              </w:rPr>
              <w:t>Infrastructure required</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91AB61A" w14:textId="77777777" w:rsidR="0004652A" w:rsidRDefault="00000000">
            <w:r>
              <w:rPr>
                <w:sz w:val="20"/>
                <w:szCs w:val="20"/>
              </w:rPr>
              <w:t>Significant — requires sensitivity calculation and SIMM model validation</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0C8DF9B" w14:textId="77777777" w:rsidR="0004652A" w:rsidRDefault="00000000">
            <w:r>
              <w:rPr>
                <w:sz w:val="20"/>
                <w:szCs w:val="20"/>
              </w:rPr>
              <w:t>Minimal — notional lookup table. Appropriate for lower-complexity entities.</w:t>
            </w:r>
          </w:p>
        </w:tc>
      </w:tr>
      <w:tr w:rsidR="0004652A" w14:paraId="0ED28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FE702CD" w14:textId="77777777" w:rsidR="0004652A" w:rsidRDefault="00000000">
            <w:r>
              <w:rPr>
                <w:b/>
                <w:bCs/>
                <w:sz w:val="20"/>
                <w:szCs w:val="20"/>
              </w:rPr>
              <w:t>Regulatory acceptance</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634C50" w14:textId="77777777" w:rsidR="0004652A" w:rsidRDefault="00000000">
            <w:r>
              <w:rPr>
                <w:sz w:val="20"/>
                <w:szCs w:val="20"/>
              </w:rPr>
              <w:t>Accepted by all major regulators as the industry standard model</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8736ABC" w14:textId="77777777" w:rsidR="0004652A" w:rsidRDefault="00000000">
            <w:r>
              <w:rPr>
                <w:sz w:val="20"/>
                <w:szCs w:val="20"/>
              </w:rPr>
              <w:t>Accepted as alternative; preferred by regulators for simple portfolios</w:t>
            </w:r>
          </w:p>
        </w:tc>
      </w:tr>
    </w:tbl>
    <w:p w14:paraId="3DAC392A" w14:textId="77777777" w:rsidR="0004652A" w:rsidRDefault="0004652A">
      <w:pPr>
        <w:spacing w:before="120"/>
      </w:pPr>
    </w:p>
    <w:p w14:paraId="1319CC03" w14:textId="77777777" w:rsidR="0004652A" w:rsidRDefault="00000000">
      <w:pPr>
        <w:pStyle w:val="Heading2"/>
      </w:pPr>
      <w:bookmarkStart w:id="44" w:name="_Toc228131653"/>
      <w:r>
        <w:t>6.5  Segregation and Rehypothecation of IM</w:t>
      </w:r>
      <w:bookmarkEnd w:id="44"/>
    </w:p>
    <w:p w14:paraId="5FB45B11" w14:textId="77777777" w:rsidR="0004652A" w:rsidRDefault="00000000">
      <w:pPr>
        <w:spacing w:before="80" w:after="80"/>
        <w:jc w:val="both"/>
      </w:pPr>
      <w:r>
        <w:t xml:space="preserve">A defining feature of UMR-mandated IM is the segregation requirement. Unlike VM (which can be freely rehypothecated), IM posted under UMR must be held in a segregated account at a third-party custodian. </w:t>
      </w:r>
      <w:r>
        <w:lastRenderedPageBreak/>
        <w:t>The posting party retains beneficial ownership; the receiving party cannot use the collateral for its own funding.</w:t>
      </w:r>
    </w:p>
    <w:p w14:paraId="25167C0F" w14:textId="77777777" w:rsidR="0004652A" w:rsidRDefault="0004652A">
      <w:pPr>
        <w:spacing w:before="80"/>
      </w:pPr>
    </w:p>
    <w:p w14:paraId="6AA21FF7" w14:textId="77777777" w:rsidR="0004652A" w:rsidRDefault="00000000">
      <w:pPr>
        <w:spacing w:before="80" w:after="80"/>
        <w:jc w:val="both"/>
      </w:pPr>
      <w:r>
        <w:t>This requirement has significant operational and funding implications:</w:t>
      </w:r>
    </w:p>
    <w:p w14:paraId="68B142BC" w14:textId="77777777" w:rsidR="0004652A" w:rsidRDefault="0004652A">
      <w:pPr>
        <w:spacing w:before="60"/>
      </w:pPr>
    </w:p>
    <w:p w14:paraId="735A17BC" w14:textId="77777777" w:rsidR="0004652A" w:rsidRDefault="00000000">
      <w:pPr>
        <w:pStyle w:val="ListParagraph"/>
        <w:numPr>
          <w:ilvl w:val="0"/>
          <w:numId w:val="2"/>
        </w:numPr>
        <w:spacing w:before="60" w:after="60"/>
      </w:pPr>
      <w:r>
        <w:t xml:space="preserve">Tri-party custodians (Euroclear, </w:t>
      </w:r>
      <w:proofErr w:type="spellStart"/>
      <w:r>
        <w:t>Clearstream</w:t>
      </w:r>
      <w:proofErr w:type="spellEnd"/>
      <w:r>
        <w:t>, DTCC) have built dedicated segregated IM custody infrastructure.</w:t>
      </w:r>
    </w:p>
    <w:p w14:paraId="624D87A6" w14:textId="77777777" w:rsidR="0004652A" w:rsidRDefault="00000000">
      <w:pPr>
        <w:pStyle w:val="ListParagraph"/>
        <w:numPr>
          <w:ilvl w:val="0"/>
          <w:numId w:val="2"/>
        </w:numPr>
        <w:spacing w:before="60" w:after="60"/>
      </w:pPr>
      <w:r>
        <w:t>The prohibition on rehypothecation means IM collateral is locked — it cannot be used to fund the bank's balance sheet, increasing the effective funding cost. This is the source of MVA (see Module 4).</w:t>
      </w:r>
    </w:p>
    <w:p w14:paraId="5359CAFD" w14:textId="77777777" w:rsidR="0004652A" w:rsidRDefault="00000000">
      <w:pPr>
        <w:pStyle w:val="ListParagraph"/>
        <w:numPr>
          <w:ilvl w:val="0"/>
          <w:numId w:val="2"/>
        </w:numPr>
        <w:spacing w:before="60" w:after="60"/>
      </w:pPr>
      <w:r>
        <w:t>Choice of eligible collateral for IM is typically narrower than for VM — most custodial arrangements accept cash and high-quality government bonds only.</w:t>
      </w:r>
    </w:p>
    <w:p w14:paraId="36CD2407" w14:textId="77777777" w:rsidR="0004652A" w:rsidRDefault="0004652A">
      <w:pPr>
        <w:spacing w:before="120"/>
      </w:pPr>
    </w:p>
    <w:p w14:paraId="76EBEB65" w14:textId="77777777" w:rsidR="0004652A" w:rsidRDefault="00000000">
      <w:pPr>
        <w:pStyle w:val="Heading2"/>
      </w:pPr>
      <w:bookmarkStart w:id="45" w:name="_Toc228131654"/>
      <w:r>
        <w:t>6.6  Margin Period of Risk</w:t>
      </w:r>
      <w:bookmarkEnd w:id="45"/>
    </w:p>
    <w:p w14:paraId="53B26D23" w14:textId="77777777" w:rsidR="0004652A" w:rsidRDefault="00000000">
      <w:pPr>
        <w:spacing w:before="80" w:after="80"/>
        <w:jc w:val="both"/>
      </w:pPr>
      <w:r>
        <w:t>The Margin Period of Risk (</w:t>
      </w:r>
      <w:proofErr w:type="spellStart"/>
      <w:r>
        <w:t>MPoR</w:t>
      </w:r>
      <w:proofErr w:type="spellEnd"/>
      <w:r>
        <w:t>) is the time horizon used to size IM. It represents the period from the last VM exchange to the point at which the surviving party has fully replaced all terminated positions. Regulatory floors:</w:t>
      </w:r>
    </w:p>
    <w:p w14:paraId="7F11C3D5"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3120"/>
        <w:gridCol w:w="2040"/>
        <w:gridCol w:w="4200"/>
      </w:tblGrid>
      <w:tr w:rsidR="0004652A" w14:paraId="72D07F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92C6B3" w14:textId="77777777" w:rsidR="0004652A" w:rsidRDefault="00000000">
            <w:pPr>
              <w:jc w:val="center"/>
            </w:pPr>
            <w:r>
              <w:rPr>
                <w:b/>
                <w:bCs/>
                <w:color w:val="FFFFFF"/>
                <w:sz w:val="20"/>
                <w:szCs w:val="20"/>
              </w:rPr>
              <w:t>Context</w:t>
            </w:r>
          </w:p>
        </w:tc>
        <w:tc>
          <w:tcPr>
            <w:tcW w:w="20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DDB8D7" w14:textId="77777777" w:rsidR="0004652A" w:rsidRDefault="00000000">
            <w:pPr>
              <w:jc w:val="center"/>
            </w:pPr>
            <w:proofErr w:type="spellStart"/>
            <w:r>
              <w:rPr>
                <w:b/>
                <w:bCs/>
                <w:color w:val="FFFFFF"/>
                <w:sz w:val="20"/>
                <w:szCs w:val="20"/>
              </w:rPr>
              <w:t>MPoR</w:t>
            </w:r>
            <w:proofErr w:type="spellEnd"/>
            <w:r>
              <w:rPr>
                <w:b/>
                <w:bCs/>
                <w:color w:val="FFFFFF"/>
                <w:sz w:val="20"/>
                <w:szCs w:val="20"/>
              </w:rPr>
              <w:t xml:space="preserve"> Floor</w:t>
            </w:r>
          </w:p>
        </w:tc>
        <w:tc>
          <w:tcPr>
            <w:tcW w:w="4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08D497" w14:textId="77777777" w:rsidR="0004652A" w:rsidRDefault="00000000">
            <w:pPr>
              <w:jc w:val="center"/>
            </w:pPr>
            <w:r>
              <w:rPr>
                <w:b/>
                <w:bCs/>
                <w:color w:val="FFFFFF"/>
                <w:sz w:val="20"/>
                <w:szCs w:val="20"/>
              </w:rPr>
              <w:t>Rationale</w:t>
            </w:r>
          </w:p>
        </w:tc>
      </w:tr>
      <w:tr w:rsidR="0004652A" w14:paraId="610DC5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3B6030B" w14:textId="77777777" w:rsidR="0004652A" w:rsidRDefault="00000000">
            <w:r>
              <w:rPr>
                <w:sz w:val="20"/>
                <w:szCs w:val="20"/>
              </w:rPr>
              <w:t>Bilateral (non-cleared) — daily margining</w:t>
            </w:r>
          </w:p>
        </w:tc>
        <w:tc>
          <w:tcPr>
            <w:tcW w:w="204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89F938A" w14:textId="77777777" w:rsidR="0004652A" w:rsidRDefault="00000000">
            <w:pPr>
              <w:jc w:val="center"/>
            </w:pPr>
            <w:r>
              <w:rPr>
                <w:sz w:val="20"/>
                <w:szCs w:val="20"/>
              </w:rPr>
              <w:t>10 business days</w:t>
            </w:r>
          </w:p>
        </w:tc>
        <w:tc>
          <w:tcPr>
            <w:tcW w:w="4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CEBE71A" w14:textId="77777777" w:rsidR="0004652A" w:rsidRDefault="00000000">
            <w:r>
              <w:rPr>
                <w:sz w:val="20"/>
                <w:szCs w:val="20"/>
              </w:rPr>
              <w:t xml:space="preserve">Time to: detect default, notify counterparty, obtain </w:t>
            </w:r>
            <w:proofErr w:type="spellStart"/>
            <w:r>
              <w:rPr>
                <w:sz w:val="20"/>
                <w:szCs w:val="20"/>
              </w:rPr>
              <w:t>regulatorypermissions</w:t>
            </w:r>
            <w:proofErr w:type="spellEnd"/>
            <w:r>
              <w:rPr>
                <w:sz w:val="20"/>
                <w:szCs w:val="20"/>
              </w:rPr>
              <w:t>, execute close-out transactions, replace positions in market.</w:t>
            </w:r>
          </w:p>
        </w:tc>
      </w:tr>
      <w:tr w:rsidR="0004652A" w14:paraId="1B939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86694DB" w14:textId="77777777" w:rsidR="0004652A" w:rsidRDefault="00000000">
            <w:r>
              <w:rPr>
                <w:sz w:val="20"/>
                <w:szCs w:val="20"/>
              </w:rPr>
              <w:t>Centrally cleared — daily margining</w:t>
            </w:r>
          </w:p>
        </w:tc>
        <w:tc>
          <w:tcPr>
            <w:tcW w:w="20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269892C" w14:textId="77777777" w:rsidR="0004652A" w:rsidRDefault="00000000">
            <w:pPr>
              <w:jc w:val="center"/>
            </w:pPr>
            <w:r>
              <w:rPr>
                <w:sz w:val="20"/>
                <w:szCs w:val="20"/>
              </w:rPr>
              <w:t>5 business days</w:t>
            </w:r>
          </w:p>
        </w:tc>
        <w:tc>
          <w:tcPr>
            <w:tcW w:w="4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5C0413D" w14:textId="77777777" w:rsidR="0004652A" w:rsidRDefault="00000000">
            <w:r>
              <w:rPr>
                <w:sz w:val="20"/>
                <w:szCs w:val="20"/>
              </w:rPr>
              <w:t>CCP's standardised close-out procedures are faster than bilateral; CCP can port positions to another clearing member.</w:t>
            </w:r>
          </w:p>
        </w:tc>
      </w:tr>
      <w:tr w:rsidR="0004652A" w14:paraId="5E81FE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8E1DE59" w14:textId="77777777" w:rsidR="0004652A" w:rsidRDefault="00000000">
            <w:r>
              <w:rPr>
                <w:sz w:val="20"/>
                <w:szCs w:val="20"/>
              </w:rPr>
              <w:t>Bilateral — less frequent margining</w:t>
            </w:r>
          </w:p>
        </w:tc>
        <w:tc>
          <w:tcPr>
            <w:tcW w:w="204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C1BB1E8" w14:textId="77777777" w:rsidR="0004652A" w:rsidRDefault="00000000">
            <w:pPr>
              <w:jc w:val="center"/>
            </w:pPr>
            <w:r>
              <w:rPr>
                <w:sz w:val="20"/>
                <w:szCs w:val="20"/>
              </w:rPr>
              <w:t>10 days + margining gap</w:t>
            </w:r>
          </w:p>
        </w:tc>
        <w:tc>
          <w:tcPr>
            <w:tcW w:w="4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D84E640" w14:textId="77777777" w:rsidR="0004652A" w:rsidRDefault="00000000">
            <w:proofErr w:type="spellStart"/>
            <w:r>
              <w:rPr>
                <w:sz w:val="20"/>
                <w:szCs w:val="20"/>
              </w:rPr>
              <w:t>MPoR</w:t>
            </w:r>
            <w:proofErr w:type="spellEnd"/>
            <w:r>
              <w:rPr>
                <w:sz w:val="20"/>
                <w:szCs w:val="20"/>
              </w:rPr>
              <w:t xml:space="preserve"> extends by the number of days between margin calls if less frequent than daily.</w:t>
            </w:r>
          </w:p>
        </w:tc>
      </w:tr>
      <w:tr w:rsidR="0004652A" w14:paraId="6A2F67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C072852" w14:textId="77777777" w:rsidR="0004652A" w:rsidRDefault="00000000">
            <w:r>
              <w:rPr>
                <w:sz w:val="20"/>
                <w:szCs w:val="20"/>
              </w:rPr>
              <w:t>Stress scenario assumption</w:t>
            </w:r>
          </w:p>
        </w:tc>
        <w:tc>
          <w:tcPr>
            <w:tcW w:w="204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9A2AE06" w14:textId="77777777" w:rsidR="0004652A" w:rsidRDefault="00000000">
            <w:pPr>
              <w:jc w:val="center"/>
            </w:pPr>
            <w:r>
              <w:rPr>
                <w:sz w:val="20"/>
                <w:szCs w:val="20"/>
              </w:rPr>
              <w:t>20–30 business days</w:t>
            </w:r>
          </w:p>
        </w:tc>
        <w:tc>
          <w:tcPr>
            <w:tcW w:w="4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0FB0D05" w14:textId="77777777" w:rsidR="0004652A" w:rsidRDefault="00000000">
            <w:r>
              <w:rPr>
                <w:sz w:val="20"/>
                <w:szCs w:val="20"/>
              </w:rPr>
              <w:t xml:space="preserve">For stress-testing purposes, regulators and risk managers assume extended </w:t>
            </w:r>
            <w:proofErr w:type="spellStart"/>
            <w:r>
              <w:rPr>
                <w:sz w:val="20"/>
                <w:szCs w:val="20"/>
              </w:rPr>
              <w:t>MPoR</w:t>
            </w:r>
            <w:proofErr w:type="spellEnd"/>
            <w:r>
              <w:rPr>
                <w:sz w:val="20"/>
                <w:szCs w:val="20"/>
              </w:rPr>
              <w:t xml:space="preserve"> in a systemic crisis — reflecting Lehman-style close-out delays.</w:t>
            </w:r>
          </w:p>
        </w:tc>
      </w:tr>
    </w:tbl>
    <w:p w14:paraId="37B3240D" w14:textId="77777777" w:rsidR="0004652A" w:rsidRDefault="0004652A">
      <w:pPr>
        <w:spacing w:before="160"/>
      </w:pPr>
    </w:p>
    <w:p w14:paraId="6E7AD399" w14:textId="77777777" w:rsidR="0004652A" w:rsidRDefault="00000000">
      <w:r>
        <w:br w:type="page"/>
      </w:r>
    </w:p>
    <w:p w14:paraId="79147C5B" w14:textId="77777777" w:rsidR="0004652A" w:rsidRDefault="00000000">
      <w:pPr>
        <w:pStyle w:val="Heading1"/>
      </w:pPr>
      <w:bookmarkStart w:id="46" w:name="_Toc228131655"/>
      <w:r>
        <w:lastRenderedPageBreak/>
        <w:t>Section 7 — Rehypothecation</w:t>
      </w:r>
      <w:bookmarkEnd w:id="46"/>
    </w:p>
    <w:p w14:paraId="21F39EEE" w14:textId="77777777" w:rsidR="0004652A" w:rsidRDefault="0004652A">
      <w:pPr>
        <w:pBdr>
          <w:bottom w:val="single" w:sz="6" w:space="1" w:color="028090"/>
        </w:pBdr>
        <w:spacing w:before="120" w:after="120"/>
      </w:pPr>
    </w:p>
    <w:p w14:paraId="1A24CB48" w14:textId="77777777" w:rsidR="0004652A" w:rsidRDefault="0004652A">
      <w:pPr>
        <w:spacing w:before="80"/>
      </w:pPr>
    </w:p>
    <w:p w14:paraId="10975330" w14:textId="77777777" w:rsidR="0004652A" w:rsidRDefault="00000000">
      <w:pPr>
        <w:pStyle w:val="Heading2"/>
      </w:pPr>
      <w:bookmarkStart w:id="47" w:name="_Toc228131656"/>
      <w:r>
        <w:t>7.1  Definition and Mechanics</w:t>
      </w:r>
      <w:bookmarkEnd w:id="47"/>
    </w:p>
    <w:p w14:paraId="185F1D99" w14:textId="77777777" w:rsidR="0004652A" w:rsidRDefault="00000000">
      <w:pPr>
        <w:spacing w:before="80" w:after="80"/>
        <w:jc w:val="both"/>
      </w:pPr>
      <w:r>
        <w:t>Rehypothecation is the practice of reusing collateral received from one counterparty to meet collateral obligations to another counterparty. When Bank A posts government bonds as VM to Dealer B, and Dealer B uses those same bonds to post VM to Dealer C, Dealer B has rehypothecated Bank A's collateral.</w:t>
      </w:r>
    </w:p>
    <w:p w14:paraId="13FF4329" w14:textId="77777777" w:rsidR="0004652A" w:rsidRDefault="0004652A">
      <w:pPr>
        <w:spacing w:before="80"/>
      </w:pPr>
    </w:p>
    <w:p w14:paraId="42C047CC" w14:textId="77777777" w:rsidR="0004652A" w:rsidRDefault="00000000">
      <w:pPr>
        <w:spacing w:before="80" w:after="80"/>
        <w:jc w:val="both"/>
      </w:pPr>
      <w:r>
        <w:t>Rehypothecation is legally a transfer of title — the receiving party takes full legal ownership of the collateral and has the right to use it freely. The posting party retains a contractual right to the return of equivalent collateral (not necessarily the same securities), subject to the receiving party's creditworthiness.</w:t>
      </w:r>
    </w:p>
    <w:p w14:paraId="658F3705" w14:textId="77777777" w:rsidR="0004652A" w:rsidRDefault="0004652A">
      <w:pPr>
        <w:spacing w:before="120"/>
      </w:pPr>
    </w:p>
    <w:p w14:paraId="423EB9D2" w14:textId="77777777" w:rsidR="0004652A" w:rsidRDefault="00000000">
      <w:pPr>
        <w:pStyle w:val="Heading2"/>
      </w:pPr>
      <w:bookmarkStart w:id="48" w:name="_Toc228131657"/>
      <w:r>
        <w:t>7.2  Economic Benefit</w:t>
      </w:r>
      <w:bookmarkEnd w:id="48"/>
    </w:p>
    <w:p w14:paraId="7B6B828E" w14:textId="77777777" w:rsidR="0004652A" w:rsidRDefault="00000000">
      <w:pPr>
        <w:spacing w:before="80" w:after="80"/>
        <w:jc w:val="both"/>
      </w:pPr>
      <w:r>
        <w:t>For the receiving party, rehypothecation is a funding tool. By reusing received collateral rather than sourcing securities from the market, a dealer can:</w:t>
      </w:r>
    </w:p>
    <w:p w14:paraId="667C768C" w14:textId="77777777" w:rsidR="0004652A" w:rsidRDefault="0004652A">
      <w:pPr>
        <w:spacing w:before="60"/>
      </w:pPr>
    </w:p>
    <w:p w14:paraId="4FDCC787" w14:textId="77777777" w:rsidR="0004652A" w:rsidRDefault="00000000">
      <w:pPr>
        <w:pStyle w:val="ListParagraph"/>
        <w:numPr>
          <w:ilvl w:val="0"/>
          <w:numId w:val="2"/>
        </w:numPr>
        <w:spacing w:before="60" w:after="60"/>
      </w:pPr>
      <w:r>
        <w:t>Reduce its own funding needs — it does not need to finance the delivery of securities it has already received</w:t>
      </w:r>
    </w:p>
    <w:p w14:paraId="63DF6ABF" w14:textId="77777777" w:rsidR="0004652A" w:rsidRDefault="00000000">
      <w:pPr>
        <w:pStyle w:val="ListParagraph"/>
        <w:numPr>
          <w:ilvl w:val="0"/>
          <w:numId w:val="2"/>
        </w:numPr>
        <w:spacing w:before="60" w:after="60"/>
      </w:pPr>
      <w:r>
        <w:t>Earn a spread between the rate at which it received the collateral and the rate at which it deployed it</w:t>
      </w:r>
    </w:p>
    <w:p w14:paraId="0D0F0006" w14:textId="77777777" w:rsidR="0004652A" w:rsidRDefault="00000000">
      <w:pPr>
        <w:pStyle w:val="ListParagraph"/>
        <w:numPr>
          <w:ilvl w:val="0"/>
          <w:numId w:val="2"/>
        </w:numPr>
        <w:spacing w:before="60" w:after="60"/>
      </w:pPr>
      <w:r>
        <w:t>Improve balance sheet efficiency by reducing the gross assets that need to be funded</w:t>
      </w:r>
    </w:p>
    <w:p w14:paraId="1380A978" w14:textId="77777777" w:rsidR="0004652A" w:rsidRDefault="0004652A">
      <w:pPr>
        <w:spacing w:before="120"/>
      </w:pPr>
    </w:p>
    <w:p w14:paraId="49F2186A" w14:textId="77777777" w:rsidR="0004652A" w:rsidRDefault="00000000">
      <w:pPr>
        <w:pStyle w:val="Heading2"/>
      </w:pPr>
      <w:bookmarkStart w:id="49" w:name="_Toc228131658"/>
      <w:r>
        <w:t>7.3  Risk — The Collateral Reuse Chain</w:t>
      </w:r>
      <w:bookmarkEnd w:id="49"/>
    </w:p>
    <w:p w14:paraId="679F80B5" w14:textId="77777777" w:rsidR="0004652A" w:rsidRDefault="00000000">
      <w:pPr>
        <w:spacing w:before="80" w:after="80"/>
        <w:jc w:val="both"/>
      </w:pPr>
      <w:r>
        <w:t>Rehypothecation creates a chain of collateral dependencies. If any link in the chain fails — a counterparty defaults and cannot return equivalent collateral — the entire chain is affected. During the 2008 crisis, the unwinding of rehypothecation chains was a significant source of systemic stress, as institutions simultaneously demanded return of their collateral whilst being unable to return the collateral they had themselves reused.</w:t>
      </w:r>
    </w:p>
    <w:p w14:paraId="6D1996AA"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36A2A9F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09B5DBB7" w14:textId="77777777" w:rsidR="0004652A" w:rsidRDefault="00000000">
            <w:pPr>
              <w:jc w:val="center"/>
            </w:pPr>
            <w:r>
              <w:rPr>
                <w:b/>
                <w:bCs/>
                <w:color w:val="C8953A"/>
                <w:sz w:val="20"/>
                <w:szCs w:val="20"/>
              </w:rPr>
              <w:t>SYSTEMIC RISK</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20BABAF2" w14:textId="77777777" w:rsidR="0004652A" w:rsidRDefault="00000000">
            <w:pPr>
              <w:jc w:val="both"/>
            </w:pPr>
            <w:r>
              <w:rPr>
                <w:i/>
                <w:iCs/>
                <w:sz w:val="20"/>
                <w:szCs w:val="20"/>
              </w:rPr>
              <w:t>The FSB estimated that securities financing transactions (repo, securities lending, rehypothecation) created interconnections between financial institutions that amplified the 2008 crisis. Post-crisis reforms — including UMR segregation requirements and SFTR reporting — were designed to make these chains visible and constrained.</w:t>
            </w:r>
          </w:p>
        </w:tc>
      </w:tr>
    </w:tbl>
    <w:p w14:paraId="195FFABF" w14:textId="77777777" w:rsidR="0004652A" w:rsidRDefault="0004652A">
      <w:pPr>
        <w:spacing w:before="120"/>
      </w:pPr>
    </w:p>
    <w:p w14:paraId="12232ED5" w14:textId="77777777" w:rsidR="0004652A" w:rsidRDefault="00000000">
      <w:pPr>
        <w:pStyle w:val="Heading2"/>
      </w:pPr>
      <w:bookmarkStart w:id="50" w:name="_Toc228131659"/>
      <w:r>
        <w:t>7.4  UMR Prohibition on IM Rehypothecation</w:t>
      </w:r>
      <w:bookmarkEnd w:id="50"/>
    </w:p>
    <w:p w14:paraId="6AC852C1" w14:textId="77777777" w:rsidR="0004652A" w:rsidRDefault="00000000">
      <w:pPr>
        <w:spacing w:before="80" w:after="80"/>
        <w:jc w:val="both"/>
      </w:pPr>
      <w:r>
        <w:lastRenderedPageBreak/>
        <w:t>The Uncleared Margin Rules explicitly prohibit the rehypothecation of segregated IM. IM posted under UMR must be held in a third-party segregated account; the receiving party has no right to reuse it. This is a fundamental difference from VM:</w:t>
      </w:r>
    </w:p>
    <w:p w14:paraId="221BAADB"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400"/>
        <w:gridCol w:w="3480"/>
        <w:gridCol w:w="3480"/>
      </w:tblGrid>
      <w:tr w:rsidR="0004652A" w14:paraId="3A66A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764709" w14:textId="77777777" w:rsidR="0004652A" w:rsidRDefault="00000000">
            <w:pPr>
              <w:jc w:val="center"/>
            </w:pPr>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68FF5F1" w14:textId="77777777" w:rsidR="0004652A" w:rsidRDefault="00000000">
            <w:pPr>
              <w:jc w:val="center"/>
            </w:pPr>
            <w:r>
              <w:rPr>
                <w:b/>
                <w:bCs/>
                <w:color w:val="FFFFFF"/>
                <w:sz w:val="20"/>
                <w:szCs w:val="20"/>
              </w:rPr>
              <w:t>Variation Margin</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BDAF7F1" w14:textId="77777777" w:rsidR="0004652A" w:rsidRDefault="00000000">
            <w:pPr>
              <w:jc w:val="center"/>
            </w:pPr>
            <w:r>
              <w:rPr>
                <w:b/>
                <w:bCs/>
                <w:color w:val="FFFFFF"/>
                <w:sz w:val="20"/>
                <w:szCs w:val="20"/>
              </w:rPr>
              <w:t>Initial Margin (UMR)</w:t>
            </w:r>
          </w:p>
        </w:tc>
      </w:tr>
      <w:tr w:rsidR="0004652A" w14:paraId="7B0FC8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F18EC0C" w14:textId="77777777" w:rsidR="0004652A" w:rsidRDefault="00000000">
            <w:r>
              <w:rPr>
                <w:b/>
                <w:bCs/>
                <w:sz w:val="20"/>
                <w:szCs w:val="20"/>
              </w:rPr>
              <w:t>Title transfer</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245456" w14:textId="77777777" w:rsidR="0004652A" w:rsidRDefault="00000000">
            <w:r>
              <w:rPr>
                <w:sz w:val="20"/>
                <w:szCs w:val="20"/>
              </w:rPr>
              <w:t>Full title transfer to receiving party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EC4481F" w14:textId="77777777" w:rsidR="0004652A" w:rsidRDefault="00000000">
            <w:r>
              <w:rPr>
                <w:sz w:val="20"/>
                <w:szCs w:val="20"/>
              </w:rPr>
              <w:t>Beneficial ownership remains with posting party</w:t>
            </w:r>
          </w:p>
        </w:tc>
      </w:tr>
      <w:tr w:rsidR="0004652A" w14:paraId="1DF09C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77E0916" w14:textId="77777777" w:rsidR="0004652A" w:rsidRDefault="00000000">
            <w:r>
              <w:rPr>
                <w:b/>
                <w:bCs/>
                <w:sz w:val="20"/>
                <w:szCs w:val="20"/>
              </w:rPr>
              <w:t>Rehypothecation</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92F5C26" w14:textId="77777777" w:rsidR="0004652A" w:rsidRDefault="00000000">
            <w:r>
              <w:rPr>
                <w:sz w:val="20"/>
                <w:szCs w:val="20"/>
              </w:rPr>
              <w:t>Permitted — receiving party may reuse</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8EED867" w14:textId="77777777" w:rsidR="0004652A" w:rsidRDefault="00000000">
            <w:r>
              <w:rPr>
                <w:sz w:val="20"/>
                <w:szCs w:val="20"/>
              </w:rPr>
              <w:t>Prohibited under UMR — must be segregated at third-party custodian</w:t>
            </w:r>
          </w:p>
        </w:tc>
      </w:tr>
      <w:tr w:rsidR="0004652A" w14:paraId="390768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2B25205" w14:textId="77777777" w:rsidR="0004652A" w:rsidRDefault="00000000">
            <w:r>
              <w:rPr>
                <w:b/>
                <w:bCs/>
                <w:sz w:val="20"/>
                <w:szCs w:val="20"/>
              </w:rPr>
              <w:t>Funding impact</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E015544" w14:textId="77777777" w:rsidR="0004652A" w:rsidRDefault="00000000">
            <w:r>
              <w:rPr>
                <w:sz w:val="20"/>
                <w:szCs w:val="20"/>
              </w:rPr>
              <w:t>VM received can fund balance sheet — reduces funding cost</w:t>
            </w:r>
          </w:p>
        </w:tc>
        <w:tc>
          <w:tcPr>
            <w:tcW w:w="34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4310E89" w14:textId="77777777" w:rsidR="0004652A" w:rsidRDefault="00000000">
            <w:r>
              <w:rPr>
                <w:sz w:val="20"/>
                <w:szCs w:val="20"/>
              </w:rPr>
              <w:t>Locked in custody — cannot fund balance sheet. Source of MVA.</w:t>
            </w:r>
          </w:p>
        </w:tc>
      </w:tr>
      <w:tr w:rsidR="0004652A" w14:paraId="7EEAB4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C5106B0" w14:textId="77777777" w:rsidR="0004652A" w:rsidRDefault="00000000">
            <w:r>
              <w:rPr>
                <w:b/>
                <w:bCs/>
                <w:sz w:val="20"/>
                <w:szCs w:val="20"/>
              </w:rPr>
              <w:t>Posting party risk</w:t>
            </w:r>
          </w:p>
        </w:tc>
        <w:tc>
          <w:tcPr>
            <w:tcW w:w="34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B7A8FC9" w14:textId="77777777" w:rsidR="0004652A" w:rsidRDefault="00000000">
            <w:r>
              <w:rPr>
                <w:sz w:val="20"/>
                <w:szCs w:val="20"/>
              </w:rPr>
              <w:t>Unsecured creditor of receiving party if not returned</w:t>
            </w:r>
          </w:p>
        </w:tc>
        <w:tc>
          <w:tcPr>
            <w:tcW w:w="3480" w:type="dxa"/>
            <w:tcBorders>
              <w:top w:val="single" w:sz="1" w:space="0" w:color="CCCCCC"/>
              <w:left w:val="single" w:sz="1" w:space="0" w:color="CCCCCC"/>
              <w:bottom w:val="single" w:sz="1" w:space="0" w:color="CCCCCC"/>
              <w:right w:val="single" w:sz="1" w:space="0" w:color="CCCCCC"/>
            </w:tcBorders>
            <w:shd w:val="clear" w:color="auto" w:fill="00A896"/>
            <w:tcMar>
              <w:top w:w="80" w:type="dxa"/>
              <w:left w:w="120" w:type="dxa"/>
              <w:bottom w:w="80" w:type="dxa"/>
              <w:right w:w="120" w:type="dxa"/>
            </w:tcMar>
            <w:vAlign w:val="center"/>
          </w:tcPr>
          <w:p w14:paraId="27EB09FB" w14:textId="77777777" w:rsidR="0004652A" w:rsidRDefault="00000000">
            <w:r>
              <w:rPr>
                <w:sz w:val="20"/>
                <w:szCs w:val="20"/>
              </w:rPr>
              <w:t>Protected by segregation — IM returns even if receiver defaults</w:t>
            </w:r>
          </w:p>
        </w:tc>
      </w:tr>
    </w:tbl>
    <w:p w14:paraId="0D225087" w14:textId="77777777" w:rsidR="0004652A" w:rsidRDefault="0004652A">
      <w:pPr>
        <w:spacing w:before="160"/>
      </w:pPr>
    </w:p>
    <w:p w14:paraId="7878124C" w14:textId="77777777" w:rsidR="0004652A" w:rsidRDefault="00000000">
      <w:r>
        <w:br w:type="page"/>
      </w:r>
    </w:p>
    <w:p w14:paraId="3162E3D9" w14:textId="77777777" w:rsidR="0004652A" w:rsidRDefault="00000000">
      <w:pPr>
        <w:pStyle w:val="Heading1"/>
      </w:pPr>
      <w:bookmarkStart w:id="51" w:name="_Toc228131660"/>
      <w:r>
        <w:lastRenderedPageBreak/>
        <w:t>Section 8 — Repo &amp; Securities Lending</w:t>
      </w:r>
      <w:bookmarkEnd w:id="51"/>
    </w:p>
    <w:p w14:paraId="39CBC796" w14:textId="77777777" w:rsidR="0004652A" w:rsidRDefault="0004652A">
      <w:pPr>
        <w:pBdr>
          <w:bottom w:val="single" w:sz="6" w:space="1" w:color="028090"/>
        </w:pBdr>
        <w:spacing w:before="120" w:after="120"/>
      </w:pPr>
    </w:p>
    <w:p w14:paraId="59B49178" w14:textId="77777777" w:rsidR="0004652A" w:rsidRDefault="0004652A">
      <w:pPr>
        <w:spacing w:before="80"/>
      </w:pPr>
    </w:p>
    <w:p w14:paraId="7F3D8979" w14:textId="77777777" w:rsidR="0004652A" w:rsidRDefault="00000000">
      <w:pPr>
        <w:spacing w:before="80" w:after="80"/>
        <w:jc w:val="both"/>
      </w:pPr>
      <w:r>
        <w:t xml:space="preserve">Repurchase agreements (repo) and securities lending are the primary mechanisms by which financial institutions finance securities holdings, source specific securities, and transform collateral. Both markets are deeply interconnected with the XVA framework — they determine the dealer's funding curve (central to FVA), the cost of sourcing IM collateral (central to MVA), and the economics of collateral transformation (central to </w:t>
      </w:r>
      <w:proofErr w:type="spellStart"/>
      <w:r>
        <w:t>ColVA</w:t>
      </w:r>
      <w:proofErr w:type="spellEnd"/>
      <w:r>
        <w:t>, covered in Module 6).</w:t>
      </w:r>
    </w:p>
    <w:p w14:paraId="76CFE1D6" w14:textId="77777777" w:rsidR="0004652A" w:rsidRDefault="0004652A">
      <w:pPr>
        <w:spacing w:before="120"/>
      </w:pPr>
    </w:p>
    <w:p w14:paraId="2017CAC0" w14:textId="77777777" w:rsidR="0004652A" w:rsidRDefault="00000000">
      <w:pPr>
        <w:pStyle w:val="Heading2"/>
      </w:pPr>
      <w:bookmarkStart w:id="52" w:name="_Toc228131661"/>
      <w:r>
        <w:t>8.1  Classic Repo — Structure and Mechanics</w:t>
      </w:r>
      <w:bookmarkEnd w:id="52"/>
    </w:p>
    <w:p w14:paraId="4BC9F2E7" w14:textId="77777777" w:rsidR="0004652A" w:rsidRDefault="00000000">
      <w:pPr>
        <w:spacing w:before="80" w:after="80"/>
        <w:jc w:val="both"/>
      </w:pPr>
      <w:r>
        <w:t>A repurchase agreement (repo) is economically a collateralised loan, but legally a sale and repurchase. The cash borrower sells securities to the cash lender at an agreed price and simultaneously agrees to repurchase equivalent securities at a future date at a higher price. The difference between the sale and repurchase price is the repo interest.</w:t>
      </w:r>
    </w:p>
    <w:p w14:paraId="1D7868E1"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9360"/>
      </w:tblGrid>
      <w:tr w:rsidR="0004652A" w14:paraId="78215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0F4F7"/>
            <w:tcMar>
              <w:top w:w="160" w:type="dxa"/>
              <w:left w:w="240" w:type="dxa"/>
              <w:bottom w:w="160" w:type="dxa"/>
              <w:right w:w="240" w:type="dxa"/>
            </w:tcMar>
          </w:tcPr>
          <w:p w14:paraId="2F5C34DD" w14:textId="77777777" w:rsidR="0004652A" w:rsidRDefault="00000000">
            <w:pPr>
              <w:jc w:val="center"/>
            </w:pPr>
            <w:r>
              <w:rPr>
                <w:b/>
                <w:bCs/>
                <w:caps/>
                <w:color w:val="1B2A4A"/>
              </w:rPr>
              <w:t>REPO MECHANICS</w:t>
            </w:r>
          </w:p>
          <w:p w14:paraId="7F64D3CE" w14:textId="77777777" w:rsidR="0004652A" w:rsidRDefault="0004652A">
            <w:pPr>
              <w:spacing w:before="80"/>
            </w:pPr>
          </w:p>
          <w:p w14:paraId="5A1E77A7" w14:textId="77777777" w:rsidR="0004652A" w:rsidRDefault="00000000">
            <w:pPr>
              <w:jc w:val="center"/>
            </w:pPr>
            <w:r>
              <w:rPr>
                <w:sz w:val="20"/>
                <w:szCs w:val="20"/>
              </w:rPr>
              <w:t>Day 0: Securities Seller ⟶ [sells bonds @ P₀] ⟶ Cash Buyer</w:t>
            </w:r>
          </w:p>
          <w:p w14:paraId="5DE11835" w14:textId="77777777" w:rsidR="0004652A" w:rsidRDefault="00000000">
            <w:pPr>
              <w:jc w:val="center"/>
            </w:pPr>
            <w:r>
              <w:rPr>
                <w:sz w:val="20"/>
                <w:szCs w:val="20"/>
              </w:rPr>
              <w:t>Day 0: Securities Seller ⟵ [receives cash = P₀] ⟵ Cash Buyer</w:t>
            </w:r>
          </w:p>
          <w:p w14:paraId="1F6AA197" w14:textId="77777777" w:rsidR="0004652A" w:rsidRDefault="0004652A">
            <w:pPr>
              <w:spacing w:before="40"/>
            </w:pPr>
          </w:p>
          <w:p w14:paraId="58C5ECC1" w14:textId="77777777" w:rsidR="0004652A" w:rsidRDefault="00000000">
            <w:pPr>
              <w:jc w:val="center"/>
            </w:pPr>
            <w:r>
              <w:rPr>
                <w:sz w:val="20"/>
                <w:szCs w:val="20"/>
              </w:rPr>
              <w:t>Maturity: Securities Seller ⟵ [repurchases bonds @ P₁] ⟵ Cash Buyer</w:t>
            </w:r>
          </w:p>
          <w:p w14:paraId="3C188C38" w14:textId="77777777" w:rsidR="0004652A" w:rsidRDefault="00000000">
            <w:pPr>
              <w:jc w:val="center"/>
            </w:pPr>
            <w:r>
              <w:rPr>
                <w:sz w:val="20"/>
                <w:szCs w:val="20"/>
              </w:rPr>
              <w:t>Maturity: Securities Seller ⟶ [returns cash = P₁ = P₀ x (1 + repo rate x t/360)] ⟶ Cash Buyer</w:t>
            </w:r>
          </w:p>
          <w:p w14:paraId="14C80D99" w14:textId="77777777" w:rsidR="0004652A" w:rsidRDefault="0004652A">
            <w:pPr>
              <w:spacing w:before="40"/>
            </w:pPr>
          </w:p>
          <w:p w14:paraId="59BE6479" w14:textId="77777777" w:rsidR="0004652A" w:rsidRDefault="00000000">
            <w:pPr>
              <w:jc w:val="center"/>
            </w:pPr>
            <w:r>
              <w:rPr>
                <w:b/>
                <w:bCs/>
                <w:color w:val="028090"/>
                <w:sz w:val="20"/>
                <w:szCs w:val="20"/>
              </w:rPr>
              <w:t>Net cost to securities seller = repo rate x P₀ x t/360  (the financing cost)</w:t>
            </w:r>
          </w:p>
        </w:tc>
      </w:tr>
    </w:tbl>
    <w:p w14:paraId="3132D474" w14:textId="77777777" w:rsidR="0004652A" w:rsidRDefault="0004652A">
      <w:pPr>
        <w:spacing w:before="120"/>
      </w:pPr>
    </w:p>
    <w:p w14:paraId="060D4215" w14:textId="77777777" w:rsidR="0004652A" w:rsidRDefault="00000000">
      <w:pPr>
        <w:pStyle w:val="Heading3"/>
      </w:pPr>
      <w:bookmarkStart w:id="53" w:name="_Toc228131662"/>
      <w:r>
        <w:t>Open vs Term Repo</w:t>
      </w:r>
      <w:bookmarkEnd w:id="53"/>
    </w:p>
    <w:tbl>
      <w:tblPr>
        <w:tblW w:w="9360" w:type="dxa"/>
        <w:tblCellMar>
          <w:left w:w="10" w:type="dxa"/>
          <w:right w:w="10" w:type="dxa"/>
        </w:tblCellMar>
        <w:tblLook w:val="04A0" w:firstRow="1" w:lastRow="0" w:firstColumn="1" w:lastColumn="0" w:noHBand="0" w:noVBand="1"/>
      </w:tblPr>
      <w:tblGrid>
        <w:gridCol w:w="2000"/>
        <w:gridCol w:w="3680"/>
        <w:gridCol w:w="3680"/>
      </w:tblGrid>
      <w:tr w:rsidR="0004652A" w14:paraId="245B15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ACCE3C" w14:textId="77777777" w:rsidR="0004652A" w:rsidRDefault="00000000">
            <w:pPr>
              <w:jc w:val="center"/>
            </w:pPr>
            <w:r>
              <w:rPr>
                <w:b/>
                <w:bCs/>
                <w:color w:val="FFFFFF"/>
                <w:sz w:val="20"/>
                <w:szCs w:val="20"/>
              </w:rPr>
              <w:t>Type</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70ACE4" w14:textId="77777777" w:rsidR="0004652A" w:rsidRDefault="00000000">
            <w:pPr>
              <w:jc w:val="center"/>
            </w:pPr>
            <w:r>
              <w:rPr>
                <w:b/>
                <w:bCs/>
                <w:color w:val="FFFFFF"/>
                <w:sz w:val="20"/>
                <w:szCs w:val="20"/>
              </w:rPr>
              <w:t>Open Repo</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AA5592E" w14:textId="77777777" w:rsidR="0004652A" w:rsidRDefault="00000000">
            <w:pPr>
              <w:jc w:val="center"/>
            </w:pPr>
            <w:r>
              <w:rPr>
                <w:b/>
                <w:bCs/>
                <w:color w:val="FFFFFF"/>
                <w:sz w:val="20"/>
                <w:szCs w:val="20"/>
              </w:rPr>
              <w:t>Term Repo</w:t>
            </w:r>
          </w:p>
        </w:tc>
      </w:tr>
      <w:tr w:rsidR="0004652A" w14:paraId="37C7EB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565D5C1" w14:textId="77777777" w:rsidR="0004652A" w:rsidRDefault="00000000">
            <w:r>
              <w:rPr>
                <w:b/>
                <w:bCs/>
                <w:sz w:val="20"/>
                <w:szCs w:val="20"/>
              </w:rPr>
              <w:t>Maturity</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EC63C15" w14:textId="77777777" w:rsidR="0004652A" w:rsidRDefault="00000000">
            <w:r>
              <w:rPr>
                <w:sz w:val="20"/>
                <w:szCs w:val="20"/>
              </w:rPr>
              <w:t>No fixed maturity — rolls daily until terminated by either party</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5FBCBD7" w14:textId="77777777" w:rsidR="0004652A" w:rsidRDefault="00000000">
            <w:r>
              <w:rPr>
                <w:sz w:val="20"/>
                <w:szCs w:val="20"/>
              </w:rPr>
              <w:t>Fixed maturity — overnight, one week, one month, or longer</w:t>
            </w:r>
          </w:p>
        </w:tc>
      </w:tr>
      <w:tr w:rsidR="0004652A" w14:paraId="0E72C1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A6F78D" w14:textId="77777777" w:rsidR="0004652A" w:rsidRDefault="00000000">
            <w:r>
              <w:rPr>
                <w:b/>
                <w:bCs/>
                <w:sz w:val="20"/>
                <w:szCs w:val="20"/>
              </w:rPr>
              <w:t>Rate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F7385F6" w14:textId="77777777" w:rsidR="0004652A" w:rsidRDefault="00000000">
            <w:r>
              <w:rPr>
                <w:sz w:val="20"/>
                <w:szCs w:val="20"/>
              </w:rPr>
              <w:t>Floating — resets daily at prevailing repo rate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DE6E883" w14:textId="77777777" w:rsidR="0004652A" w:rsidRDefault="00000000">
            <w:r>
              <w:rPr>
                <w:sz w:val="20"/>
                <w:szCs w:val="20"/>
              </w:rPr>
              <w:t>Fixed at inception for the term</w:t>
            </w:r>
          </w:p>
        </w:tc>
      </w:tr>
      <w:tr w:rsidR="0004652A" w14:paraId="6E52EC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37B27BC" w14:textId="77777777" w:rsidR="0004652A" w:rsidRDefault="00000000">
            <w:r>
              <w:rPr>
                <w:b/>
                <w:bCs/>
                <w:sz w:val="20"/>
                <w:szCs w:val="20"/>
              </w:rPr>
              <w:t>Use case</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6B046DE" w14:textId="77777777" w:rsidR="0004652A" w:rsidRDefault="00000000">
            <w:r>
              <w:rPr>
                <w:sz w:val="20"/>
                <w:szCs w:val="20"/>
              </w:rPr>
              <w:t>Flexible funding; matched book management; intraday collateral needs</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39B77E2" w14:textId="77777777" w:rsidR="0004652A" w:rsidRDefault="00000000">
            <w:r>
              <w:rPr>
                <w:sz w:val="20"/>
                <w:szCs w:val="20"/>
              </w:rPr>
              <w:t>Locked-in funding for a known horizon; collateral for structured trades</w:t>
            </w:r>
          </w:p>
        </w:tc>
      </w:tr>
      <w:tr w:rsidR="0004652A" w14:paraId="3034A5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E4D6415" w14:textId="77777777" w:rsidR="0004652A" w:rsidRDefault="00000000">
            <w:r>
              <w:rPr>
                <w:b/>
                <w:bCs/>
                <w:sz w:val="20"/>
                <w:szCs w:val="20"/>
              </w:rPr>
              <w:t>Termination</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A057A6D" w14:textId="77777777" w:rsidR="0004652A" w:rsidRDefault="00000000">
            <w:r>
              <w:rPr>
                <w:sz w:val="20"/>
                <w:szCs w:val="20"/>
              </w:rPr>
              <w:t>Either party can terminate on any business day with notice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F36B117" w14:textId="77777777" w:rsidR="0004652A" w:rsidRDefault="00000000">
            <w:r>
              <w:rPr>
                <w:sz w:val="20"/>
                <w:szCs w:val="20"/>
              </w:rPr>
              <w:t>Cannot terminate early without bilateral agreement (except on credit events)</w:t>
            </w:r>
          </w:p>
        </w:tc>
      </w:tr>
    </w:tbl>
    <w:p w14:paraId="6EB1D024" w14:textId="77777777" w:rsidR="0004652A" w:rsidRDefault="0004652A">
      <w:pPr>
        <w:spacing w:before="80"/>
      </w:pPr>
    </w:p>
    <w:p w14:paraId="368AEDA3" w14:textId="77777777" w:rsidR="0004652A" w:rsidRDefault="00000000">
      <w:pPr>
        <w:pStyle w:val="Heading3"/>
      </w:pPr>
      <w:bookmarkStart w:id="54" w:name="_Toc228131663"/>
      <w:r>
        <w:t>General Collateral (GC) vs Special Repo</w:t>
      </w:r>
      <w:bookmarkEnd w:id="54"/>
    </w:p>
    <w:tbl>
      <w:tblPr>
        <w:tblW w:w="9360" w:type="dxa"/>
        <w:tblCellMar>
          <w:left w:w="10" w:type="dxa"/>
          <w:right w:w="10" w:type="dxa"/>
        </w:tblCellMar>
        <w:tblLook w:val="04A0" w:firstRow="1" w:lastRow="0" w:firstColumn="1" w:lastColumn="0" w:noHBand="0" w:noVBand="1"/>
      </w:tblPr>
      <w:tblGrid>
        <w:gridCol w:w="2000"/>
        <w:gridCol w:w="3680"/>
        <w:gridCol w:w="3680"/>
      </w:tblGrid>
      <w:tr w:rsidR="0004652A" w14:paraId="7CAD07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CB6A19" w14:textId="77777777" w:rsidR="0004652A" w:rsidRDefault="00000000">
            <w:pPr>
              <w:jc w:val="center"/>
            </w:pPr>
            <w:r>
              <w:rPr>
                <w:b/>
                <w:bCs/>
                <w:color w:val="FFFFFF"/>
                <w:sz w:val="20"/>
                <w:szCs w:val="20"/>
              </w:rPr>
              <w:lastRenderedPageBreak/>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B1F96E" w14:textId="77777777" w:rsidR="0004652A" w:rsidRDefault="00000000">
            <w:pPr>
              <w:jc w:val="center"/>
            </w:pPr>
            <w:r>
              <w:rPr>
                <w:b/>
                <w:bCs/>
                <w:color w:val="FFFFFF"/>
                <w:sz w:val="20"/>
                <w:szCs w:val="20"/>
              </w:rPr>
              <w:t>General Collateral (GC)</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BABB38" w14:textId="77777777" w:rsidR="0004652A" w:rsidRDefault="00000000">
            <w:pPr>
              <w:jc w:val="center"/>
            </w:pPr>
            <w:r>
              <w:rPr>
                <w:b/>
                <w:bCs/>
                <w:color w:val="FFFFFF"/>
                <w:sz w:val="20"/>
                <w:szCs w:val="20"/>
              </w:rPr>
              <w:t>Special Repo</w:t>
            </w:r>
          </w:p>
        </w:tc>
      </w:tr>
      <w:tr w:rsidR="0004652A" w14:paraId="7CBE4E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4F41793" w14:textId="77777777" w:rsidR="0004652A" w:rsidRDefault="00000000">
            <w:r>
              <w:rPr>
                <w:b/>
                <w:bCs/>
                <w:sz w:val="20"/>
                <w:szCs w:val="20"/>
              </w:rPr>
              <w:t>Collateral</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392F80" w14:textId="77777777" w:rsidR="0004652A" w:rsidRDefault="00000000">
            <w:r>
              <w:rPr>
                <w:sz w:val="20"/>
                <w:szCs w:val="20"/>
              </w:rPr>
              <w:t>Any security from an eligible pool (e.g. any UST, any Bund). Cash lender has no preference.</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E03E2E" w14:textId="77777777" w:rsidR="0004652A" w:rsidRDefault="00000000">
            <w:r>
              <w:rPr>
                <w:sz w:val="20"/>
                <w:szCs w:val="20"/>
              </w:rPr>
              <w:t>Specific security identified (e.g. on-the-run 10Y UST). Cash lender requires this exact bond.</w:t>
            </w:r>
          </w:p>
        </w:tc>
      </w:tr>
      <w:tr w:rsidR="0004652A" w14:paraId="575D6A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BC8966B" w14:textId="77777777" w:rsidR="0004652A" w:rsidRDefault="00000000">
            <w:r>
              <w:rPr>
                <w:b/>
                <w:bCs/>
                <w:sz w:val="20"/>
                <w:szCs w:val="20"/>
              </w:rPr>
              <w:t>Repo rate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93F4A88" w14:textId="77777777" w:rsidR="0004652A" w:rsidRDefault="00000000">
            <w:r>
              <w:rPr>
                <w:sz w:val="20"/>
                <w:szCs w:val="20"/>
              </w:rPr>
              <w:t>Close to OIS/overnight rate. GC rate is the baseline funding rate for high-quality collateral.</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C1B1E12" w14:textId="77777777" w:rsidR="0004652A" w:rsidRDefault="00000000">
            <w:r>
              <w:rPr>
                <w:sz w:val="20"/>
                <w:szCs w:val="20"/>
              </w:rPr>
              <w:t>Below GC rate — sometimes significantly. Cash lender accepts below-market return in exchange for securing the specific bond.</w:t>
            </w:r>
          </w:p>
        </w:tc>
      </w:tr>
      <w:tr w:rsidR="0004652A" w14:paraId="48272C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5BD9323" w14:textId="77777777" w:rsidR="0004652A" w:rsidRDefault="00000000">
            <w:r>
              <w:rPr>
                <w:b/>
                <w:bCs/>
                <w:sz w:val="20"/>
                <w:szCs w:val="20"/>
              </w:rPr>
              <w:t>Driver</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4C27810" w14:textId="77777777" w:rsidR="0004652A" w:rsidRDefault="00000000">
            <w:r>
              <w:rPr>
                <w:sz w:val="20"/>
                <w:szCs w:val="20"/>
              </w:rPr>
              <w:t>Pure funding: securities holder needs cash and posts whatever eligible bonds it holds.</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84C930" w14:textId="77777777" w:rsidR="0004652A" w:rsidRDefault="00000000">
            <w:r>
              <w:rPr>
                <w:sz w:val="20"/>
                <w:szCs w:val="20"/>
              </w:rPr>
              <w:t>Short-covering: dealer needs specific bond to deliver against a short position or to settle a customer trade.</w:t>
            </w:r>
          </w:p>
        </w:tc>
      </w:tr>
      <w:tr w:rsidR="0004652A" w14:paraId="466C1D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1DB552D" w14:textId="77777777" w:rsidR="0004652A" w:rsidRDefault="00000000">
            <w:r>
              <w:rPr>
                <w:b/>
                <w:bCs/>
                <w:sz w:val="20"/>
                <w:szCs w:val="20"/>
              </w:rPr>
              <w:t>Specialness</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5F5298" w14:textId="77777777" w:rsidR="0004652A" w:rsidRDefault="00000000">
            <w:r>
              <w:rPr>
                <w:sz w:val="20"/>
                <w:szCs w:val="20"/>
              </w:rPr>
              <w:t>No specialness premium — rate reflects pure credit/liquidity of collateral pool.</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1F09AB6" w14:textId="77777777" w:rsidR="0004652A" w:rsidRDefault="00000000">
            <w:r>
              <w:rPr>
                <w:sz w:val="20"/>
                <w:szCs w:val="20"/>
              </w:rPr>
              <w:t>Specialness premium = GC rate minus special rate. Reflects scarcity value of the specific bond.</w:t>
            </w:r>
          </w:p>
        </w:tc>
      </w:tr>
    </w:tbl>
    <w:p w14:paraId="3CC5A0FC" w14:textId="77777777" w:rsidR="0004652A" w:rsidRDefault="0004652A">
      <w:pPr>
        <w:spacing w:before="120"/>
      </w:pPr>
    </w:p>
    <w:p w14:paraId="04BDB5BF" w14:textId="77777777" w:rsidR="0004652A" w:rsidRDefault="00000000">
      <w:pPr>
        <w:pStyle w:val="Heading2"/>
      </w:pPr>
      <w:bookmarkStart w:id="55" w:name="_Toc228131664"/>
      <w:r>
        <w:t>8.2  The Dealer's Repo Book</w:t>
      </w:r>
      <w:bookmarkEnd w:id="55"/>
    </w:p>
    <w:p w14:paraId="7CF21DD3" w14:textId="77777777" w:rsidR="0004652A" w:rsidRDefault="00000000">
      <w:pPr>
        <w:spacing w:before="80" w:after="80"/>
        <w:jc w:val="both"/>
      </w:pPr>
      <w:r>
        <w:t>A global dealer operates a repo book as a core Treasury and funding function. The matched book is the foundation: the dealer simultaneously runs repos (borrowing securities, lending cash) and reverse repos (lending securities, borrowing cash) across a range of counterparties and maturities. The matched book is not perfectly matched — deliberate duration, credit, and basis mismatches generate revenue.</w:t>
      </w:r>
    </w:p>
    <w:p w14:paraId="6F6F25C1" w14:textId="77777777" w:rsidR="0004652A" w:rsidRDefault="0004652A">
      <w:pPr>
        <w:spacing w:before="80"/>
      </w:pPr>
    </w:p>
    <w:p w14:paraId="160851EE" w14:textId="77777777" w:rsidR="0004652A" w:rsidRDefault="00000000">
      <w:pPr>
        <w:spacing w:before="80" w:after="80"/>
        <w:jc w:val="both"/>
      </w:pPr>
      <w:r>
        <w:t>Key functions of the dealer's repo book:</w:t>
      </w:r>
    </w:p>
    <w:p w14:paraId="583BD1D4" w14:textId="77777777" w:rsidR="0004652A" w:rsidRDefault="0004652A">
      <w:pPr>
        <w:spacing w:before="60"/>
      </w:pPr>
    </w:p>
    <w:p w14:paraId="09ED9EF7" w14:textId="77777777" w:rsidR="0004652A" w:rsidRDefault="00000000">
      <w:pPr>
        <w:pStyle w:val="ListParagraph"/>
        <w:numPr>
          <w:ilvl w:val="0"/>
          <w:numId w:val="2"/>
        </w:numPr>
        <w:spacing w:before="60" w:after="60"/>
      </w:pPr>
      <w:r>
        <w:t xml:space="preserve">Funding the trading book: long securities positions in the trading book are typically financed via repo. The trading desk buys bonds; the repo desk funds that purchase by </w:t>
      </w:r>
      <w:proofErr w:type="spellStart"/>
      <w:r>
        <w:t>repoing</w:t>
      </w:r>
      <w:proofErr w:type="spellEnd"/>
      <w:r>
        <w:t xml:space="preserve"> the bonds to cash-rich counterparties.</w:t>
      </w:r>
    </w:p>
    <w:p w14:paraId="7BF82140" w14:textId="77777777" w:rsidR="0004652A" w:rsidRDefault="00000000">
      <w:pPr>
        <w:pStyle w:val="ListParagraph"/>
        <w:numPr>
          <w:ilvl w:val="0"/>
          <w:numId w:val="2"/>
        </w:numPr>
        <w:spacing w:before="60" w:after="60"/>
      </w:pPr>
      <w:r>
        <w:t>Short-covering: when a trading desk is short a specific bond (sold it to a customer without owning it), the repo desk sources that bond via reverse repo to enable delivery.</w:t>
      </w:r>
    </w:p>
    <w:p w14:paraId="792084F0" w14:textId="77777777" w:rsidR="0004652A" w:rsidRDefault="00000000">
      <w:pPr>
        <w:pStyle w:val="ListParagraph"/>
        <w:numPr>
          <w:ilvl w:val="0"/>
          <w:numId w:val="2"/>
        </w:numPr>
        <w:spacing w:before="60" w:after="60"/>
      </w:pPr>
      <w:r>
        <w:t>Collateral transformation: repo enables the transformation of ineligible assets into CCP-eligible collateral (see Section 8.6).</w:t>
      </w:r>
    </w:p>
    <w:p w14:paraId="6F98F295" w14:textId="77777777" w:rsidR="0004652A" w:rsidRDefault="00000000">
      <w:pPr>
        <w:pStyle w:val="ListParagraph"/>
        <w:numPr>
          <w:ilvl w:val="0"/>
          <w:numId w:val="2"/>
        </w:numPr>
        <w:spacing w:before="60" w:after="60"/>
      </w:pPr>
      <w:r>
        <w:t>Funding curve construction: the rates at which the dealer can repo different asset classes form a key input to FVA and the XVA desk's funding curve.</w:t>
      </w:r>
    </w:p>
    <w:p w14:paraId="599F20A9" w14:textId="77777777" w:rsidR="0004652A" w:rsidRDefault="0004652A">
      <w:pPr>
        <w:spacing w:before="120"/>
      </w:pPr>
    </w:p>
    <w:p w14:paraId="48B4C7D7" w14:textId="77777777" w:rsidR="0004652A" w:rsidRDefault="00000000">
      <w:pPr>
        <w:pStyle w:val="Heading2"/>
      </w:pPr>
      <w:bookmarkStart w:id="56" w:name="_Toc228131665"/>
      <w:r>
        <w:t>8.3  Securities Lending</w:t>
      </w:r>
      <w:bookmarkEnd w:id="56"/>
    </w:p>
    <w:p w14:paraId="5A6351C7" w14:textId="77777777" w:rsidR="0004652A" w:rsidRDefault="00000000">
      <w:pPr>
        <w:spacing w:before="80" w:after="80"/>
        <w:jc w:val="both"/>
      </w:pPr>
      <w:r>
        <w:t>Securities lending is structurally similar to repo but driven by a different economic motivation. The lender of securities (typically a long-term investor such as a pension fund, insurance company, or asset manager) lends securities to a borrower (typically a dealer) in exchange for a fee and collateral.</w:t>
      </w:r>
    </w:p>
    <w:p w14:paraId="2F4534DB"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358"/>
        <w:gridCol w:w="3396"/>
        <w:gridCol w:w="3606"/>
      </w:tblGrid>
      <w:tr w:rsidR="0004652A" w14:paraId="7E91C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D098F2D" w14:textId="77777777" w:rsidR="0004652A" w:rsidRDefault="00000000">
            <w:pPr>
              <w:jc w:val="center"/>
            </w:pPr>
            <w:r>
              <w:rPr>
                <w:b/>
                <w:bCs/>
                <w:color w:val="FFFFFF"/>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C66E1D" w14:textId="77777777" w:rsidR="0004652A" w:rsidRDefault="00000000">
            <w:pPr>
              <w:jc w:val="center"/>
            </w:pPr>
            <w:r>
              <w:rPr>
                <w:b/>
                <w:bCs/>
                <w:color w:val="FFFFFF"/>
                <w:sz w:val="20"/>
                <w:szCs w:val="20"/>
              </w:rPr>
              <w:t>Repo</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7B3449" w14:textId="77777777" w:rsidR="0004652A" w:rsidRDefault="00000000">
            <w:pPr>
              <w:jc w:val="center"/>
            </w:pPr>
            <w:r>
              <w:rPr>
                <w:b/>
                <w:bCs/>
                <w:color w:val="FFFFFF"/>
                <w:sz w:val="20"/>
                <w:szCs w:val="20"/>
              </w:rPr>
              <w:t>Securities Lending</w:t>
            </w:r>
          </w:p>
        </w:tc>
      </w:tr>
      <w:tr w:rsidR="0004652A" w14:paraId="06CA6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9B1E4DD" w14:textId="77777777" w:rsidR="0004652A" w:rsidRDefault="00000000">
            <w:r>
              <w:rPr>
                <w:b/>
                <w:bCs/>
                <w:sz w:val="20"/>
                <w:szCs w:val="20"/>
              </w:rPr>
              <w:lastRenderedPageBreak/>
              <w:t>Primary motivation</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8A5D5B6" w14:textId="77777777" w:rsidR="0004652A" w:rsidRDefault="00000000">
            <w:r>
              <w:rPr>
                <w:sz w:val="20"/>
                <w:szCs w:val="20"/>
              </w:rPr>
              <w:t>Funding — cash borrower needs liquidity</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D04A8BF" w14:textId="77777777" w:rsidR="0004652A" w:rsidRDefault="00000000">
            <w:r>
              <w:rPr>
                <w:sz w:val="20"/>
                <w:szCs w:val="20"/>
              </w:rPr>
              <w:t>Fee income — securities owner monetises idle holdings</w:t>
            </w:r>
          </w:p>
        </w:tc>
      </w:tr>
      <w:tr w:rsidR="0004652A" w14:paraId="4E1FB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D7111EC" w14:textId="77777777" w:rsidR="0004652A" w:rsidRDefault="00000000">
            <w:r>
              <w:rPr>
                <w:b/>
                <w:bCs/>
                <w:sz w:val="20"/>
                <w:szCs w:val="20"/>
              </w:rPr>
              <w:t>Collateral direction</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5C957D7" w14:textId="77777777" w:rsidR="0004652A" w:rsidRDefault="00000000">
            <w:r>
              <w:rPr>
                <w:sz w:val="20"/>
                <w:szCs w:val="20"/>
              </w:rPr>
              <w:t>Securities flow to cash lender; cash flows to securities holder</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83B830F" w14:textId="77777777" w:rsidR="0004652A" w:rsidRDefault="00000000">
            <w:r>
              <w:rPr>
                <w:sz w:val="20"/>
                <w:szCs w:val="20"/>
              </w:rPr>
              <w:t>Securities flow to borrower; cash or other securities flow back as collateral</w:t>
            </w:r>
          </w:p>
        </w:tc>
      </w:tr>
      <w:tr w:rsidR="0004652A" w14:paraId="16CCB0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22AC801" w14:textId="77777777" w:rsidR="0004652A" w:rsidRDefault="00000000">
            <w:r>
              <w:rPr>
                <w:b/>
                <w:bCs/>
                <w:sz w:val="20"/>
                <w:szCs w:val="20"/>
              </w:rPr>
              <w:t>Return to lender</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E478AFB" w14:textId="77777777" w:rsidR="0004652A" w:rsidRDefault="00000000">
            <w:r>
              <w:rPr>
                <w:sz w:val="20"/>
                <w:szCs w:val="20"/>
              </w:rPr>
              <w:t>Repo rate (received by cash lender as financing return)</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9AB9701" w14:textId="77777777" w:rsidR="0004652A" w:rsidRDefault="00000000">
            <w:r>
              <w:rPr>
                <w:sz w:val="20"/>
                <w:szCs w:val="20"/>
              </w:rPr>
              <w:t>Securities lending fee (typically 10–100 bps p.a. on notional; more for scarce/special securities)</w:t>
            </w:r>
          </w:p>
        </w:tc>
      </w:tr>
      <w:tr w:rsidR="0004652A" w14:paraId="3AE3F9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595F589" w14:textId="77777777" w:rsidR="0004652A" w:rsidRDefault="00000000">
            <w:r>
              <w:rPr>
                <w:b/>
                <w:bCs/>
                <w:sz w:val="20"/>
                <w:szCs w:val="20"/>
              </w:rPr>
              <w:t>Agent 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4F9733F" w14:textId="77777777" w:rsidR="0004652A" w:rsidRDefault="00000000">
            <w:r>
              <w:rPr>
                <w:sz w:val="20"/>
                <w:szCs w:val="20"/>
              </w:rPr>
              <w:t>Directly between two principals (or via tri-party)</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0C6EFA3" w14:textId="77777777" w:rsidR="0004652A" w:rsidRDefault="00000000">
            <w:r>
              <w:rPr>
                <w:sz w:val="20"/>
                <w:szCs w:val="20"/>
              </w:rPr>
              <w:t>Typically intermediated by an agent lender (custodian bank) who manages the programme and provides borrower indemnification</w:t>
            </w:r>
          </w:p>
        </w:tc>
      </w:tr>
      <w:tr w:rsidR="0004652A" w14:paraId="2F570B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6D795A9" w14:textId="77777777" w:rsidR="0004652A" w:rsidRDefault="00000000">
            <w:r>
              <w:rPr>
                <w:b/>
                <w:bCs/>
                <w:sz w:val="20"/>
                <w:szCs w:val="20"/>
              </w:rPr>
              <w:t>Borrower motivation</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79557FA" w14:textId="77777777" w:rsidR="0004652A" w:rsidRDefault="00000000">
            <w:r>
              <w:rPr>
                <w:sz w:val="20"/>
                <w:szCs w:val="20"/>
              </w:rPr>
              <w:t>Needs cash; posting securities as collateral</w:t>
            </w:r>
          </w:p>
        </w:tc>
        <w:tc>
          <w:tcPr>
            <w:tcW w:w="34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75CD4A8" w14:textId="77777777" w:rsidR="0004652A" w:rsidRDefault="00000000">
            <w:r>
              <w:rPr>
                <w:sz w:val="20"/>
                <w:szCs w:val="20"/>
              </w:rPr>
              <w:t>Needs specific securities — to cover shorts, to deliver to customers, or for collateral transformation</w:t>
            </w:r>
          </w:p>
        </w:tc>
      </w:tr>
    </w:tbl>
    <w:p w14:paraId="396B5D22" w14:textId="77777777" w:rsidR="0004652A" w:rsidRDefault="0004652A">
      <w:pPr>
        <w:spacing w:before="80"/>
      </w:pPr>
    </w:p>
    <w:p w14:paraId="66E0AFA6" w14:textId="77777777" w:rsidR="0004652A" w:rsidRDefault="00000000">
      <w:pPr>
        <w:pStyle w:val="Heading3"/>
      </w:pPr>
      <w:bookmarkStart w:id="57" w:name="_Toc228131666"/>
      <w:r>
        <w:t>Agent Lender Indemnification</w:t>
      </w:r>
      <w:bookmarkEnd w:id="57"/>
    </w:p>
    <w:p w14:paraId="54BF6C63" w14:textId="77777777" w:rsidR="0004652A" w:rsidRDefault="00000000">
      <w:pPr>
        <w:spacing w:before="80" w:after="80"/>
        <w:jc w:val="both"/>
      </w:pPr>
      <w:r>
        <w:t>A key feature of institutional securities lending programmes is the borrower default indemnification provided by the agent lender. If a borrower defaults and fails to return securities, the agent lender (typically a major custodian bank) indemnifies the lending client — replacing the securities from its own balance sheet. This indemnification is a major reason why securities lending is commercially attractive to conservative institutional investors: the credit risk is borne by the agent, not the beneficial owner.</w:t>
      </w:r>
    </w:p>
    <w:p w14:paraId="4EAE002F" w14:textId="77777777" w:rsidR="0004652A" w:rsidRDefault="0004652A">
      <w:pPr>
        <w:spacing w:before="120"/>
      </w:pPr>
    </w:p>
    <w:p w14:paraId="0449EC56" w14:textId="77777777" w:rsidR="0004652A" w:rsidRDefault="00000000">
      <w:pPr>
        <w:pStyle w:val="Heading2"/>
      </w:pPr>
      <w:bookmarkStart w:id="58" w:name="_Toc228131667"/>
      <w:r>
        <w:t>8.4  Haircuts</w:t>
      </w:r>
      <w:bookmarkEnd w:id="58"/>
    </w:p>
    <w:p w14:paraId="22FC49E1" w14:textId="77777777" w:rsidR="0004652A" w:rsidRDefault="00000000">
      <w:pPr>
        <w:spacing w:before="80" w:after="80"/>
        <w:jc w:val="both"/>
      </w:pPr>
      <w:r>
        <w:t>Haircuts are applied to collateral in both repo and securities lending to provide a buffer against the risk that collateral value falls below the cash amount lent before it can be liquidated.</w:t>
      </w:r>
    </w:p>
    <w:p w14:paraId="43AAFDC7" w14:textId="77777777" w:rsidR="0004652A" w:rsidRDefault="0004652A">
      <w:pPr>
        <w:spacing w:before="80"/>
      </w:pPr>
    </w:p>
    <w:p w14:paraId="11D6883F" w14:textId="77777777" w:rsidR="0004652A" w:rsidRDefault="00000000">
      <w:pPr>
        <w:spacing w:before="80" w:after="80"/>
        <w:jc w:val="both"/>
      </w:pPr>
      <w:r>
        <w:t>For a repo with a 2% haircut: if the bonds have a market value of EUR 100, the cash lender lends only EUR 98. If the borrower defaults and the bonds fall in value to EUR 95, the lender recovers EUR 95 against a EUR 98 exposure — a loss of EUR 3. The haircut partially but not fully protects against this scenario.</w:t>
      </w:r>
    </w:p>
    <w:p w14:paraId="6E35A144"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800"/>
        <w:gridCol w:w="1600"/>
        <w:gridCol w:w="4960"/>
      </w:tblGrid>
      <w:tr w:rsidR="0004652A" w14:paraId="3F3673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789961" w14:textId="77777777" w:rsidR="0004652A" w:rsidRDefault="00000000">
            <w:pPr>
              <w:jc w:val="center"/>
            </w:pPr>
            <w:r>
              <w:rPr>
                <w:b/>
                <w:bCs/>
                <w:color w:val="FFFFFF"/>
                <w:sz w:val="20"/>
                <w:szCs w:val="20"/>
              </w:rPr>
              <w:t>Asset Class</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A0D277" w14:textId="77777777" w:rsidR="0004652A" w:rsidRDefault="00000000">
            <w:pPr>
              <w:jc w:val="center"/>
            </w:pPr>
            <w:r>
              <w:rPr>
                <w:b/>
                <w:bCs/>
                <w:color w:val="FFFFFF"/>
                <w:sz w:val="20"/>
                <w:szCs w:val="20"/>
              </w:rPr>
              <w:t>Typical Haircut</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B6E9DB" w14:textId="77777777" w:rsidR="0004652A" w:rsidRDefault="00000000">
            <w:pPr>
              <w:jc w:val="center"/>
            </w:pPr>
            <w:r>
              <w:rPr>
                <w:b/>
                <w:bCs/>
                <w:color w:val="FFFFFF"/>
                <w:sz w:val="20"/>
                <w:szCs w:val="20"/>
              </w:rPr>
              <w:t>Rationale</w:t>
            </w:r>
          </w:p>
        </w:tc>
      </w:tr>
      <w:tr w:rsidR="0004652A" w14:paraId="071B04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6F86E47" w14:textId="77777777" w:rsidR="0004652A" w:rsidRDefault="00000000">
            <w:r>
              <w:rPr>
                <w:sz w:val="20"/>
                <w:szCs w:val="20"/>
              </w:rPr>
              <w:t>G10 Government Bonds (≤2Y)</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3AB6FAA" w14:textId="77777777" w:rsidR="0004652A" w:rsidRDefault="00000000">
            <w:pPr>
              <w:jc w:val="center"/>
            </w:pPr>
            <w:r>
              <w:rPr>
                <w:sz w:val="20"/>
                <w:szCs w:val="20"/>
              </w:rPr>
              <w:t>0.5–1%</w:t>
            </w:r>
          </w:p>
        </w:tc>
        <w:tc>
          <w:tcPr>
            <w:tcW w:w="49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E78662" w14:textId="77777777" w:rsidR="0004652A" w:rsidRDefault="00000000">
            <w:r>
              <w:rPr>
                <w:sz w:val="20"/>
                <w:szCs w:val="20"/>
              </w:rPr>
              <w:t>Highest liquidity, near-zero credit risk, minimal duration. BCBS-IOSCO minimum haircut floor: 0.5% for ≤1Y sovereign.</w:t>
            </w:r>
          </w:p>
        </w:tc>
      </w:tr>
      <w:tr w:rsidR="0004652A" w14:paraId="560BB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2967305" w14:textId="77777777" w:rsidR="0004652A" w:rsidRDefault="00000000">
            <w:r>
              <w:rPr>
                <w:sz w:val="20"/>
                <w:szCs w:val="20"/>
              </w:rPr>
              <w:t>G10 Government Bonds (2–10Y)</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0C76464" w14:textId="77777777" w:rsidR="0004652A" w:rsidRDefault="00000000">
            <w:pPr>
              <w:jc w:val="center"/>
            </w:pPr>
            <w:r>
              <w:rPr>
                <w:sz w:val="20"/>
                <w:szCs w:val="20"/>
              </w:rPr>
              <w:t>2–3%</w:t>
            </w:r>
          </w:p>
        </w:tc>
        <w:tc>
          <w:tcPr>
            <w:tcW w:w="4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C633C44" w14:textId="77777777" w:rsidR="0004652A" w:rsidRDefault="00000000">
            <w:r>
              <w:rPr>
                <w:sz w:val="20"/>
                <w:szCs w:val="20"/>
              </w:rPr>
              <w:t>Duration risk increases with tenor. 10-day liquidation horizon assumed in regulatory frameworks.</w:t>
            </w:r>
          </w:p>
        </w:tc>
      </w:tr>
      <w:tr w:rsidR="0004652A" w14:paraId="0C241C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A55BC2B" w14:textId="77777777" w:rsidR="0004652A" w:rsidRDefault="00000000">
            <w:r>
              <w:rPr>
                <w:sz w:val="20"/>
                <w:szCs w:val="20"/>
              </w:rPr>
              <w:t>G10 Government Bonds (&gt;10Y)</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620845A" w14:textId="77777777" w:rsidR="0004652A" w:rsidRDefault="00000000">
            <w:pPr>
              <w:jc w:val="center"/>
            </w:pPr>
            <w:r>
              <w:rPr>
                <w:sz w:val="20"/>
                <w:szCs w:val="20"/>
              </w:rPr>
              <w:t>4–6%</w:t>
            </w:r>
          </w:p>
        </w:tc>
        <w:tc>
          <w:tcPr>
            <w:tcW w:w="49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8825C85" w14:textId="77777777" w:rsidR="0004652A" w:rsidRDefault="00000000">
            <w:r>
              <w:rPr>
                <w:sz w:val="20"/>
                <w:szCs w:val="20"/>
              </w:rPr>
              <w:t>High duration; large DV01. Price volatility in stress scenarios justifies higher buffer.</w:t>
            </w:r>
          </w:p>
        </w:tc>
      </w:tr>
      <w:tr w:rsidR="0004652A" w14:paraId="3EB44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627D33" w14:textId="77777777" w:rsidR="0004652A" w:rsidRDefault="00000000">
            <w:r>
              <w:rPr>
                <w:sz w:val="20"/>
                <w:szCs w:val="20"/>
              </w:rPr>
              <w:t>IG Corporate Bonds</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D69E8F1" w14:textId="77777777" w:rsidR="0004652A" w:rsidRDefault="00000000">
            <w:pPr>
              <w:jc w:val="center"/>
            </w:pPr>
            <w:r>
              <w:rPr>
                <w:sz w:val="20"/>
                <w:szCs w:val="20"/>
              </w:rPr>
              <w:t>6–12%</w:t>
            </w:r>
          </w:p>
        </w:tc>
        <w:tc>
          <w:tcPr>
            <w:tcW w:w="4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31A301B" w14:textId="77777777" w:rsidR="0004652A" w:rsidRDefault="00000000">
            <w:r>
              <w:rPr>
                <w:sz w:val="20"/>
                <w:szCs w:val="20"/>
              </w:rPr>
              <w:t>Credit spread volatility on top of duration risk. Liquidity deteriorates sharply in stress.</w:t>
            </w:r>
          </w:p>
        </w:tc>
      </w:tr>
      <w:tr w:rsidR="0004652A" w14:paraId="6BB0C3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5BCC4B2" w14:textId="77777777" w:rsidR="0004652A" w:rsidRDefault="00000000">
            <w:r>
              <w:rPr>
                <w:sz w:val="20"/>
                <w:szCs w:val="20"/>
              </w:rPr>
              <w:lastRenderedPageBreak/>
              <w:t>HY / Non-rated Bonds</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5D2AF30" w14:textId="77777777" w:rsidR="0004652A" w:rsidRDefault="00000000">
            <w:pPr>
              <w:jc w:val="center"/>
            </w:pPr>
            <w:r>
              <w:rPr>
                <w:sz w:val="20"/>
                <w:szCs w:val="20"/>
              </w:rPr>
              <w:t>15–25%</w:t>
            </w:r>
          </w:p>
        </w:tc>
        <w:tc>
          <w:tcPr>
            <w:tcW w:w="49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E97AC11" w14:textId="77777777" w:rsidR="0004652A" w:rsidRDefault="00000000">
            <w:r>
              <w:rPr>
                <w:sz w:val="20"/>
                <w:szCs w:val="20"/>
              </w:rPr>
              <w:t>Significant credit, duration, and liquidity risk combined. Often ineligible for bilateral VM CSAs.</w:t>
            </w:r>
          </w:p>
        </w:tc>
      </w:tr>
      <w:tr w:rsidR="0004652A" w14:paraId="4B0101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74F5980" w14:textId="77777777" w:rsidR="0004652A" w:rsidRDefault="00000000">
            <w:r>
              <w:rPr>
                <w:sz w:val="20"/>
                <w:szCs w:val="20"/>
              </w:rPr>
              <w:t>Equities (major indices)</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A29705F" w14:textId="77777777" w:rsidR="0004652A" w:rsidRDefault="00000000">
            <w:pPr>
              <w:jc w:val="center"/>
            </w:pPr>
            <w:r>
              <w:rPr>
                <w:sz w:val="20"/>
                <w:szCs w:val="20"/>
              </w:rPr>
              <w:t>15–25%</w:t>
            </w:r>
          </w:p>
        </w:tc>
        <w:tc>
          <w:tcPr>
            <w:tcW w:w="4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2C8C380" w14:textId="77777777" w:rsidR="0004652A" w:rsidRDefault="00000000">
            <w:r>
              <w:rPr>
                <w:sz w:val="20"/>
                <w:szCs w:val="20"/>
              </w:rPr>
              <w:t>High volatility; sector concentration risk. BCBS-IOSCO floor: 15% for equities in SFTs.</w:t>
            </w:r>
          </w:p>
        </w:tc>
      </w:tr>
    </w:tbl>
    <w:p w14:paraId="009B03B2" w14:textId="77777777" w:rsidR="0004652A" w:rsidRDefault="0004652A">
      <w:pPr>
        <w:spacing w:before="80"/>
      </w:pPr>
    </w:p>
    <w:p w14:paraId="55E983A7" w14:textId="77777777" w:rsidR="0004652A" w:rsidRDefault="00000000">
      <w:pPr>
        <w:pStyle w:val="Heading3"/>
      </w:pPr>
      <w:bookmarkStart w:id="59" w:name="_Toc228131668"/>
      <w:r>
        <w:t>Procyclicality of Haircuts</w:t>
      </w:r>
      <w:bookmarkEnd w:id="59"/>
    </w:p>
    <w:p w14:paraId="7A6C7C27" w14:textId="77777777" w:rsidR="0004652A" w:rsidRDefault="00000000">
      <w:pPr>
        <w:spacing w:before="80" w:after="80"/>
        <w:jc w:val="both"/>
      </w:pPr>
      <w:r>
        <w:t>A well-documented weakness of haircut-based collateral frameworks is their procyclicality. In benign markets, haircuts compress as competition among lenders drives down margins. In stress, haircuts spike simultaneously across all participants — exactly when liquidity is most needed. This dynamic was a significant amplifier of the 2008 financial crisis: rising haircuts forced collateral sellers to liquidate positions to meet increased margin calls, further depressing prices, further increasing haircuts.</w:t>
      </w:r>
    </w:p>
    <w:p w14:paraId="2EE3CB58" w14:textId="77777777" w:rsidR="0004652A" w:rsidRDefault="0004652A">
      <w:pPr>
        <w:spacing w:before="80"/>
      </w:pPr>
    </w:p>
    <w:p w14:paraId="73FCCD73" w14:textId="77777777" w:rsidR="0004652A" w:rsidRDefault="00000000">
      <w:pPr>
        <w:spacing w:before="80" w:after="80"/>
        <w:jc w:val="both"/>
      </w:pPr>
      <w:r>
        <w:t>The FSB's minimum haircut floors (introduced through BCBS-IOSCO frameworks and incorporated into SFTR/10c-3 regulatory standards) were designed to prevent haircuts from compressing to zero in good times, thereby reducing the violent upswing in stress.</w:t>
      </w:r>
    </w:p>
    <w:p w14:paraId="4462B6DA" w14:textId="77777777" w:rsidR="0004652A" w:rsidRDefault="0004652A">
      <w:pPr>
        <w:spacing w:before="120"/>
      </w:pPr>
    </w:p>
    <w:p w14:paraId="1A0DAFA0" w14:textId="77777777" w:rsidR="0004652A" w:rsidRDefault="00000000">
      <w:pPr>
        <w:pStyle w:val="Heading2"/>
      </w:pPr>
      <w:bookmarkStart w:id="60" w:name="_Toc228131669"/>
      <w:r>
        <w:t>8.5  Collateral Transformation</w:t>
      </w:r>
      <w:bookmarkEnd w:id="60"/>
    </w:p>
    <w:p w14:paraId="1A174C38" w14:textId="77777777" w:rsidR="0004652A" w:rsidRDefault="00000000">
      <w:pPr>
        <w:spacing w:before="80" w:after="80"/>
        <w:jc w:val="both"/>
      </w:pPr>
      <w:r>
        <w:t>Collateral transformation is the process of converting ineligible or lower-quality assets into the form of collateral required by a counterparty — typically CCP-eligible securities (cash or high-grade government bonds) in exchange for less liquid assets.</w:t>
      </w:r>
    </w:p>
    <w:p w14:paraId="0AD3B193" w14:textId="77777777" w:rsidR="0004652A" w:rsidRDefault="0004652A">
      <w:pPr>
        <w:spacing w:before="80"/>
      </w:pPr>
    </w:p>
    <w:p w14:paraId="765014D6" w14:textId="77777777" w:rsidR="0004652A" w:rsidRDefault="00000000">
      <w:pPr>
        <w:spacing w:before="80" w:after="80"/>
        <w:jc w:val="both"/>
      </w:pPr>
      <w:r>
        <w:t>The standard collateral upgrade trade works as follows:</w:t>
      </w:r>
    </w:p>
    <w:p w14:paraId="793C5E09" w14:textId="77777777" w:rsidR="0004652A" w:rsidRDefault="0004652A">
      <w:pPr>
        <w:spacing w:before="60"/>
      </w:pPr>
    </w:p>
    <w:p w14:paraId="1BF068B2" w14:textId="77777777" w:rsidR="0004652A" w:rsidRDefault="00000000">
      <w:pPr>
        <w:pStyle w:val="ListParagraph"/>
        <w:numPr>
          <w:ilvl w:val="0"/>
          <w:numId w:val="3"/>
        </w:numPr>
        <w:spacing w:before="60" w:after="60"/>
      </w:pPr>
      <w:r>
        <w:t>A bank or buy-side firm holds assets that are ineligible as CCP margin (e.g. IG corporate bonds, ABS, or equities).</w:t>
      </w:r>
    </w:p>
    <w:p w14:paraId="70ED3E04" w14:textId="77777777" w:rsidR="0004652A" w:rsidRDefault="00000000">
      <w:pPr>
        <w:pStyle w:val="ListParagraph"/>
        <w:numPr>
          <w:ilvl w:val="0"/>
          <w:numId w:val="3"/>
        </w:numPr>
        <w:spacing w:before="60" w:after="60"/>
      </w:pPr>
      <w:r>
        <w:t>It approaches a collateral transformation provider (typically a large dealer or custodian) to exchange its ineligible assets for eligible ones.</w:t>
      </w:r>
    </w:p>
    <w:p w14:paraId="587118FC" w14:textId="77777777" w:rsidR="0004652A" w:rsidRDefault="00000000">
      <w:pPr>
        <w:pStyle w:val="ListParagraph"/>
        <w:numPr>
          <w:ilvl w:val="0"/>
          <w:numId w:val="3"/>
        </w:numPr>
        <w:spacing w:before="60" w:after="60"/>
      </w:pPr>
      <w:r>
        <w:t>The transformation provider lends the eligible assets (e.g. government bonds) to the client in exchange for the ineligible assets as collateral, plus a transformation fee.</w:t>
      </w:r>
    </w:p>
    <w:p w14:paraId="05D86D5E" w14:textId="77777777" w:rsidR="0004652A" w:rsidRDefault="00000000">
      <w:pPr>
        <w:pStyle w:val="ListParagraph"/>
        <w:numPr>
          <w:ilvl w:val="0"/>
          <w:numId w:val="3"/>
        </w:numPr>
        <w:spacing w:before="60" w:after="60"/>
      </w:pPr>
      <w:r>
        <w:t>The client posts the eligible government bonds as CCP margin. At maturity, the trade unwinds and both sides reclaim their original assets.</w:t>
      </w:r>
    </w:p>
    <w:p w14:paraId="5AE85F40"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935"/>
        <w:gridCol w:w="7425"/>
      </w:tblGrid>
      <w:tr w:rsidR="0004652A" w14:paraId="5F3A0F9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1F9B0B9E" w14:textId="77777777" w:rsidR="0004652A" w:rsidRDefault="00000000">
            <w:pPr>
              <w:jc w:val="center"/>
            </w:pPr>
            <w:r>
              <w:rPr>
                <w:b/>
                <w:bCs/>
                <w:color w:val="C8953A"/>
                <w:sz w:val="20"/>
                <w:szCs w:val="20"/>
              </w:rPr>
              <w:t>TRANSFORMATION FEE</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1A197F6C" w14:textId="77777777" w:rsidR="0004652A" w:rsidRDefault="00000000">
            <w:pPr>
              <w:jc w:val="both"/>
            </w:pPr>
            <w:r>
              <w:rPr>
                <w:i/>
                <w:iCs/>
                <w:sz w:val="20"/>
                <w:szCs w:val="20"/>
              </w:rPr>
              <w:t>The transformation fee compensates the provider for: (1) funding the acquisition of eligible assets to lend; (2) accepting lower-quality collateral; and (3) bearing the liquidity risk of the ineligible assets. Fees range from 10–50 bps p.a. depending on the quality gap between the two asset classes and market conditions.</w:t>
            </w:r>
          </w:p>
        </w:tc>
      </w:tr>
    </w:tbl>
    <w:p w14:paraId="517557B8" w14:textId="77777777" w:rsidR="0004652A" w:rsidRDefault="0004652A">
      <w:pPr>
        <w:spacing w:before="80"/>
      </w:pPr>
    </w:p>
    <w:p w14:paraId="1DB30058" w14:textId="77777777" w:rsidR="0004652A" w:rsidRDefault="00000000">
      <w:pPr>
        <w:pStyle w:val="Heading3"/>
      </w:pPr>
      <w:bookmarkStart w:id="61" w:name="_Toc228131670"/>
      <w:r>
        <w:t>XVA Implications of Collateral Transformation</w:t>
      </w:r>
      <w:bookmarkEnd w:id="61"/>
    </w:p>
    <w:p w14:paraId="7720E2EB" w14:textId="77777777" w:rsidR="0004652A" w:rsidRDefault="00000000">
      <w:pPr>
        <w:spacing w:before="80" w:after="80"/>
        <w:jc w:val="both"/>
      </w:pPr>
      <w:r>
        <w:t>Collateral transformation creates a funding cost that enters the XVA framework in two ways:</w:t>
      </w:r>
    </w:p>
    <w:p w14:paraId="43AE3EFE" w14:textId="77777777" w:rsidR="0004652A" w:rsidRDefault="0004652A">
      <w:pPr>
        <w:spacing w:before="60"/>
      </w:pPr>
    </w:p>
    <w:p w14:paraId="0EB3663A" w14:textId="77777777" w:rsidR="0004652A" w:rsidRDefault="00000000">
      <w:pPr>
        <w:pStyle w:val="ListParagraph"/>
        <w:numPr>
          <w:ilvl w:val="0"/>
          <w:numId w:val="2"/>
        </w:numPr>
        <w:spacing w:before="60" w:after="60"/>
      </w:pPr>
      <w:r>
        <w:lastRenderedPageBreak/>
        <w:t>FVA channel: the transformation provider must finance the government bonds it lends out. If it funds via repo (bonds out, cash in, repo rate paid), the spread between the repo rate and the OIS rate enters its funding cost — and therefore its FVA pricing on the transformation trade.</w:t>
      </w:r>
    </w:p>
    <w:p w14:paraId="13656B48" w14:textId="77777777" w:rsidR="0004652A" w:rsidRDefault="00000000">
      <w:pPr>
        <w:pStyle w:val="ListParagraph"/>
        <w:numPr>
          <w:ilvl w:val="0"/>
          <w:numId w:val="2"/>
        </w:numPr>
        <w:spacing w:before="60" w:after="60"/>
      </w:pPr>
      <w:r>
        <w:t>MVA channel: for the client, the transformation fee is effectively an additional cost of posting IM. It should be included in the MVA calculation as the all-in cost of sourcing eligible collateral, not just the SIMM-derived IM amount multiplied by the funding spread.</w:t>
      </w:r>
    </w:p>
    <w:p w14:paraId="34D16314" w14:textId="77777777" w:rsidR="0004652A" w:rsidRDefault="0004652A">
      <w:pPr>
        <w:spacing w:before="120"/>
      </w:pPr>
    </w:p>
    <w:p w14:paraId="5FD2B966" w14:textId="77777777" w:rsidR="0004652A" w:rsidRDefault="00000000">
      <w:pPr>
        <w:pStyle w:val="Heading2"/>
      </w:pPr>
      <w:bookmarkStart w:id="62" w:name="_Toc228131671"/>
      <w:r>
        <w:t>8.6  Repo and the Dealer's Funding Curve</w:t>
      </w:r>
      <w:bookmarkEnd w:id="62"/>
    </w:p>
    <w:p w14:paraId="321F74AB" w14:textId="77777777" w:rsidR="0004652A" w:rsidRDefault="00000000">
      <w:pPr>
        <w:spacing w:before="80" w:after="80"/>
        <w:jc w:val="both"/>
      </w:pPr>
      <w:r>
        <w:t>The repo market is the primary source of short-term funding for dealer balance sheets. The rates at which dealers can repo different asset classes form a term structure of collateral-specific funding rates that is central to FVA construction:</w:t>
      </w:r>
    </w:p>
    <w:p w14:paraId="7BCB8C33"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800"/>
        <w:gridCol w:w="2280"/>
        <w:gridCol w:w="4280"/>
      </w:tblGrid>
      <w:tr w:rsidR="0004652A" w14:paraId="333D4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ACE76B0" w14:textId="77777777" w:rsidR="0004652A" w:rsidRDefault="00000000">
            <w:pPr>
              <w:jc w:val="center"/>
            </w:pPr>
            <w:r>
              <w:rPr>
                <w:b/>
                <w:bCs/>
                <w:color w:val="FFFFFF"/>
                <w:sz w:val="20"/>
                <w:szCs w:val="20"/>
              </w:rPr>
              <w:t>Funding Source</w:t>
            </w:r>
          </w:p>
        </w:tc>
        <w:tc>
          <w:tcPr>
            <w:tcW w:w="2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AC2902" w14:textId="77777777" w:rsidR="0004652A" w:rsidRDefault="00000000">
            <w:pPr>
              <w:jc w:val="center"/>
            </w:pPr>
            <w:r>
              <w:rPr>
                <w:b/>
                <w:bCs/>
                <w:color w:val="FFFFFF"/>
                <w:sz w:val="20"/>
                <w:szCs w:val="20"/>
              </w:rPr>
              <w:t>Typical Rate</w:t>
            </w:r>
          </w:p>
        </w:tc>
        <w:tc>
          <w:tcPr>
            <w:tcW w:w="4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0AE2139" w14:textId="77777777" w:rsidR="0004652A" w:rsidRDefault="00000000">
            <w:pPr>
              <w:jc w:val="center"/>
            </w:pPr>
            <w:r>
              <w:rPr>
                <w:b/>
                <w:bCs/>
                <w:color w:val="FFFFFF"/>
                <w:sz w:val="20"/>
                <w:szCs w:val="20"/>
              </w:rPr>
              <w:t>XVA Relevance</w:t>
            </w:r>
          </w:p>
        </w:tc>
      </w:tr>
      <w:tr w:rsidR="0004652A" w14:paraId="57349C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0B23920" w14:textId="77777777" w:rsidR="0004652A" w:rsidRDefault="00000000">
            <w:r>
              <w:rPr>
                <w:sz w:val="20"/>
                <w:szCs w:val="20"/>
              </w:rPr>
              <w:t>OIS (ESTR/SOFR)</w:t>
            </w:r>
          </w:p>
        </w:tc>
        <w:tc>
          <w:tcPr>
            <w:tcW w:w="22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0465388" w14:textId="77777777" w:rsidR="0004652A" w:rsidRDefault="00000000">
            <w:pPr>
              <w:jc w:val="center"/>
            </w:pPr>
            <w:r>
              <w:rPr>
                <w:sz w:val="20"/>
                <w:szCs w:val="20"/>
              </w:rPr>
              <w:t>Risk-free baseline</w:t>
            </w:r>
          </w:p>
        </w:tc>
        <w:tc>
          <w:tcPr>
            <w:tcW w:w="42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4FF74E8" w14:textId="77777777" w:rsidR="0004652A" w:rsidRDefault="00000000">
            <w:r>
              <w:rPr>
                <w:sz w:val="20"/>
                <w:szCs w:val="20"/>
              </w:rPr>
              <w:t>Discount rate for collateralised trades. FVA = 0 for OIS-funded, fully-collateralised book.</w:t>
            </w:r>
          </w:p>
        </w:tc>
      </w:tr>
      <w:tr w:rsidR="0004652A" w14:paraId="3B394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85F321E" w14:textId="77777777" w:rsidR="0004652A" w:rsidRDefault="00000000">
            <w:r>
              <w:rPr>
                <w:sz w:val="20"/>
                <w:szCs w:val="20"/>
              </w:rPr>
              <w:t>GC Repo (sovereign bonds)</w:t>
            </w:r>
          </w:p>
        </w:tc>
        <w:tc>
          <w:tcPr>
            <w:tcW w:w="22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7126153" w14:textId="77777777" w:rsidR="0004652A" w:rsidRDefault="00000000">
            <w:pPr>
              <w:jc w:val="center"/>
            </w:pPr>
            <w:r>
              <w:rPr>
                <w:sz w:val="20"/>
                <w:szCs w:val="20"/>
              </w:rPr>
              <w:t>OIS + 5–15 bps</w:t>
            </w:r>
          </w:p>
        </w:tc>
        <w:tc>
          <w:tcPr>
            <w:tcW w:w="42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72C5803" w14:textId="77777777" w:rsidR="0004652A" w:rsidRDefault="00000000">
            <w:r>
              <w:rPr>
                <w:sz w:val="20"/>
                <w:szCs w:val="20"/>
              </w:rPr>
              <w:t>Cheapest form of secured funding. Used for vanilla bond inventory. Feeds the lower bound of FVA curves.</w:t>
            </w:r>
          </w:p>
        </w:tc>
      </w:tr>
      <w:tr w:rsidR="0004652A" w14:paraId="10E597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E80B6DC" w14:textId="77777777" w:rsidR="0004652A" w:rsidRDefault="00000000">
            <w:r>
              <w:rPr>
                <w:sz w:val="20"/>
                <w:szCs w:val="20"/>
              </w:rPr>
              <w:t>Unsecured interbank (CD/CP)</w:t>
            </w:r>
          </w:p>
        </w:tc>
        <w:tc>
          <w:tcPr>
            <w:tcW w:w="22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F3DF6D" w14:textId="77777777" w:rsidR="0004652A" w:rsidRDefault="00000000">
            <w:pPr>
              <w:jc w:val="center"/>
            </w:pPr>
            <w:r>
              <w:rPr>
                <w:sz w:val="20"/>
                <w:szCs w:val="20"/>
              </w:rPr>
              <w:t>OIS + 30–80 bps</w:t>
            </w:r>
          </w:p>
        </w:tc>
        <w:tc>
          <w:tcPr>
            <w:tcW w:w="42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8CF39B5" w14:textId="77777777" w:rsidR="0004652A" w:rsidRDefault="00000000">
            <w:r>
              <w:rPr>
                <w:sz w:val="20"/>
                <w:szCs w:val="20"/>
              </w:rPr>
              <w:t>Funding for uncollateralised derivative exposures. Primary driver of FVA on uncollateralised trades.</w:t>
            </w:r>
          </w:p>
        </w:tc>
      </w:tr>
      <w:tr w:rsidR="0004652A" w14:paraId="55174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2FDF634" w14:textId="77777777" w:rsidR="0004652A" w:rsidRDefault="00000000">
            <w:r>
              <w:rPr>
                <w:sz w:val="20"/>
                <w:szCs w:val="20"/>
              </w:rPr>
              <w:t>Dealer's own bonds (TLAC/bail-in)</w:t>
            </w:r>
          </w:p>
        </w:tc>
        <w:tc>
          <w:tcPr>
            <w:tcW w:w="22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3DB1B74" w14:textId="77777777" w:rsidR="0004652A" w:rsidRDefault="00000000">
            <w:pPr>
              <w:jc w:val="center"/>
            </w:pPr>
            <w:r>
              <w:rPr>
                <w:sz w:val="20"/>
                <w:szCs w:val="20"/>
              </w:rPr>
              <w:t>OIS + 60–150 bps</w:t>
            </w:r>
          </w:p>
        </w:tc>
        <w:tc>
          <w:tcPr>
            <w:tcW w:w="42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7B926EE" w14:textId="77777777" w:rsidR="0004652A" w:rsidRDefault="00000000">
            <w:r>
              <w:rPr>
                <w:sz w:val="20"/>
                <w:szCs w:val="20"/>
              </w:rPr>
              <w:t>Long-term structural funding. Used in FVA for long-dated uncollateralised exposures.</w:t>
            </w:r>
          </w:p>
        </w:tc>
      </w:tr>
    </w:tbl>
    <w:p w14:paraId="7816C42A" w14:textId="77777777" w:rsidR="0004652A" w:rsidRDefault="0004652A">
      <w:pPr>
        <w:spacing w:before="80"/>
      </w:pPr>
    </w:p>
    <w:p w14:paraId="1C706623" w14:textId="77777777" w:rsidR="0004652A" w:rsidRDefault="00000000">
      <w:pPr>
        <w:spacing w:before="80" w:after="80"/>
        <w:jc w:val="both"/>
      </w:pPr>
      <w:r>
        <w:t>The XVA desk combines these funding curves with the EPE/ENE profile of the uncollateralised portfolio to produce the FVA charge. Crucially, the funding spread (sᵒ) used in Module 4's FVA calculation (80 bps) represents the dealer's blended unsecured funding cost above OIS — derived from this funding curve framework.</w:t>
      </w:r>
    </w:p>
    <w:p w14:paraId="1F0B0F54" w14:textId="77777777" w:rsidR="0004652A" w:rsidRDefault="0004652A">
      <w:pPr>
        <w:spacing w:before="120"/>
      </w:pPr>
    </w:p>
    <w:p w14:paraId="0657CF5A" w14:textId="77777777" w:rsidR="0004652A" w:rsidRDefault="00000000">
      <w:pPr>
        <w:pStyle w:val="Heading2"/>
      </w:pPr>
      <w:bookmarkStart w:id="63" w:name="_Toc228131672"/>
      <w:r>
        <w:t>8.7  Regulatory Framework for Repo and Securities Lending</w:t>
      </w:r>
      <w:bookmarkEnd w:id="63"/>
    </w:p>
    <w:p w14:paraId="71BA6E42" w14:textId="77777777" w:rsidR="0004652A" w:rsidRDefault="00000000">
      <w:pPr>
        <w:spacing w:before="80" w:after="80"/>
        <w:jc w:val="both"/>
      </w:pPr>
      <w:r>
        <w:t>The repo and securities lending markets are subject to a range of regulatory frameworks designed to improve transparency, constrain procyclicality, and reduce systemic risk:</w:t>
      </w:r>
    </w:p>
    <w:p w14:paraId="1824CD85"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000"/>
        <w:gridCol w:w="1600"/>
        <w:gridCol w:w="5760"/>
      </w:tblGrid>
      <w:tr w:rsidR="0004652A" w14:paraId="7D5D6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ED1E63" w14:textId="77777777" w:rsidR="0004652A" w:rsidRDefault="00000000">
            <w:pPr>
              <w:jc w:val="center"/>
            </w:pPr>
            <w:r>
              <w:rPr>
                <w:b/>
                <w:bCs/>
                <w:color w:val="FFFFFF"/>
                <w:sz w:val="20"/>
                <w:szCs w:val="20"/>
              </w:rPr>
              <w:t>Regulation</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B3A935" w14:textId="77777777" w:rsidR="0004652A" w:rsidRDefault="00000000">
            <w:pPr>
              <w:jc w:val="center"/>
            </w:pPr>
            <w:r>
              <w:rPr>
                <w:b/>
                <w:bCs/>
                <w:color w:val="FFFFFF"/>
                <w:sz w:val="20"/>
                <w:szCs w:val="20"/>
              </w:rPr>
              <w:t>Jurisdiction</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6F5003" w14:textId="77777777" w:rsidR="0004652A" w:rsidRDefault="00000000">
            <w:pPr>
              <w:jc w:val="center"/>
            </w:pPr>
            <w:r>
              <w:rPr>
                <w:b/>
                <w:bCs/>
                <w:color w:val="FFFFFF"/>
                <w:sz w:val="20"/>
                <w:szCs w:val="20"/>
              </w:rPr>
              <w:t>Key Requirements</w:t>
            </w:r>
          </w:p>
        </w:tc>
      </w:tr>
      <w:tr w:rsidR="0004652A" w14:paraId="105EF2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2B73D25" w14:textId="77777777" w:rsidR="0004652A" w:rsidRDefault="00000000">
            <w:r>
              <w:rPr>
                <w:sz w:val="20"/>
                <w:szCs w:val="20"/>
              </w:rPr>
              <w:t>SFTR (Securities Financing Transactions Regulation)</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B16286" w14:textId="77777777" w:rsidR="0004652A" w:rsidRDefault="00000000">
            <w:pPr>
              <w:jc w:val="center"/>
            </w:pPr>
            <w:r>
              <w:rPr>
                <w:sz w:val="20"/>
                <w:szCs w:val="20"/>
              </w:rPr>
              <w:t>EU / UK</w:t>
            </w:r>
          </w:p>
        </w:tc>
        <w:tc>
          <w:tcPr>
            <w:tcW w:w="5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21D7D5C" w14:textId="77777777" w:rsidR="0004652A" w:rsidRDefault="00000000">
            <w:r>
              <w:rPr>
                <w:sz w:val="20"/>
                <w:szCs w:val="20"/>
              </w:rPr>
              <w:t>Daily reporting of all SFTs (repo, reverse repo, securities lending, margin lending) to a trade repository. Over 150 fields per transaction. Designed to make the rehypothecation chain transparent to regulators.</w:t>
            </w:r>
          </w:p>
        </w:tc>
      </w:tr>
      <w:tr w:rsidR="0004652A" w14:paraId="31B859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580C4E4" w14:textId="77777777" w:rsidR="0004652A" w:rsidRDefault="00000000">
            <w:r>
              <w:rPr>
                <w:sz w:val="20"/>
                <w:szCs w:val="20"/>
              </w:rPr>
              <w:lastRenderedPageBreak/>
              <w:t>Rule 10c-3 (SEC)</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80E1C6B" w14:textId="77777777" w:rsidR="0004652A" w:rsidRDefault="00000000">
            <w:pPr>
              <w:jc w:val="center"/>
            </w:pPr>
            <w:r>
              <w:rPr>
                <w:sz w:val="20"/>
                <w:szCs w:val="20"/>
              </w:rPr>
              <w:t>US</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0651A8D" w14:textId="77777777" w:rsidR="0004652A" w:rsidRDefault="00000000">
            <w:r>
              <w:rPr>
                <w:sz w:val="20"/>
                <w:szCs w:val="20"/>
              </w:rPr>
              <w:t>Regulates securities lending by broker-dealers. Requires segregation of customer fully paid securities; limits rehypothecation to 140% of customer debit balances.</w:t>
            </w:r>
          </w:p>
        </w:tc>
      </w:tr>
      <w:tr w:rsidR="0004652A" w14:paraId="468986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848D280" w14:textId="77777777" w:rsidR="0004652A" w:rsidRDefault="00000000">
            <w:r>
              <w:rPr>
                <w:sz w:val="20"/>
                <w:szCs w:val="20"/>
              </w:rPr>
              <w:t>BCBS-IOSCO Haircut Standards</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CC03531" w14:textId="77777777" w:rsidR="0004652A" w:rsidRDefault="00000000">
            <w:pPr>
              <w:jc w:val="center"/>
            </w:pPr>
            <w:r>
              <w:rPr>
                <w:sz w:val="20"/>
                <w:szCs w:val="20"/>
              </w:rPr>
              <w:t>Global</w:t>
            </w:r>
          </w:p>
        </w:tc>
        <w:tc>
          <w:tcPr>
            <w:tcW w:w="5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4C57796" w14:textId="77777777" w:rsidR="0004652A" w:rsidRDefault="00000000">
            <w:r>
              <w:rPr>
                <w:sz w:val="20"/>
                <w:szCs w:val="20"/>
              </w:rPr>
              <w:t>Minimum haircut floors for non-centrally cleared SFTs. Designed to prevent haircut compression in good times and reduce procyclicality.</w:t>
            </w:r>
          </w:p>
        </w:tc>
      </w:tr>
      <w:tr w:rsidR="0004652A" w14:paraId="28CD9E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504D04C" w14:textId="77777777" w:rsidR="0004652A" w:rsidRDefault="00000000">
            <w:r>
              <w:rPr>
                <w:sz w:val="20"/>
                <w:szCs w:val="20"/>
              </w:rPr>
              <w:t>MAS Notice SFA 04-N02</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4B7B014" w14:textId="77777777" w:rsidR="0004652A" w:rsidRDefault="00000000">
            <w:pPr>
              <w:jc w:val="center"/>
            </w:pPr>
            <w:r>
              <w:rPr>
                <w:sz w:val="20"/>
                <w:szCs w:val="20"/>
              </w:rPr>
              <w:t>Singapore</w:t>
            </w:r>
          </w:p>
        </w:tc>
        <w:tc>
          <w:tcPr>
            <w:tcW w:w="57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EAB925" w14:textId="77777777" w:rsidR="0004652A" w:rsidRDefault="00000000">
            <w:r>
              <w:rPr>
                <w:sz w:val="20"/>
                <w:szCs w:val="20"/>
              </w:rPr>
              <w:t>MAS framework for securities financing transactions by capital markets intermediaries. Incorporates BCBS-IOSCO standards; imposes local reporting and conduct requirements.</w:t>
            </w:r>
          </w:p>
        </w:tc>
      </w:tr>
      <w:tr w:rsidR="0004652A" w14:paraId="21AF2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34475C" w14:textId="77777777" w:rsidR="0004652A" w:rsidRDefault="00000000">
            <w:r>
              <w:rPr>
                <w:sz w:val="20"/>
                <w:szCs w:val="20"/>
              </w:rPr>
              <w:t>HKMA SPM CR-G-12</w:t>
            </w:r>
          </w:p>
        </w:tc>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7A285F0" w14:textId="77777777" w:rsidR="0004652A" w:rsidRDefault="00000000">
            <w:pPr>
              <w:jc w:val="center"/>
            </w:pPr>
            <w:r>
              <w:rPr>
                <w:sz w:val="20"/>
                <w:szCs w:val="20"/>
              </w:rPr>
              <w:t>Hong Kong</w:t>
            </w:r>
          </w:p>
        </w:tc>
        <w:tc>
          <w:tcPr>
            <w:tcW w:w="57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0F92938" w14:textId="77777777" w:rsidR="0004652A" w:rsidRDefault="00000000">
            <w:r>
              <w:rPr>
                <w:sz w:val="20"/>
                <w:szCs w:val="20"/>
              </w:rPr>
              <w:t>HKMA guidance on counterparty risk management for SFTs. Requires authorised institutions to maintain adequate haircut and concentration limits.</w:t>
            </w:r>
          </w:p>
        </w:tc>
      </w:tr>
    </w:tbl>
    <w:p w14:paraId="58302506" w14:textId="77777777" w:rsidR="0004652A" w:rsidRDefault="0004652A">
      <w:pPr>
        <w:spacing w:before="160"/>
      </w:pPr>
    </w:p>
    <w:p w14:paraId="4A0930F2" w14:textId="77777777" w:rsidR="0004652A" w:rsidRDefault="00000000">
      <w:r>
        <w:br w:type="page"/>
      </w:r>
    </w:p>
    <w:p w14:paraId="5DA77E9E" w14:textId="77777777" w:rsidR="0004652A" w:rsidRDefault="00000000">
      <w:pPr>
        <w:pStyle w:val="Heading1"/>
      </w:pPr>
      <w:bookmarkStart w:id="64" w:name="_Toc228131673"/>
      <w:r>
        <w:lastRenderedPageBreak/>
        <w:t>Section 9 — Regulatory &amp; Operational Dimensions</w:t>
      </w:r>
      <w:bookmarkEnd w:id="64"/>
    </w:p>
    <w:p w14:paraId="7DB150E8" w14:textId="77777777" w:rsidR="0004652A" w:rsidRDefault="0004652A">
      <w:pPr>
        <w:pBdr>
          <w:bottom w:val="single" w:sz="6" w:space="1" w:color="028090"/>
        </w:pBdr>
        <w:spacing w:before="120" w:after="120"/>
      </w:pPr>
    </w:p>
    <w:p w14:paraId="1679C87F" w14:textId="77777777" w:rsidR="0004652A" w:rsidRDefault="0004652A">
      <w:pPr>
        <w:spacing w:before="80"/>
      </w:pPr>
    </w:p>
    <w:p w14:paraId="590D7F7C" w14:textId="77777777" w:rsidR="0004652A" w:rsidRDefault="00000000">
      <w:pPr>
        <w:pStyle w:val="Heading2"/>
      </w:pPr>
      <w:bookmarkStart w:id="65" w:name="_Toc228131674"/>
      <w:r>
        <w:t>9.1  EMIR — European Market Infrastructure Regulation</w:t>
      </w:r>
      <w:bookmarkEnd w:id="65"/>
    </w:p>
    <w:p w14:paraId="75E09F98" w14:textId="77777777" w:rsidR="0004652A" w:rsidRDefault="00000000">
      <w:pPr>
        <w:spacing w:before="80" w:after="80"/>
        <w:jc w:val="both"/>
      </w:pPr>
      <w:r>
        <w:t>EMIR (EU Regulation 648/2012) is the principal EU framework governing OTC derivatives. Its three pillars mirror the G20 Pittsburgh commitments:</w:t>
      </w:r>
    </w:p>
    <w:p w14:paraId="45578B78" w14:textId="77777777" w:rsidR="0004652A" w:rsidRDefault="0004652A">
      <w:pPr>
        <w:spacing w:before="60"/>
      </w:pPr>
    </w:p>
    <w:p w14:paraId="4A8E612C" w14:textId="77777777" w:rsidR="0004652A" w:rsidRDefault="00000000">
      <w:pPr>
        <w:pStyle w:val="ListParagraph"/>
        <w:numPr>
          <w:ilvl w:val="0"/>
          <w:numId w:val="2"/>
        </w:numPr>
        <w:spacing w:before="60" w:after="60"/>
      </w:pPr>
      <w:r>
        <w:t>Clearing obligation: standardised OTC derivatives (primarily vanilla IRS and CDS index) must be cleared through an authorised CCP. This eliminates bilateral CCR for covered products and concentrates it in CCPs.</w:t>
      </w:r>
    </w:p>
    <w:p w14:paraId="5332A203" w14:textId="77777777" w:rsidR="0004652A" w:rsidRDefault="00000000">
      <w:pPr>
        <w:pStyle w:val="ListParagraph"/>
        <w:numPr>
          <w:ilvl w:val="0"/>
          <w:numId w:val="2"/>
        </w:numPr>
        <w:spacing w:before="60" w:after="60"/>
      </w:pPr>
      <w:r>
        <w:t>Bilateral margining: non-cleared OTC derivatives between financial counterparties above the clearing threshold must exchange VM and IM under UMR. EMIR incorporates the BCBS-IOSCO margin standards.</w:t>
      </w:r>
    </w:p>
    <w:p w14:paraId="587E1C70" w14:textId="77777777" w:rsidR="0004652A" w:rsidRDefault="00000000">
      <w:pPr>
        <w:pStyle w:val="ListParagraph"/>
        <w:numPr>
          <w:ilvl w:val="0"/>
          <w:numId w:val="2"/>
        </w:numPr>
        <w:spacing w:before="60" w:after="60"/>
      </w:pPr>
      <w:r>
        <w:t>Trade reporting: all OTC derivative trades must be reported to an authorised trade repository within one business day. EMIR Refit (2024) updated the reporting framework to align with CPMI-IOSCO critical data element standards.</w:t>
      </w:r>
    </w:p>
    <w:p w14:paraId="7915DC3C" w14:textId="77777777" w:rsidR="0004652A" w:rsidRDefault="0004652A">
      <w:pPr>
        <w:spacing w:before="80"/>
      </w:pPr>
    </w:p>
    <w:p w14:paraId="56AEEB0C" w14:textId="77777777" w:rsidR="0004652A" w:rsidRDefault="00000000">
      <w:pPr>
        <w:pStyle w:val="Heading2"/>
      </w:pPr>
      <w:bookmarkStart w:id="66" w:name="_Toc228131675"/>
      <w:r>
        <w:t>9.2  Dodd-Frank — US Parallel Framework</w:t>
      </w:r>
      <w:bookmarkEnd w:id="66"/>
    </w:p>
    <w:p w14:paraId="0F7C11F1" w14:textId="77777777" w:rsidR="0004652A" w:rsidRDefault="00000000">
      <w:pPr>
        <w:spacing w:before="80" w:after="80"/>
        <w:jc w:val="both"/>
      </w:pPr>
      <w:r>
        <w:t>The Dodd-Frank Wall Street Reform and Consumer Protection Act (2010) established the US framework for OTC derivative regulation, implemented principally by the CFTC for swaps and the SEC for security-based swaps:</w:t>
      </w:r>
    </w:p>
    <w:p w14:paraId="25C8F137" w14:textId="77777777" w:rsidR="0004652A" w:rsidRDefault="0004652A">
      <w:pPr>
        <w:spacing w:before="60"/>
      </w:pPr>
    </w:p>
    <w:p w14:paraId="28DA9A55" w14:textId="77777777" w:rsidR="0004652A" w:rsidRDefault="00000000">
      <w:pPr>
        <w:pStyle w:val="ListParagraph"/>
        <w:numPr>
          <w:ilvl w:val="0"/>
          <w:numId w:val="2"/>
        </w:numPr>
        <w:spacing w:before="60" w:after="60"/>
      </w:pPr>
      <w:r>
        <w:t>SEF trading: standardised swaps must be executed on a Swap Execution Facility (SEF), promoting pre-trade price transparency.</w:t>
      </w:r>
    </w:p>
    <w:p w14:paraId="655F7011" w14:textId="77777777" w:rsidR="0004652A" w:rsidRDefault="00000000">
      <w:pPr>
        <w:pStyle w:val="ListParagraph"/>
        <w:numPr>
          <w:ilvl w:val="0"/>
          <w:numId w:val="2"/>
        </w:numPr>
        <w:spacing w:before="60" w:after="60"/>
      </w:pPr>
      <w:r>
        <w:t>CCP clearing: standardised swaps must be cleared through a CFTC-registered DCO (Derivatives Clearing Organisation).</w:t>
      </w:r>
    </w:p>
    <w:p w14:paraId="195B1711" w14:textId="77777777" w:rsidR="0004652A" w:rsidRDefault="00000000">
      <w:pPr>
        <w:pStyle w:val="ListParagraph"/>
        <w:numPr>
          <w:ilvl w:val="0"/>
          <w:numId w:val="2"/>
        </w:numPr>
        <w:spacing w:before="60" w:after="60"/>
      </w:pPr>
      <w:r>
        <w:t>Margin rules: CFTC and prudential regulator margin rules implement the BCBS-IOSCO bilateral IM requirements for covered swap entities.</w:t>
      </w:r>
    </w:p>
    <w:p w14:paraId="5690A750" w14:textId="77777777" w:rsidR="0004652A" w:rsidRDefault="00000000">
      <w:pPr>
        <w:pStyle w:val="ListParagraph"/>
        <w:numPr>
          <w:ilvl w:val="0"/>
          <w:numId w:val="2"/>
        </w:numPr>
        <w:spacing w:before="60" w:after="60"/>
      </w:pPr>
      <w:r>
        <w:t>Swap data reporting: all swaps must be reported to a CFTC-registered Swap Data Repository (SDR).</w:t>
      </w:r>
    </w:p>
    <w:p w14:paraId="066F947D" w14:textId="77777777" w:rsidR="0004652A" w:rsidRDefault="0004652A">
      <w:pPr>
        <w:spacing w:before="120"/>
      </w:pPr>
    </w:p>
    <w:p w14:paraId="01A02C85" w14:textId="77777777" w:rsidR="0004652A" w:rsidRDefault="00000000">
      <w:pPr>
        <w:pStyle w:val="Heading2"/>
      </w:pPr>
      <w:bookmarkStart w:id="67" w:name="_Toc228131676"/>
      <w:r>
        <w:t>9.3  APAC Implementation — MAS and HKMA</w:t>
      </w:r>
      <w:bookmarkEnd w:id="67"/>
    </w:p>
    <w:p w14:paraId="78D8AB20" w14:textId="77777777" w:rsidR="0004652A" w:rsidRDefault="00000000">
      <w:pPr>
        <w:spacing w:before="80" w:after="80"/>
        <w:jc w:val="both"/>
      </w:pPr>
      <w:r>
        <w:t>Both MAS (Singapore) and HKMA (Hong Kong) have implemented the G20 OTC derivative reforms, with local adaptations:</w:t>
      </w:r>
    </w:p>
    <w:p w14:paraId="2B29EF67"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000"/>
        <w:gridCol w:w="3680"/>
        <w:gridCol w:w="3680"/>
      </w:tblGrid>
      <w:tr w:rsidR="0004652A" w14:paraId="6FC3F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D1FC57" w14:textId="77777777" w:rsidR="0004652A" w:rsidRDefault="00000000">
            <w:pPr>
              <w:jc w:val="center"/>
            </w:pPr>
            <w:r>
              <w:rPr>
                <w:b/>
                <w:bCs/>
                <w:color w:val="FFFFFF"/>
                <w:sz w:val="20"/>
                <w:szCs w:val="20"/>
              </w:rPr>
              <w:lastRenderedPageBreak/>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CCA58BE" w14:textId="77777777" w:rsidR="0004652A" w:rsidRDefault="00000000">
            <w:pPr>
              <w:jc w:val="center"/>
            </w:pPr>
            <w:r>
              <w:rPr>
                <w:b/>
                <w:bCs/>
                <w:color w:val="FFFFFF"/>
                <w:sz w:val="20"/>
                <w:szCs w:val="20"/>
              </w:rPr>
              <w:t>MAS (Singapore)</w:t>
            </w:r>
          </w:p>
        </w:tc>
        <w:tc>
          <w:tcPr>
            <w:tcW w:w="3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BB4147" w14:textId="77777777" w:rsidR="0004652A" w:rsidRDefault="00000000">
            <w:pPr>
              <w:jc w:val="center"/>
            </w:pPr>
            <w:r>
              <w:rPr>
                <w:b/>
                <w:bCs/>
                <w:color w:val="FFFFFF"/>
                <w:sz w:val="20"/>
                <w:szCs w:val="20"/>
              </w:rPr>
              <w:t>HKMA (Hong Kong)</w:t>
            </w:r>
          </w:p>
        </w:tc>
      </w:tr>
      <w:tr w:rsidR="0004652A" w14:paraId="29B161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C4803AF" w14:textId="77777777" w:rsidR="0004652A" w:rsidRDefault="00000000">
            <w:r>
              <w:rPr>
                <w:b/>
                <w:bCs/>
                <w:sz w:val="20"/>
                <w:szCs w:val="20"/>
              </w:rPr>
              <w:t>Clearing obligation</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1C23C66" w14:textId="77777777" w:rsidR="0004652A" w:rsidRDefault="00000000">
            <w:r>
              <w:rPr>
                <w:sz w:val="20"/>
                <w:szCs w:val="20"/>
              </w:rPr>
              <w:t>MAS Notice SFA 04-N14: mandatory clearing for SGD IRS and selected USD/EUR IRS above threshold. ASX Clear (Futures) and LCH Ltd recognised.</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393D725" w14:textId="77777777" w:rsidR="0004652A" w:rsidRDefault="00000000">
            <w:r>
              <w:rPr>
                <w:sz w:val="20"/>
                <w:szCs w:val="20"/>
              </w:rPr>
              <w:t>HKMA mandatory clearing: HKD IRS from 2016; USD/EUR IRS for AIs above threshold. HKEX OTC Clear recognised.</w:t>
            </w:r>
          </w:p>
        </w:tc>
      </w:tr>
      <w:tr w:rsidR="0004652A" w14:paraId="73499F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5042757" w14:textId="77777777" w:rsidR="0004652A" w:rsidRDefault="00000000">
            <w:r>
              <w:rPr>
                <w:b/>
                <w:bCs/>
                <w:sz w:val="20"/>
                <w:szCs w:val="20"/>
              </w:rPr>
              <w:t>Margin rules</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B65F617" w14:textId="77777777" w:rsidR="0004652A" w:rsidRDefault="00000000">
            <w:r>
              <w:rPr>
                <w:sz w:val="20"/>
                <w:szCs w:val="20"/>
              </w:rPr>
              <w:t>MAS Notice SFA 04-N12: VM and IM requirements aligned with BCBS-IOSCO phases. Phase 5 and 6 extended timelines applied.</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9EC71D" w14:textId="77777777" w:rsidR="0004652A" w:rsidRDefault="00000000">
            <w:r>
              <w:rPr>
                <w:sz w:val="20"/>
                <w:szCs w:val="20"/>
              </w:rPr>
              <w:t>HKMA Supervisory Policy Manual CR-G-14: bilateral margin requirements for AIs. Phase-in aligned with international timeline.</w:t>
            </w:r>
          </w:p>
        </w:tc>
      </w:tr>
      <w:tr w:rsidR="0004652A" w14:paraId="0AAF89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A88C1ED" w14:textId="77777777" w:rsidR="0004652A" w:rsidRDefault="00000000">
            <w:r>
              <w:rPr>
                <w:b/>
                <w:bCs/>
                <w:sz w:val="20"/>
                <w:szCs w:val="20"/>
              </w:rPr>
              <w:t>Trade reporting</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B848CEC" w14:textId="77777777" w:rsidR="0004652A" w:rsidRDefault="00000000">
            <w:r>
              <w:rPr>
                <w:sz w:val="20"/>
                <w:szCs w:val="20"/>
              </w:rPr>
              <w:t>MAS Notice SFA 04-N05: reporting to MAS-designated trade repository (DTCC and others). Real-time for electronically executed trades.</w:t>
            </w:r>
          </w:p>
        </w:tc>
        <w:tc>
          <w:tcPr>
            <w:tcW w:w="36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71EFBD2" w14:textId="77777777" w:rsidR="0004652A" w:rsidRDefault="00000000">
            <w:r>
              <w:rPr>
                <w:sz w:val="20"/>
                <w:szCs w:val="20"/>
              </w:rPr>
              <w:t>HKMA OTC Derivatives Trade Repository (HKMA-TR) under Hong Kong Trade Repository (HKTR) framework.</w:t>
            </w:r>
          </w:p>
        </w:tc>
      </w:tr>
      <w:tr w:rsidR="0004652A" w14:paraId="01CA2E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2A52F5" w14:textId="77777777" w:rsidR="0004652A" w:rsidRDefault="00000000">
            <w:r>
              <w:rPr>
                <w:b/>
                <w:bCs/>
                <w:sz w:val="20"/>
                <w:szCs w:val="20"/>
              </w:rPr>
              <w:t>Local nuance</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BD2531" w14:textId="77777777" w:rsidR="0004652A" w:rsidRDefault="00000000">
            <w:r>
              <w:rPr>
                <w:sz w:val="20"/>
                <w:szCs w:val="20"/>
              </w:rPr>
              <w:t>SGD notional threshold for clearing obligation differs from global threshold. MAS has been active in defining cross-border equivalence with EMIR and CFTC.</w:t>
            </w:r>
          </w:p>
        </w:tc>
        <w:tc>
          <w:tcPr>
            <w:tcW w:w="3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048BEBE" w14:textId="77777777" w:rsidR="0004652A" w:rsidRDefault="00000000">
            <w:r>
              <w:rPr>
                <w:sz w:val="20"/>
                <w:szCs w:val="20"/>
              </w:rPr>
              <w:t>HKEX OTC Clear capacity limited vs LCH — many HK entities clear USD IRS at LCH. Cross-border recognition of LCH clearing confirmed by HKMA.</w:t>
            </w:r>
          </w:p>
        </w:tc>
      </w:tr>
    </w:tbl>
    <w:p w14:paraId="44763062" w14:textId="77777777" w:rsidR="0004652A" w:rsidRDefault="0004652A">
      <w:pPr>
        <w:spacing w:before="120"/>
      </w:pPr>
    </w:p>
    <w:p w14:paraId="052AE700" w14:textId="77777777" w:rsidR="0004652A" w:rsidRDefault="00000000">
      <w:pPr>
        <w:pStyle w:val="Heading2"/>
      </w:pPr>
      <w:bookmarkStart w:id="68" w:name="_Toc228131677"/>
      <w:r>
        <w:t>9.4  Collateral Operations Infrastructure</w:t>
      </w:r>
      <w:bookmarkEnd w:id="68"/>
    </w:p>
    <w:p w14:paraId="59ECA285" w14:textId="77777777" w:rsidR="0004652A" w:rsidRDefault="00000000">
      <w:pPr>
        <w:spacing w:before="80" w:after="80"/>
        <w:jc w:val="both"/>
      </w:pPr>
      <w:r>
        <w:t>The operational plumbing that supports the collateral framework is complex and interconnected:</w:t>
      </w:r>
    </w:p>
    <w:p w14:paraId="6623B902"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2400"/>
        <w:gridCol w:w="2880"/>
        <w:gridCol w:w="4080"/>
      </w:tblGrid>
      <w:tr w:rsidR="0004652A" w14:paraId="584A6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7D62C3" w14:textId="77777777" w:rsidR="0004652A" w:rsidRDefault="00000000">
            <w:pPr>
              <w:jc w:val="center"/>
            </w:pPr>
            <w:r>
              <w:rPr>
                <w:b/>
                <w:bCs/>
                <w:color w:val="FFFFFF"/>
                <w:sz w:val="20"/>
                <w:szCs w:val="20"/>
              </w:rPr>
              <w:t>Infrastructure 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428EEE" w14:textId="77777777" w:rsidR="0004652A" w:rsidRDefault="00000000">
            <w:pPr>
              <w:jc w:val="center"/>
            </w:pPr>
            <w:r>
              <w:rPr>
                <w:b/>
                <w:bCs/>
                <w:color w:val="FFFFFF"/>
                <w:sz w:val="20"/>
                <w:szCs w:val="20"/>
              </w:rPr>
              <w:t>Key Providers</w:t>
            </w:r>
          </w:p>
        </w:tc>
        <w:tc>
          <w:tcPr>
            <w:tcW w:w="40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72343A" w14:textId="77777777" w:rsidR="0004652A" w:rsidRDefault="00000000">
            <w:pPr>
              <w:jc w:val="center"/>
            </w:pPr>
            <w:r>
              <w:rPr>
                <w:b/>
                <w:bCs/>
                <w:color w:val="FFFFFF"/>
                <w:sz w:val="20"/>
                <w:szCs w:val="20"/>
              </w:rPr>
              <w:t>Function</w:t>
            </w:r>
          </w:p>
        </w:tc>
      </w:tr>
      <w:tr w:rsidR="0004652A" w14:paraId="007C1F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8770A5F" w14:textId="77777777" w:rsidR="0004652A" w:rsidRDefault="00000000">
            <w:r>
              <w:rPr>
                <w:b/>
                <w:bCs/>
                <w:sz w:val="20"/>
                <w:szCs w:val="20"/>
              </w:rPr>
              <w:t>Tri-party Repo Agents</w:t>
            </w:r>
          </w:p>
        </w:tc>
        <w:tc>
          <w:tcPr>
            <w:tcW w:w="28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9D5B727" w14:textId="77777777" w:rsidR="0004652A" w:rsidRDefault="00000000">
            <w:r>
              <w:rPr>
                <w:sz w:val="20"/>
                <w:szCs w:val="20"/>
              </w:rPr>
              <w:t xml:space="preserve">Euroclear, </w:t>
            </w:r>
            <w:proofErr w:type="spellStart"/>
            <w:r>
              <w:rPr>
                <w:sz w:val="20"/>
                <w:szCs w:val="20"/>
              </w:rPr>
              <w:t>Clearstream</w:t>
            </w:r>
            <w:proofErr w:type="spellEnd"/>
            <w:r>
              <w:rPr>
                <w:sz w:val="20"/>
                <w:szCs w:val="20"/>
              </w:rPr>
              <w:t>, DTCC (BNY Mellon)</w:t>
            </w:r>
          </w:p>
        </w:tc>
        <w:tc>
          <w:tcPr>
            <w:tcW w:w="40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6E02870" w14:textId="77777777" w:rsidR="0004652A" w:rsidRDefault="00000000">
            <w:r>
              <w:rPr>
                <w:sz w:val="20"/>
                <w:szCs w:val="20"/>
              </w:rPr>
              <w:t>Automate collateral selection, substitution, and settlement. Manage eligibility and haircut schedules. Essential for large-scale repo books.</w:t>
            </w:r>
          </w:p>
        </w:tc>
      </w:tr>
      <w:tr w:rsidR="0004652A" w14:paraId="56AA62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4C9221D" w14:textId="77777777" w:rsidR="0004652A" w:rsidRDefault="00000000">
            <w:r>
              <w:rPr>
                <w:b/>
                <w:bCs/>
                <w:sz w:val="20"/>
                <w:szCs w:val="20"/>
              </w:rPr>
              <w:t>IM Custodians</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32E9046" w14:textId="77777777" w:rsidR="0004652A" w:rsidRDefault="00000000">
            <w:r>
              <w:rPr>
                <w:sz w:val="20"/>
                <w:szCs w:val="20"/>
              </w:rPr>
              <w:t xml:space="preserve">BNY Mellon, State Street, Euroclear, </w:t>
            </w:r>
            <w:proofErr w:type="spellStart"/>
            <w:r>
              <w:rPr>
                <w:sz w:val="20"/>
                <w:szCs w:val="20"/>
              </w:rPr>
              <w:t>Clearstream</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C619553" w14:textId="77777777" w:rsidR="0004652A" w:rsidRDefault="00000000">
            <w:r>
              <w:rPr>
                <w:sz w:val="20"/>
                <w:szCs w:val="20"/>
              </w:rPr>
              <w:t>Hold UMR-segregated IM in bankruptcy-remote accounts. Confirm eligibility. Facilitate substitutions.</w:t>
            </w:r>
          </w:p>
        </w:tc>
      </w:tr>
      <w:tr w:rsidR="0004652A" w14:paraId="067B0B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199C246" w14:textId="77777777" w:rsidR="0004652A" w:rsidRDefault="00000000">
            <w:r>
              <w:rPr>
                <w:b/>
                <w:bCs/>
                <w:sz w:val="20"/>
                <w:szCs w:val="20"/>
              </w:rPr>
              <w:t>Collateral Management Systems</w:t>
            </w:r>
          </w:p>
        </w:tc>
        <w:tc>
          <w:tcPr>
            <w:tcW w:w="28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2BECF52" w14:textId="77777777" w:rsidR="0004652A" w:rsidRDefault="00000000">
            <w:r>
              <w:rPr>
                <w:sz w:val="20"/>
                <w:szCs w:val="20"/>
              </w:rPr>
              <w:t xml:space="preserve">Finastra Fusion, </w:t>
            </w:r>
            <w:proofErr w:type="spellStart"/>
            <w:r>
              <w:rPr>
                <w:sz w:val="20"/>
                <w:szCs w:val="20"/>
              </w:rPr>
              <w:t>Vermeg</w:t>
            </w:r>
            <w:proofErr w:type="spellEnd"/>
            <w:r>
              <w:rPr>
                <w:sz w:val="20"/>
                <w:szCs w:val="20"/>
              </w:rPr>
              <w:t xml:space="preserve"> </w:t>
            </w:r>
            <w:proofErr w:type="spellStart"/>
            <w:r>
              <w:rPr>
                <w:sz w:val="20"/>
                <w:szCs w:val="20"/>
              </w:rPr>
              <w:t>Colline</w:t>
            </w:r>
            <w:proofErr w:type="spellEnd"/>
            <w:r>
              <w:rPr>
                <w:sz w:val="20"/>
                <w:szCs w:val="20"/>
              </w:rPr>
              <w:t xml:space="preserve">, </w:t>
            </w:r>
            <w:proofErr w:type="spellStart"/>
            <w:r>
              <w:rPr>
                <w:sz w:val="20"/>
                <w:szCs w:val="20"/>
              </w:rPr>
              <w:t>CloudMargin</w:t>
            </w:r>
            <w:proofErr w:type="spellEnd"/>
            <w:r>
              <w:rPr>
                <w:sz w:val="20"/>
                <w:szCs w:val="20"/>
              </w:rPr>
              <w:t xml:space="preserve">, </w:t>
            </w:r>
            <w:proofErr w:type="spellStart"/>
            <w:r>
              <w:rPr>
                <w:sz w:val="20"/>
                <w:szCs w:val="20"/>
              </w:rPr>
              <w:t>Acadiasoft</w:t>
            </w:r>
            <w:proofErr w:type="spellEnd"/>
            <w:r>
              <w:rPr>
                <w:sz w:val="20"/>
                <w:szCs w:val="20"/>
              </w:rPr>
              <w:t xml:space="preserve"> </w:t>
            </w:r>
            <w:proofErr w:type="spellStart"/>
            <w:r>
              <w:rPr>
                <w:sz w:val="20"/>
                <w:szCs w:val="20"/>
              </w:rPr>
              <w:t>MarginSphere</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D24591A" w14:textId="77777777" w:rsidR="0004652A" w:rsidRDefault="00000000">
            <w:r>
              <w:rPr>
                <w:sz w:val="20"/>
                <w:szCs w:val="20"/>
              </w:rPr>
              <w:t>Automate margin call calculation, dispute management, collateral scheduling, and regulatory reporting. Integration with SIMM calculation engines.</w:t>
            </w:r>
          </w:p>
        </w:tc>
      </w:tr>
      <w:tr w:rsidR="0004652A" w14:paraId="0F3B03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98414AD" w14:textId="77777777" w:rsidR="0004652A" w:rsidRDefault="00000000">
            <w:r>
              <w:rPr>
                <w:b/>
                <w:bCs/>
                <w:sz w:val="20"/>
                <w:szCs w:val="20"/>
              </w:rPr>
              <w:t>SIMM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1B1A0B70" w14:textId="77777777" w:rsidR="0004652A" w:rsidRDefault="00000000">
            <w:proofErr w:type="spellStart"/>
            <w:r>
              <w:rPr>
                <w:sz w:val="20"/>
                <w:szCs w:val="20"/>
              </w:rPr>
              <w:t>AcadiaFX</w:t>
            </w:r>
            <w:proofErr w:type="spellEnd"/>
            <w:r>
              <w:rPr>
                <w:sz w:val="20"/>
                <w:szCs w:val="20"/>
              </w:rPr>
              <w:t xml:space="preserve">, </w:t>
            </w:r>
            <w:proofErr w:type="spellStart"/>
            <w:r>
              <w:rPr>
                <w:sz w:val="20"/>
                <w:szCs w:val="20"/>
              </w:rPr>
              <w:t>OpenGamma</w:t>
            </w:r>
            <w:proofErr w:type="spellEnd"/>
            <w:r>
              <w:rPr>
                <w:sz w:val="20"/>
                <w:szCs w:val="20"/>
              </w:rPr>
              <w:t>, internal models (major dealers)</w:t>
            </w:r>
          </w:p>
        </w:tc>
        <w:tc>
          <w:tcPr>
            <w:tcW w:w="40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1359251" w14:textId="77777777" w:rsidR="0004652A" w:rsidRDefault="00000000">
            <w:r>
              <w:rPr>
                <w:sz w:val="20"/>
                <w:szCs w:val="20"/>
              </w:rPr>
              <w:t xml:space="preserve">Compute SIMM-based IM from trade sensitivities. Bilateral reconciliation via </w:t>
            </w:r>
            <w:proofErr w:type="spellStart"/>
            <w:r>
              <w:rPr>
                <w:sz w:val="20"/>
                <w:szCs w:val="20"/>
              </w:rPr>
              <w:t>AcadiaFX</w:t>
            </w:r>
            <w:proofErr w:type="spellEnd"/>
            <w:r>
              <w:rPr>
                <w:sz w:val="20"/>
                <w:szCs w:val="20"/>
              </w:rPr>
              <w:t xml:space="preserve"> portal to resolve SIMM disputes.</w:t>
            </w:r>
          </w:p>
        </w:tc>
      </w:tr>
      <w:tr w:rsidR="0004652A" w14:paraId="164C94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6141310" w14:textId="77777777" w:rsidR="0004652A" w:rsidRDefault="00000000">
            <w:r>
              <w:rPr>
                <w:b/>
                <w:bCs/>
                <w:sz w:val="20"/>
                <w:szCs w:val="20"/>
              </w:rPr>
              <w:t>Settlement</w:t>
            </w:r>
          </w:p>
        </w:tc>
        <w:tc>
          <w:tcPr>
            <w:tcW w:w="28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B2C4214" w14:textId="77777777" w:rsidR="0004652A" w:rsidRDefault="00000000">
            <w:r>
              <w:rPr>
                <w:sz w:val="20"/>
                <w:szCs w:val="20"/>
              </w:rPr>
              <w:t xml:space="preserve">Euroclear, </w:t>
            </w:r>
            <w:proofErr w:type="spellStart"/>
            <w:r>
              <w:rPr>
                <w:sz w:val="20"/>
                <w:szCs w:val="20"/>
              </w:rPr>
              <w:t>Clearstream</w:t>
            </w:r>
            <w:proofErr w:type="spellEnd"/>
            <w:r>
              <w:rPr>
                <w:sz w:val="20"/>
                <w:szCs w:val="20"/>
              </w:rPr>
              <w:t>, DTCC (DTC/NSCC)</w:t>
            </w:r>
          </w:p>
        </w:tc>
        <w:tc>
          <w:tcPr>
            <w:tcW w:w="408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BEFB701" w14:textId="77777777" w:rsidR="0004652A" w:rsidRDefault="00000000">
            <w:r>
              <w:rPr>
                <w:sz w:val="20"/>
                <w:szCs w:val="20"/>
              </w:rPr>
              <w:t>Settle securities movements associated with collateral posting, repo, and securities lending. T+1 or same-day for cash; T+1 or T+2 for bonds.</w:t>
            </w:r>
          </w:p>
        </w:tc>
      </w:tr>
    </w:tbl>
    <w:p w14:paraId="12FC1F14" w14:textId="77777777" w:rsidR="0004652A" w:rsidRDefault="0004652A">
      <w:pPr>
        <w:spacing w:before="120"/>
      </w:pPr>
    </w:p>
    <w:p w14:paraId="6D40F716" w14:textId="77777777" w:rsidR="0004652A" w:rsidRDefault="00000000">
      <w:pPr>
        <w:pStyle w:val="Heading2"/>
      </w:pPr>
      <w:bookmarkStart w:id="69" w:name="_Toc228131678"/>
      <w:r>
        <w:lastRenderedPageBreak/>
        <w:t>9.5  Legal Risk in Practice — Three Case Studies</w:t>
      </w:r>
      <w:bookmarkEnd w:id="69"/>
    </w:p>
    <w:p w14:paraId="7054095D" w14:textId="77777777" w:rsidR="0004652A" w:rsidRDefault="0004652A">
      <w:pPr>
        <w:spacing w:before="60"/>
      </w:pPr>
    </w:p>
    <w:p w14:paraId="62F83715" w14:textId="77777777" w:rsidR="0004652A" w:rsidRDefault="00000000">
      <w:pPr>
        <w:pStyle w:val="Heading3"/>
      </w:pPr>
      <w:bookmarkStart w:id="70" w:name="_Toc228131679"/>
      <w:r>
        <w:t>Hammersmith &amp; Fulham LBC (1991)</w:t>
      </w:r>
      <w:bookmarkEnd w:id="70"/>
    </w:p>
    <w:p w14:paraId="67661C09" w14:textId="77777777" w:rsidR="0004652A" w:rsidRDefault="00000000">
      <w:pPr>
        <w:spacing w:before="80" w:after="80"/>
        <w:jc w:val="both"/>
      </w:pPr>
      <w:r>
        <w:t>Hammersmith &amp; Fulham London Borough Council entered into a large portfolio of interest rate swaps with numerous UK banks in the late 1980s, speculating on interest rate movements. When rates moved against the Council, the House of Lords ruled in 1991 that local authorities lacked the legal capacity to enter into speculative swap transactions — the contracts were ultra vires and therefore void ab initio. Banks that had relied on netting to manage their exposure found that the netting agreements themselves were void because the underlying contracts were void. Recovery against the Council was severely limited.</w:t>
      </w:r>
    </w:p>
    <w:p w14:paraId="534E6554"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76D4F7F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01921C1D" w14:textId="77777777" w:rsidR="0004652A" w:rsidRDefault="00000000">
            <w:pPr>
              <w:jc w:val="center"/>
            </w:pPr>
            <w:r>
              <w:rPr>
                <w:b/>
                <w:bCs/>
                <w:color w:val="C8953A"/>
                <w:sz w:val="20"/>
                <w:szCs w:val="20"/>
              </w:rPr>
              <w:t>LESSON</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5D4D3AC8" w14:textId="77777777" w:rsidR="0004652A" w:rsidRDefault="00000000">
            <w:pPr>
              <w:jc w:val="both"/>
            </w:pPr>
            <w:r>
              <w:rPr>
                <w:i/>
                <w:iCs/>
                <w:sz w:val="20"/>
                <w:szCs w:val="20"/>
              </w:rPr>
              <w:t>Legal capacity of the counterparty is a prerequisite for ISDA documentation to be effective. Netting opinions confirm enforceability in insolvency — they do not address capacity or authorisation issues. Counterparty legal due diligence remains a separate, essential step.</w:t>
            </w:r>
          </w:p>
        </w:tc>
      </w:tr>
    </w:tbl>
    <w:p w14:paraId="633A17A5" w14:textId="77777777" w:rsidR="0004652A" w:rsidRDefault="0004652A">
      <w:pPr>
        <w:spacing w:before="80"/>
      </w:pPr>
    </w:p>
    <w:p w14:paraId="46AA0F73" w14:textId="77777777" w:rsidR="0004652A" w:rsidRDefault="00000000">
      <w:pPr>
        <w:pStyle w:val="Heading3"/>
      </w:pPr>
      <w:bookmarkStart w:id="71" w:name="_Toc228131680"/>
      <w:r>
        <w:t>Lehman Brothers (2008)</w:t>
      </w:r>
      <w:bookmarkEnd w:id="71"/>
    </w:p>
    <w:p w14:paraId="051F87F2" w14:textId="77777777" w:rsidR="0004652A" w:rsidRDefault="00000000">
      <w:pPr>
        <w:spacing w:before="80" w:after="80"/>
        <w:jc w:val="both"/>
      </w:pPr>
      <w:r>
        <w:t>As discussed in Section 3.2, the Lehman collapse was the definitive stress test of the ISDA close-out netting framework. The principal legal outcomes:</w:t>
      </w:r>
    </w:p>
    <w:p w14:paraId="25AF083C" w14:textId="77777777" w:rsidR="0004652A" w:rsidRDefault="0004652A">
      <w:pPr>
        <w:spacing w:before="60"/>
      </w:pPr>
    </w:p>
    <w:p w14:paraId="46DBBDEA" w14:textId="77777777" w:rsidR="0004652A" w:rsidRDefault="00000000">
      <w:pPr>
        <w:pStyle w:val="ListParagraph"/>
        <w:numPr>
          <w:ilvl w:val="0"/>
          <w:numId w:val="2"/>
        </w:numPr>
        <w:spacing w:before="60" w:after="60"/>
      </w:pPr>
      <w:r>
        <w:t>Close-out netting held in all major jurisdictions — English and US courts confirmed that the ISDA Master Agreement's netting provisions were enforceable in insolvency.</w:t>
      </w:r>
    </w:p>
    <w:p w14:paraId="771184DC" w14:textId="77777777" w:rsidR="0004652A" w:rsidRDefault="00000000">
      <w:pPr>
        <w:pStyle w:val="ListParagraph"/>
        <w:numPr>
          <w:ilvl w:val="0"/>
          <w:numId w:val="2"/>
        </w:numPr>
        <w:spacing w:before="60" w:after="60"/>
      </w:pPr>
      <w:r>
        <w:t>The resolution process nevertheless took years: Lehman's administrators (PwC in the UK, Alvarez &amp; Marsal in the US) faced the challenge of unwinding ~66,000 trades across ~8,000 counterparties with complex, bespoke documentation.</w:t>
      </w:r>
    </w:p>
    <w:p w14:paraId="7622D75E" w14:textId="77777777" w:rsidR="0004652A" w:rsidRDefault="00000000">
      <w:pPr>
        <w:pStyle w:val="ListParagraph"/>
        <w:numPr>
          <w:ilvl w:val="0"/>
          <w:numId w:val="2"/>
        </w:numPr>
        <w:spacing w:before="60" w:after="60"/>
      </w:pPr>
      <w:r>
        <w:t>The 2002 Master Agreement's single Close-out Amount methodology proved more workable in practice than the 1992 Market Quotation/Loss dual approach in illiquid conditions.</w:t>
      </w:r>
    </w:p>
    <w:p w14:paraId="31AD1D45" w14:textId="77777777" w:rsidR="0004652A" w:rsidRDefault="0004652A">
      <w:pPr>
        <w:spacing w:before="80"/>
      </w:pPr>
    </w:p>
    <w:p w14:paraId="5948BE1A" w14:textId="77777777" w:rsidR="0004652A" w:rsidRDefault="00000000">
      <w:pPr>
        <w:pStyle w:val="Heading3"/>
      </w:pPr>
      <w:bookmarkStart w:id="72" w:name="_Toc228131681"/>
      <w:proofErr w:type="spellStart"/>
      <w:r>
        <w:t>Archegos</w:t>
      </w:r>
      <w:proofErr w:type="spellEnd"/>
      <w:r>
        <w:t xml:space="preserve"> Capital Management (2021)</w:t>
      </w:r>
      <w:bookmarkEnd w:id="72"/>
    </w:p>
    <w:p w14:paraId="56B1C3B6" w14:textId="77777777" w:rsidR="0004652A" w:rsidRDefault="00000000">
      <w:pPr>
        <w:spacing w:before="80" w:after="80"/>
        <w:jc w:val="both"/>
      </w:pPr>
      <w:proofErr w:type="spellStart"/>
      <w:r>
        <w:t>Archegos</w:t>
      </w:r>
      <w:proofErr w:type="spellEnd"/>
      <w:r>
        <w:t xml:space="preserve"> was a family office that accumulated massive leveraged exposures to a small number of stocks through Total Return Swaps (TRS) with multiple prime brokers simultaneously. Key features of the failure:</w:t>
      </w:r>
    </w:p>
    <w:p w14:paraId="7CADF5E7" w14:textId="77777777" w:rsidR="0004652A" w:rsidRDefault="0004652A">
      <w:pPr>
        <w:spacing w:before="60"/>
      </w:pPr>
    </w:p>
    <w:p w14:paraId="38BFA87D" w14:textId="77777777" w:rsidR="0004652A" w:rsidRDefault="00000000">
      <w:pPr>
        <w:pStyle w:val="ListParagraph"/>
        <w:numPr>
          <w:ilvl w:val="0"/>
          <w:numId w:val="2"/>
        </w:numPr>
        <w:spacing w:before="60" w:after="60"/>
      </w:pPr>
      <w:r>
        <w:t xml:space="preserve">No ISDA netting across prime brokers: each dealer had its own bilateral exposure to </w:t>
      </w:r>
      <w:proofErr w:type="spellStart"/>
      <w:r>
        <w:t>Archegos</w:t>
      </w:r>
      <w:proofErr w:type="spellEnd"/>
      <w:r>
        <w:t>. No single dealer had visibility into the aggregate position across all counterparties. There was no cross-dealer netting set.</w:t>
      </w:r>
    </w:p>
    <w:p w14:paraId="2BAF89C5" w14:textId="77777777" w:rsidR="0004652A" w:rsidRDefault="00000000">
      <w:pPr>
        <w:pStyle w:val="ListParagraph"/>
        <w:numPr>
          <w:ilvl w:val="0"/>
          <w:numId w:val="2"/>
        </w:numPr>
        <w:spacing w:before="60" w:after="60"/>
      </w:pPr>
      <w:r>
        <w:t xml:space="preserve">No IM — or insufficient IM: </w:t>
      </w:r>
      <w:proofErr w:type="spellStart"/>
      <w:r>
        <w:t>Archegos</w:t>
      </w:r>
      <w:proofErr w:type="spellEnd"/>
      <w:r>
        <w:t xml:space="preserve"> was below the UMR threshold (Phase 5/6 came into force in 2021–2022). Several dealers had negotiated limited or no IM requirements, leaving them with large uncollateralised exposures.</w:t>
      </w:r>
    </w:p>
    <w:p w14:paraId="0845138D" w14:textId="77777777" w:rsidR="0004652A" w:rsidRDefault="00000000">
      <w:pPr>
        <w:pStyle w:val="ListParagraph"/>
        <w:numPr>
          <w:ilvl w:val="0"/>
          <w:numId w:val="2"/>
        </w:numPr>
        <w:spacing w:before="60" w:after="60"/>
      </w:pPr>
      <w:r>
        <w:t xml:space="preserve">Margin calls triggered fire sales: when the underlying stocks fell, simultaneous margin calls from multiple dealers forced </w:t>
      </w:r>
      <w:proofErr w:type="spellStart"/>
      <w:r>
        <w:t>Archegos</w:t>
      </w:r>
      <w:proofErr w:type="spellEnd"/>
      <w:r>
        <w:t xml:space="preserve"> to liquidate. The liquidation further depressed prices, triggering further calls — a classic collateral spiral.</w:t>
      </w:r>
    </w:p>
    <w:p w14:paraId="5D0BB88D" w14:textId="77777777" w:rsidR="0004652A" w:rsidRDefault="00000000">
      <w:pPr>
        <w:pStyle w:val="ListParagraph"/>
        <w:numPr>
          <w:ilvl w:val="0"/>
          <w:numId w:val="2"/>
        </w:numPr>
        <w:spacing w:before="60" w:after="60"/>
      </w:pPr>
      <w:r>
        <w:t>Aggregate losses: Credit Suisse lost ~USD 5.5B; Nomura ~USD 2.9B; Morgan Stanley ~USD 900M. Total industry losses exceeded USD 10B.</w:t>
      </w:r>
    </w:p>
    <w:p w14:paraId="25B3D922"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440"/>
        <w:gridCol w:w="7920"/>
      </w:tblGrid>
      <w:tr w:rsidR="0004652A" w14:paraId="50EA3B7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vAlign w:val="center"/>
          </w:tcPr>
          <w:p w14:paraId="7F9DB401" w14:textId="77777777" w:rsidR="0004652A" w:rsidRDefault="00000000">
            <w:pPr>
              <w:jc w:val="center"/>
            </w:pPr>
            <w:r>
              <w:rPr>
                <w:b/>
                <w:bCs/>
                <w:color w:val="C8953A"/>
                <w:sz w:val="20"/>
                <w:szCs w:val="20"/>
              </w:rPr>
              <w:t>LESSON</w:t>
            </w:r>
          </w:p>
        </w:tc>
        <w:tc>
          <w:tcPr>
            <w:tcW w:w="7920" w:type="dxa"/>
            <w:tcBorders>
              <w:top w:val="none" w:sz="0" w:space="0" w:color="FFFFFF"/>
              <w:left w:val="none" w:sz="0" w:space="0" w:color="FFFFFF"/>
              <w:bottom w:val="none" w:sz="0" w:space="0" w:color="FFFFFF"/>
              <w:right w:val="none" w:sz="0" w:space="0" w:color="FFFFFF"/>
            </w:tcBorders>
            <w:shd w:val="clear" w:color="auto" w:fill="E0F4F7"/>
            <w:tcMar>
              <w:top w:w="100" w:type="dxa"/>
              <w:left w:w="160" w:type="dxa"/>
              <w:bottom w:w="100" w:type="dxa"/>
              <w:right w:w="160" w:type="dxa"/>
            </w:tcMar>
          </w:tcPr>
          <w:p w14:paraId="600F9594" w14:textId="77777777" w:rsidR="0004652A" w:rsidRDefault="00000000">
            <w:pPr>
              <w:jc w:val="both"/>
            </w:pPr>
            <w:proofErr w:type="spellStart"/>
            <w:r>
              <w:rPr>
                <w:i/>
                <w:iCs/>
                <w:sz w:val="20"/>
                <w:szCs w:val="20"/>
              </w:rPr>
              <w:t>Archegos</w:t>
            </w:r>
            <w:proofErr w:type="spellEnd"/>
            <w:r>
              <w:rPr>
                <w:i/>
                <w:iCs/>
                <w:sz w:val="20"/>
                <w:szCs w:val="20"/>
              </w:rPr>
              <w:t xml:space="preserve"> demonstrated that the bilateral netting framework creates information asymmetry at the system level — each dealer sees its own net exposure but not the aggregate. UMR Phase 5/6 and enhanced prime brokerage due diligence (including mandatory disclosure of aggregate leverage) are the post-</w:t>
            </w:r>
            <w:proofErr w:type="spellStart"/>
            <w:r>
              <w:rPr>
                <w:i/>
                <w:iCs/>
                <w:sz w:val="20"/>
                <w:szCs w:val="20"/>
              </w:rPr>
              <w:t>Archegos</w:t>
            </w:r>
            <w:proofErr w:type="spellEnd"/>
            <w:r>
              <w:rPr>
                <w:i/>
                <w:iCs/>
                <w:sz w:val="20"/>
                <w:szCs w:val="20"/>
              </w:rPr>
              <w:t xml:space="preserve"> industry responses.</w:t>
            </w:r>
          </w:p>
        </w:tc>
      </w:tr>
    </w:tbl>
    <w:p w14:paraId="44F8F364" w14:textId="77777777" w:rsidR="0004652A" w:rsidRDefault="0004652A">
      <w:pPr>
        <w:spacing w:before="160"/>
      </w:pPr>
    </w:p>
    <w:p w14:paraId="1D9E1A06" w14:textId="77777777" w:rsidR="0004652A" w:rsidRDefault="00000000">
      <w:r>
        <w:br w:type="page"/>
      </w:r>
    </w:p>
    <w:p w14:paraId="555911B9" w14:textId="77777777" w:rsidR="0004652A" w:rsidRDefault="00000000">
      <w:pPr>
        <w:pStyle w:val="Heading1"/>
      </w:pPr>
      <w:bookmarkStart w:id="73" w:name="_Toc228131682"/>
      <w:r>
        <w:lastRenderedPageBreak/>
        <w:t>Glossary — New Terms from Module 5</w:t>
      </w:r>
      <w:bookmarkEnd w:id="73"/>
    </w:p>
    <w:p w14:paraId="5509D33A" w14:textId="77777777" w:rsidR="0004652A" w:rsidRDefault="0004652A">
      <w:pPr>
        <w:pBdr>
          <w:bottom w:val="single" w:sz="6" w:space="1" w:color="028090"/>
        </w:pBdr>
        <w:spacing w:before="120" w:after="120"/>
      </w:pPr>
    </w:p>
    <w:p w14:paraId="74F93CEC" w14:textId="77777777" w:rsidR="0004652A" w:rsidRDefault="0004652A">
      <w:pPr>
        <w:spacing w:before="80"/>
      </w:pPr>
    </w:p>
    <w:p w14:paraId="18A3164F" w14:textId="77777777" w:rsidR="0004652A" w:rsidRDefault="00000000">
      <w:pPr>
        <w:spacing w:before="80" w:after="80"/>
        <w:jc w:val="both"/>
      </w:pPr>
      <w:r>
        <w:t>The following terms are introduced in Module 5 and will be carried forward to Module D (the Practitioner's Dictionary) with full three-layer entries (definition + formula + practitioner usage note).</w:t>
      </w:r>
    </w:p>
    <w:p w14:paraId="439B8FD1"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1664"/>
        <w:gridCol w:w="6500"/>
        <w:gridCol w:w="1196"/>
      </w:tblGrid>
      <w:tr w:rsidR="0004652A" w14:paraId="5E4E66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E92AD4" w14:textId="77777777" w:rsidR="0004652A" w:rsidRDefault="00000000">
            <w:pPr>
              <w:jc w:val="center"/>
            </w:pPr>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1CE20E" w14:textId="77777777" w:rsidR="0004652A" w:rsidRDefault="00000000">
            <w:pPr>
              <w:jc w:val="center"/>
            </w:pPr>
            <w:r>
              <w:rPr>
                <w:b/>
                <w:bCs/>
                <w:color w:val="FFFFFF"/>
                <w:sz w:val="20"/>
                <w:szCs w:val="20"/>
              </w:rPr>
              <w:t>Definition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190129" w14:textId="77777777" w:rsidR="0004652A" w:rsidRDefault="00000000">
            <w:pPr>
              <w:jc w:val="center"/>
            </w:pPr>
            <w:r>
              <w:rPr>
                <w:b/>
                <w:bCs/>
                <w:color w:val="FFFFFF"/>
                <w:sz w:val="20"/>
                <w:szCs w:val="20"/>
              </w:rPr>
              <w:t>Module</w:t>
            </w:r>
          </w:p>
        </w:tc>
      </w:tr>
      <w:tr w:rsidR="0004652A" w14:paraId="2D69FB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0AEBB20" w14:textId="77777777" w:rsidR="0004652A" w:rsidRDefault="00000000">
            <w:r>
              <w:rPr>
                <w:b/>
                <w:bCs/>
                <w:sz w:val="20"/>
                <w:szCs w:val="20"/>
              </w:rPr>
              <w:t>ISDA</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4D7465" w14:textId="77777777" w:rsidR="0004652A" w:rsidRDefault="00000000">
            <w:r>
              <w:rPr>
                <w:sz w:val="20"/>
                <w:szCs w:val="20"/>
              </w:rPr>
              <w:t>International Swaps and Derivatives Association. Publisher of standardised OTC derivative documentation including the Master Agreement, Schedule, and CSA.</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8772242" w14:textId="77777777" w:rsidR="0004652A" w:rsidRDefault="00000000">
            <w:pPr>
              <w:jc w:val="center"/>
            </w:pPr>
            <w:r>
              <w:rPr>
                <w:sz w:val="20"/>
                <w:szCs w:val="20"/>
              </w:rPr>
              <w:t>M5</w:t>
            </w:r>
          </w:p>
        </w:tc>
      </w:tr>
      <w:tr w:rsidR="0004652A" w14:paraId="1B49AD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5E4CF5A" w14:textId="77777777" w:rsidR="0004652A" w:rsidRDefault="00000000">
            <w:r>
              <w:rPr>
                <w:b/>
                <w:bCs/>
                <w:sz w:val="20"/>
                <w:szCs w:val="20"/>
              </w:rPr>
              <w:t>Master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5F39C31" w14:textId="77777777" w:rsidR="0004652A" w:rsidRDefault="00000000">
            <w:r>
              <w:rPr>
                <w:sz w:val="20"/>
                <w:szCs w:val="20"/>
              </w:rPr>
              <w:t>The ISDA Master Agreement — the governing document for all OTC derivative transactions between two counterparties. Can exist without a CSA.</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DBBDE3E" w14:textId="77777777" w:rsidR="0004652A" w:rsidRDefault="00000000">
            <w:pPr>
              <w:jc w:val="center"/>
            </w:pPr>
            <w:r>
              <w:rPr>
                <w:sz w:val="20"/>
                <w:szCs w:val="20"/>
              </w:rPr>
              <w:t>M5</w:t>
            </w:r>
          </w:p>
        </w:tc>
      </w:tr>
      <w:tr w:rsidR="0004652A" w14:paraId="37B6AD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486F5C3" w14:textId="77777777" w:rsidR="0004652A" w:rsidRDefault="00000000">
            <w:r>
              <w:rPr>
                <w:b/>
                <w:bCs/>
                <w:sz w:val="20"/>
                <w:szCs w:val="20"/>
              </w:rPr>
              <w:t>Schedule</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88F316C" w14:textId="77777777" w:rsidR="0004652A" w:rsidRDefault="00000000">
            <w:r>
              <w:rPr>
                <w:sz w:val="20"/>
                <w:szCs w:val="20"/>
              </w:rPr>
              <w:t>Document that amends and supplements the ISDA Master Agreement with bilateral elections. Legally part of the Master; cannot exist separately.</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867F88B" w14:textId="77777777" w:rsidR="0004652A" w:rsidRDefault="00000000">
            <w:pPr>
              <w:jc w:val="center"/>
            </w:pPr>
            <w:r>
              <w:rPr>
                <w:sz w:val="20"/>
                <w:szCs w:val="20"/>
              </w:rPr>
              <w:t>M5</w:t>
            </w:r>
          </w:p>
        </w:tc>
      </w:tr>
      <w:tr w:rsidR="0004652A" w14:paraId="790108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61DCE5D" w14:textId="77777777" w:rsidR="0004652A" w:rsidRDefault="00000000">
            <w:r>
              <w:rPr>
                <w:b/>
                <w:bCs/>
                <w:sz w:val="20"/>
                <w:szCs w:val="20"/>
              </w:rPr>
              <w:t>CSA</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082C922" w14:textId="77777777" w:rsidR="0004652A" w:rsidRDefault="00000000">
            <w:r>
              <w:rPr>
                <w:sz w:val="20"/>
                <w:szCs w:val="20"/>
              </w:rPr>
              <w:t>Credit Support Annex — the collateral agreement under the ISDA framework. Governs VM and IM posting. Cannot exist without a Master Agreement.</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46B0739" w14:textId="77777777" w:rsidR="0004652A" w:rsidRDefault="00000000">
            <w:pPr>
              <w:jc w:val="center"/>
            </w:pPr>
            <w:r>
              <w:rPr>
                <w:sz w:val="20"/>
                <w:szCs w:val="20"/>
              </w:rPr>
              <w:t>M5</w:t>
            </w:r>
          </w:p>
        </w:tc>
      </w:tr>
      <w:tr w:rsidR="0004652A" w14:paraId="62558E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7BE33D2" w14:textId="77777777" w:rsidR="0004652A" w:rsidRDefault="00000000">
            <w:r>
              <w:rPr>
                <w:b/>
                <w:bCs/>
                <w:sz w:val="20"/>
                <w:szCs w:val="20"/>
              </w:rPr>
              <w:t>Payment Netting</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6D6CCD8" w14:textId="77777777" w:rsidR="0004652A" w:rsidRDefault="00000000">
            <w:r>
              <w:rPr>
                <w:sz w:val="20"/>
                <w:szCs w:val="20"/>
              </w:rPr>
              <w:t>Section 2(c) netting of same-currency, same-date payment obligations within a single transaction to a single net flow.</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97D2DDF" w14:textId="77777777" w:rsidR="0004652A" w:rsidRDefault="00000000">
            <w:pPr>
              <w:jc w:val="center"/>
            </w:pPr>
            <w:r>
              <w:rPr>
                <w:sz w:val="20"/>
                <w:szCs w:val="20"/>
              </w:rPr>
              <w:t>M5</w:t>
            </w:r>
          </w:p>
        </w:tc>
      </w:tr>
      <w:tr w:rsidR="0004652A" w14:paraId="3812F3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750DFFF" w14:textId="77777777" w:rsidR="0004652A" w:rsidRDefault="00000000">
            <w:r>
              <w:rPr>
                <w:b/>
                <w:bCs/>
                <w:sz w:val="20"/>
                <w:szCs w:val="20"/>
              </w:rPr>
              <w:t>Close-out Netting</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4ADE120" w14:textId="77777777" w:rsidR="0004652A" w:rsidRDefault="00000000">
            <w:r>
              <w:rPr>
                <w:sz w:val="20"/>
                <w:szCs w:val="20"/>
              </w:rPr>
              <w:t>Termination of all transactions under a Master Agreement on default, with a single Close-out Amount replacing all gross obligations.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DA257E6" w14:textId="77777777" w:rsidR="0004652A" w:rsidRDefault="00000000">
            <w:pPr>
              <w:jc w:val="center"/>
            </w:pPr>
            <w:r>
              <w:rPr>
                <w:sz w:val="20"/>
                <w:szCs w:val="20"/>
              </w:rPr>
              <w:t>M5</w:t>
            </w:r>
          </w:p>
        </w:tc>
      </w:tr>
      <w:tr w:rsidR="0004652A" w14:paraId="108FA7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A0664B9" w14:textId="77777777" w:rsidR="0004652A" w:rsidRDefault="00000000">
            <w:r>
              <w:rPr>
                <w:b/>
                <w:bCs/>
                <w:sz w:val="20"/>
                <w:szCs w:val="20"/>
              </w:rPr>
              <w:t>Netting Set</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252F355" w14:textId="77777777" w:rsidR="0004652A" w:rsidRDefault="00000000">
            <w:r>
              <w:rPr>
                <w:sz w:val="20"/>
                <w:szCs w:val="20"/>
              </w:rPr>
              <w:t>All transactions with a single counterparty covered by a legally enforceable netting agreement. The fundamental unit for SA-CCR EAD calculation.</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34DF3D2" w14:textId="77777777" w:rsidR="0004652A" w:rsidRDefault="00000000">
            <w:pPr>
              <w:jc w:val="center"/>
            </w:pPr>
            <w:r>
              <w:rPr>
                <w:sz w:val="20"/>
                <w:szCs w:val="20"/>
              </w:rPr>
              <w:t>M5</w:t>
            </w:r>
          </w:p>
        </w:tc>
      </w:tr>
      <w:tr w:rsidR="0004652A" w14:paraId="34C030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21A3FE7" w14:textId="77777777" w:rsidR="0004652A" w:rsidRDefault="00000000">
            <w:r>
              <w:rPr>
                <w:b/>
                <w:bCs/>
                <w:sz w:val="20"/>
                <w:szCs w:val="20"/>
              </w:rPr>
              <w:t>Cherry-picking</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4126FA9" w14:textId="77777777" w:rsidR="0004652A" w:rsidRDefault="00000000">
            <w:r>
              <w:rPr>
                <w:sz w:val="20"/>
                <w:szCs w:val="20"/>
              </w:rPr>
              <w:t>The attempt by a defaulting party's administrator to enforce only profitable contracts and disclaim loss-making ones. Eliminated by close-out netting.</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2529238" w14:textId="77777777" w:rsidR="0004652A" w:rsidRDefault="00000000">
            <w:pPr>
              <w:jc w:val="center"/>
            </w:pPr>
            <w:r>
              <w:rPr>
                <w:sz w:val="20"/>
                <w:szCs w:val="20"/>
              </w:rPr>
              <w:t>M5</w:t>
            </w:r>
          </w:p>
        </w:tc>
      </w:tr>
      <w:tr w:rsidR="0004652A" w14:paraId="23A149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C11AD9D" w14:textId="77777777" w:rsidR="0004652A" w:rsidRDefault="00000000">
            <w:r>
              <w:rPr>
                <w:b/>
                <w:bCs/>
                <w:sz w:val="20"/>
                <w:szCs w:val="20"/>
              </w:rPr>
              <w:t>MTA</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D3E4E54" w14:textId="77777777" w:rsidR="0004652A" w:rsidRDefault="00000000">
            <w:r>
              <w:rPr>
                <w:sz w:val="20"/>
                <w:szCs w:val="20"/>
              </w:rPr>
              <w:t>Minimum Transfer Amount — minimum size of a collateral call. Amounts below MTA are not transferred, leaving a band of uncollateralised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A4FD4BE" w14:textId="77777777" w:rsidR="0004652A" w:rsidRDefault="00000000">
            <w:pPr>
              <w:jc w:val="center"/>
            </w:pPr>
            <w:r>
              <w:rPr>
                <w:sz w:val="20"/>
                <w:szCs w:val="20"/>
              </w:rPr>
              <w:t>M5</w:t>
            </w:r>
          </w:p>
        </w:tc>
      </w:tr>
      <w:tr w:rsidR="0004652A" w14:paraId="286D99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D9CE454" w14:textId="77777777" w:rsidR="0004652A" w:rsidRDefault="00000000">
            <w:r>
              <w:rPr>
                <w:b/>
                <w:bCs/>
                <w:sz w:val="20"/>
                <w:szCs w:val="20"/>
              </w:rPr>
              <w:t>Threshold (TH)</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6F05A50" w14:textId="77777777" w:rsidR="0004652A" w:rsidRDefault="00000000">
            <w:r>
              <w:rPr>
                <w:sz w:val="20"/>
                <w:szCs w:val="20"/>
              </w:rPr>
              <w:t>Exposure level below which no collateral is required. Creates a permanent uncollateralised buffer. Often rating-linked.</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DC562D6" w14:textId="77777777" w:rsidR="0004652A" w:rsidRDefault="00000000">
            <w:pPr>
              <w:jc w:val="center"/>
            </w:pPr>
            <w:r>
              <w:rPr>
                <w:sz w:val="20"/>
                <w:szCs w:val="20"/>
              </w:rPr>
              <w:t>M5</w:t>
            </w:r>
          </w:p>
        </w:tc>
      </w:tr>
      <w:tr w:rsidR="0004652A" w14:paraId="76DA92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F9E74CB" w14:textId="77777777" w:rsidR="0004652A" w:rsidRDefault="00000000">
            <w:r>
              <w:rPr>
                <w:b/>
                <w:bCs/>
                <w:sz w:val="20"/>
                <w:szCs w:val="20"/>
              </w:rPr>
              <w:t>VM</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CF3391B" w14:textId="77777777" w:rsidR="0004652A" w:rsidRDefault="00000000">
            <w:r>
              <w:rPr>
                <w:sz w:val="20"/>
                <w:szCs w:val="20"/>
              </w:rPr>
              <w:t xml:space="preserve">Variation Margin — daily </w:t>
            </w:r>
            <w:proofErr w:type="spellStart"/>
            <w:r>
              <w:rPr>
                <w:sz w:val="20"/>
                <w:szCs w:val="20"/>
              </w:rPr>
              <w:t>MtM</w:t>
            </w:r>
            <w:proofErr w:type="spellEnd"/>
            <w:r>
              <w:rPr>
                <w:sz w:val="20"/>
                <w:szCs w:val="20"/>
              </w:rPr>
              <w:t xml:space="preserve"> settlement collateral. Eliminates accumulated exposure; fully </w:t>
            </w:r>
            <w:proofErr w:type="spellStart"/>
            <w:r>
              <w:rPr>
                <w:sz w:val="20"/>
                <w:szCs w:val="20"/>
              </w:rPr>
              <w:t>rehypothecable</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9E2A4D7" w14:textId="77777777" w:rsidR="0004652A" w:rsidRDefault="00000000">
            <w:pPr>
              <w:jc w:val="center"/>
            </w:pPr>
            <w:r>
              <w:rPr>
                <w:sz w:val="20"/>
                <w:szCs w:val="20"/>
              </w:rPr>
              <w:t>M5</w:t>
            </w:r>
          </w:p>
        </w:tc>
      </w:tr>
      <w:tr w:rsidR="0004652A" w14:paraId="3524FD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A2EC857" w14:textId="77777777" w:rsidR="0004652A" w:rsidRDefault="00000000">
            <w:r>
              <w:rPr>
                <w:b/>
                <w:bCs/>
                <w:sz w:val="20"/>
                <w:szCs w:val="20"/>
              </w:rPr>
              <w:t>IM</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FC88C7F" w14:textId="77777777" w:rsidR="0004652A" w:rsidRDefault="00000000">
            <w:r>
              <w:rPr>
                <w:sz w:val="20"/>
                <w:szCs w:val="20"/>
              </w:rPr>
              <w:t xml:space="preserve">Initial Margin — buffer against </w:t>
            </w:r>
            <w:proofErr w:type="spellStart"/>
            <w:r>
              <w:rPr>
                <w:sz w:val="20"/>
                <w:szCs w:val="20"/>
              </w:rPr>
              <w:t>MPoR</w:t>
            </w:r>
            <w:proofErr w:type="spellEnd"/>
            <w:r>
              <w:rPr>
                <w:sz w:val="20"/>
                <w:szCs w:val="20"/>
              </w:rPr>
              <w:t xml:space="preserve"> exposure. Sized to cover potential market movement during the close-out period. Must be segregated under UMR.</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BC2A447" w14:textId="77777777" w:rsidR="0004652A" w:rsidRDefault="00000000">
            <w:pPr>
              <w:jc w:val="center"/>
            </w:pPr>
            <w:r>
              <w:rPr>
                <w:sz w:val="20"/>
                <w:szCs w:val="20"/>
              </w:rPr>
              <w:t>M5</w:t>
            </w:r>
          </w:p>
        </w:tc>
      </w:tr>
      <w:tr w:rsidR="0004652A" w14:paraId="4D11C8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72B67AA" w14:textId="77777777" w:rsidR="0004652A" w:rsidRDefault="00000000">
            <w:proofErr w:type="spellStart"/>
            <w:r>
              <w:rPr>
                <w:b/>
                <w:bCs/>
                <w:sz w:val="20"/>
                <w:szCs w:val="20"/>
              </w:rPr>
              <w:t>MPoR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734CBF0" w14:textId="77777777" w:rsidR="0004652A" w:rsidRDefault="00000000">
            <w:r>
              <w:rPr>
                <w:sz w:val="20"/>
                <w:szCs w:val="20"/>
              </w:rPr>
              <w:t>Margin Period of Risk — time from last VM exchange to full close-out and replacement of positions. Regulatory floor: 10 days bilateral, 5 days cleared.</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F806E3D" w14:textId="77777777" w:rsidR="0004652A" w:rsidRDefault="00000000">
            <w:pPr>
              <w:jc w:val="center"/>
            </w:pPr>
            <w:r>
              <w:rPr>
                <w:sz w:val="20"/>
                <w:szCs w:val="20"/>
              </w:rPr>
              <w:t>M5</w:t>
            </w:r>
          </w:p>
        </w:tc>
      </w:tr>
      <w:tr w:rsidR="0004652A" w14:paraId="40C090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E4740AE" w14:textId="77777777" w:rsidR="0004652A" w:rsidRDefault="00000000">
            <w:r>
              <w:rPr>
                <w:b/>
                <w:bCs/>
                <w:sz w:val="20"/>
                <w:szCs w:val="20"/>
              </w:rPr>
              <w:t>Rehypothecation</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E89384A" w14:textId="77777777" w:rsidR="0004652A" w:rsidRDefault="00000000">
            <w:r>
              <w:rPr>
                <w:sz w:val="20"/>
                <w:szCs w:val="20"/>
              </w:rPr>
              <w:t>Reuse of posted collateral by the receiving party. Permitted for VM; prohibited for UMR-segregated IM.</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1414A00" w14:textId="77777777" w:rsidR="0004652A" w:rsidRDefault="00000000">
            <w:pPr>
              <w:jc w:val="center"/>
            </w:pPr>
            <w:r>
              <w:rPr>
                <w:sz w:val="20"/>
                <w:szCs w:val="20"/>
              </w:rPr>
              <w:t>M5</w:t>
            </w:r>
          </w:p>
        </w:tc>
      </w:tr>
      <w:tr w:rsidR="0004652A" w14:paraId="15D1DE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67B4345" w14:textId="77777777" w:rsidR="0004652A" w:rsidRDefault="00000000">
            <w:r>
              <w:rPr>
                <w:b/>
                <w:bCs/>
                <w:sz w:val="20"/>
                <w:szCs w:val="20"/>
              </w:rPr>
              <w:lastRenderedPageBreak/>
              <w:t>Repo</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1D08E20" w14:textId="77777777" w:rsidR="0004652A" w:rsidRDefault="00000000">
            <w:r>
              <w:rPr>
                <w:sz w:val="20"/>
                <w:szCs w:val="20"/>
              </w:rPr>
              <w:t>Repurchase Agreement — sale of securities with an agreement to repurchase at a later date. Economically a collateralised loan. Financing cost = repo rate x notional x t/360.</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8E93639" w14:textId="77777777" w:rsidR="0004652A" w:rsidRDefault="00000000">
            <w:pPr>
              <w:jc w:val="center"/>
            </w:pPr>
            <w:r>
              <w:rPr>
                <w:sz w:val="20"/>
                <w:szCs w:val="20"/>
              </w:rPr>
              <w:t>M5</w:t>
            </w:r>
          </w:p>
        </w:tc>
      </w:tr>
      <w:tr w:rsidR="0004652A" w14:paraId="5ADF1A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F6323F6" w14:textId="77777777" w:rsidR="0004652A" w:rsidRDefault="00000000">
            <w:r>
              <w:rPr>
                <w:b/>
                <w:bCs/>
                <w:sz w:val="20"/>
                <w:szCs w:val="20"/>
              </w:rPr>
              <w:t>GC Repo</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9676EBC" w14:textId="77777777" w:rsidR="0004652A" w:rsidRDefault="00000000">
            <w:r>
              <w:rPr>
                <w:sz w:val="20"/>
                <w:szCs w:val="20"/>
              </w:rPr>
              <w:t>General Collateral repo — cash lender accepts any eligible security. Rate approximates OIS. No specialness premium.</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600FD805" w14:textId="77777777" w:rsidR="0004652A" w:rsidRDefault="00000000">
            <w:pPr>
              <w:jc w:val="center"/>
            </w:pPr>
            <w:r>
              <w:rPr>
                <w:sz w:val="20"/>
                <w:szCs w:val="20"/>
              </w:rPr>
              <w:t>M5</w:t>
            </w:r>
          </w:p>
        </w:tc>
      </w:tr>
      <w:tr w:rsidR="0004652A" w14:paraId="7B921C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C10FC0E" w14:textId="77777777" w:rsidR="0004652A" w:rsidRDefault="00000000">
            <w:r>
              <w:rPr>
                <w:b/>
                <w:bCs/>
                <w:sz w:val="20"/>
                <w:szCs w:val="20"/>
              </w:rPr>
              <w:t>Special Repo</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2A27E8C" w14:textId="77777777" w:rsidR="0004652A" w:rsidRDefault="00000000">
            <w:r>
              <w:rPr>
                <w:sz w:val="20"/>
                <w:szCs w:val="20"/>
              </w:rPr>
              <w:t>Repo for a specific security in demand (e.g. on-the-run bond). Rate below GC — specialness premium reflects scarcity of the specific bond.</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EDDBC6A" w14:textId="77777777" w:rsidR="0004652A" w:rsidRDefault="00000000">
            <w:pPr>
              <w:jc w:val="center"/>
            </w:pPr>
            <w:r>
              <w:rPr>
                <w:sz w:val="20"/>
                <w:szCs w:val="20"/>
              </w:rPr>
              <w:t>M5</w:t>
            </w:r>
          </w:p>
        </w:tc>
      </w:tr>
      <w:tr w:rsidR="0004652A" w14:paraId="512C14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2F5F2D16" w14:textId="77777777" w:rsidR="0004652A" w:rsidRDefault="00000000">
            <w:r>
              <w:rPr>
                <w:b/>
                <w:bCs/>
                <w:sz w:val="20"/>
                <w:szCs w:val="20"/>
              </w:rPr>
              <w:t>Securities Lending</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1517E3B" w14:textId="77777777" w:rsidR="0004652A" w:rsidRDefault="00000000">
            <w:r>
              <w:rPr>
                <w:sz w:val="20"/>
                <w:szCs w:val="20"/>
              </w:rPr>
              <w:t>Loan of securities from a long-term holder to a borrower in exchange for a fee and collateral. Agent lender typically provides borrower default indemnification.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E648415" w14:textId="77777777" w:rsidR="0004652A" w:rsidRDefault="00000000">
            <w:pPr>
              <w:jc w:val="center"/>
            </w:pPr>
            <w:r>
              <w:rPr>
                <w:sz w:val="20"/>
                <w:szCs w:val="20"/>
              </w:rPr>
              <w:t>M5</w:t>
            </w:r>
          </w:p>
        </w:tc>
      </w:tr>
      <w:tr w:rsidR="0004652A" w14:paraId="491A28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30D5BE2" w14:textId="77777777" w:rsidR="0004652A" w:rsidRDefault="00000000">
            <w:r>
              <w:rPr>
                <w:b/>
                <w:bCs/>
                <w:sz w:val="20"/>
                <w:szCs w:val="20"/>
              </w:rPr>
              <w:t>Haircut</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528AA66C" w14:textId="77777777" w:rsidR="0004652A" w:rsidRDefault="00000000">
            <w:r>
              <w:rPr>
                <w:sz w:val="20"/>
                <w:szCs w:val="20"/>
              </w:rPr>
              <w:t>Reduction applied to collateral value in repo/SFTs. Buffer against collateral price fall before liquidation. Haircut = 1 − (cash lent / collateral MV).</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2C1F555A" w14:textId="77777777" w:rsidR="0004652A" w:rsidRDefault="00000000">
            <w:pPr>
              <w:jc w:val="center"/>
            </w:pPr>
            <w:r>
              <w:rPr>
                <w:sz w:val="20"/>
                <w:szCs w:val="20"/>
              </w:rPr>
              <w:t>M5</w:t>
            </w:r>
          </w:p>
        </w:tc>
      </w:tr>
      <w:tr w:rsidR="0004652A" w14:paraId="3B0B82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926E4F" w14:textId="77777777" w:rsidR="0004652A" w:rsidRDefault="00000000">
            <w:r>
              <w:rPr>
                <w:b/>
                <w:bCs/>
                <w:sz w:val="20"/>
                <w:szCs w:val="20"/>
              </w:rPr>
              <w:t>Collateral Transformation</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B9E9250" w14:textId="77777777" w:rsidR="0004652A" w:rsidRDefault="00000000">
            <w:r>
              <w:rPr>
                <w:sz w:val="20"/>
                <w:szCs w:val="20"/>
              </w:rPr>
              <w:t>Exchange of ineligible assets for eligible CCP collateral (e.g. IG corporate bonds → government bonds) via a repo/securities lending structure, for a transformation fee.</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5D5FB0B9" w14:textId="77777777" w:rsidR="0004652A" w:rsidRDefault="00000000">
            <w:pPr>
              <w:jc w:val="center"/>
            </w:pPr>
            <w:r>
              <w:rPr>
                <w:sz w:val="20"/>
                <w:szCs w:val="20"/>
              </w:rPr>
              <w:t>M5</w:t>
            </w:r>
          </w:p>
        </w:tc>
      </w:tr>
      <w:tr w:rsidR="0004652A" w14:paraId="6370C2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3A3B58C" w14:textId="77777777" w:rsidR="0004652A" w:rsidRDefault="00000000">
            <w:r>
              <w:rPr>
                <w:b/>
                <w:bCs/>
                <w:sz w:val="20"/>
                <w:szCs w:val="20"/>
              </w:rPr>
              <w:t>Netting Opinion</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7A78A5BB" w14:textId="77777777" w:rsidR="0004652A" w:rsidRDefault="00000000">
            <w:r>
              <w:rPr>
                <w:sz w:val="20"/>
                <w:szCs w:val="20"/>
              </w:rPr>
              <w:t>Legal opinion from local counsel confirming enforceability of ISDA close-out netting in a jurisdiction's insolvency regime. Required for regulatory capital netting benefit.</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17AEA07" w14:textId="77777777" w:rsidR="0004652A" w:rsidRDefault="00000000">
            <w:pPr>
              <w:jc w:val="center"/>
            </w:pPr>
            <w:r>
              <w:rPr>
                <w:sz w:val="20"/>
                <w:szCs w:val="20"/>
              </w:rPr>
              <w:t>M5</w:t>
            </w:r>
          </w:p>
        </w:tc>
      </w:tr>
      <w:tr w:rsidR="0004652A" w14:paraId="50ADC0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77D00B7D" w14:textId="77777777" w:rsidR="0004652A" w:rsidRDefault="00000000">
            <w:r>
              <w:rPr>
                <w:b/>
                <w:bCs/>
                <w:sz w:val="20"/>
                <w:szCs w:val="20"/>
              </w:rPr>
              <w:t>SFTR</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3559F45" w14:textId="77777777" w:rsidR="0004652A" w:rsidRDefault="00000000">
            <w:r>
              <w:rPr>
                <w:sz w:val="20"/>
                <w:szCs w:val="20"/>
              </w:rPr>
              <w:t>Securities Financing Transactions Regulation (EU/UK) — requires daily reporting of all SFTs to a trade repository. Makes the rehypothecation chain visible to regulators.</w:t>
            </w:r>
          </w:p>
        </w:tc>
        <w:tc>
          <w:tcPr>
            <w:tcW w:w="1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06CBBA11" w14:textId="77777777" w:rsidR="0004652A" w:rsidRDefault="00000000">
            <w:pPr>
              <w:jc w:val="center"/>
            </w:pPr>
            <w:r>
              <w:rPr>
                <w:sz w:val="20"/>
                <w:szCs w:val="20"/>
              </w:rPr>
              <w:t>M5</w:t>
            </w:r>
          </w:p>
        </w:tc>
      </w:tr>
      <w:tr w:rsidR="0004652A" w14:paraId="4A995F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34CA0270" w14:textId="77777777" w:rsidR="0004652A" w:rsidRDefault="00000000">
            <w:r>
              <w:rPr>
                <w:b/>
                <w:bCs/>
                <w:sz w:val="20"/>
                <w:szCs w:val="20"/>
              </w:rPr>
              <w:t>EMIR</w:t>
            </w:r>
          </w:p>
        </w:tc>
        <w:tc>
          <w:tcPr>
            <w:tcW w:w="6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44CC6299" w14:textId="77777777" w:rsidR="0004652A" w:rsidRDefault="00000000">
            <w:r>
              <w:rPr>
                <w:sz w:val="20"/>
                <w:szCs w:val="20"/>
              </w:rPr>
              <w:t>European Market Infrastructure Regulation — EU framework: clearing obligation, bilateral margining, trade reporting for OTC derivatives.</w:t>
            </w:r>
          </w:p>
        </w:tc>
        <w:tc>
          <w:tcPr>
            <w:tcW w:w="12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FEF4E3D" w14:textId="77777777" w:rsidR="0004652A" w:rsidRDefault="00000000">
            <w:pPr>
              <w:jc w:val="center"/>
            </w:pPr>
            <w:r>
              <w:rPr>
                <w:sz w:val="20"/>
                <w:szCs w:val="20"/>
              </w:rPr>
              <w:t>M5</w:t>
            </w:r>
          </w:p>
        </w:tc>
      </w:tr>
    </w:tbl>
    <w:p w14:paraId="78DEE2CF" w14:textId="77777777" w:rsidR="0004652A" w:rsidRDefault="0004652A">
      <w:pPr>
        <w:spacing w:before="160"/>
      </w:pPr>
    </w:p>
    <w:p w14:paraId="19B00E8C" w14:textId="77777777" w:rsidR="0004652A" w:rsidRDefault="00000000">
      <w:r>
        <w:br w:type="page"/>
      </w:r>
    </w:p>
    <w:p w14:paraId="122AC157" w14:textId="77777777" w:rsidR="0004652A" w:rsidRDefault="00000000">
      <w:pPr>
        <w:pStyle w:val="Heading1"/>
      </w:pPr>
      <w:bookmarkStart w:id="74" w:name="_Toc228131683"/>
      <w:r>
        <w:lastRenderedPageBreak/>
        <w:t>Credits &amp; Series Trail</w:t>
      </w:r>
      <w:bookmarkEnd w:id="74"/>
    </w:p>
    <w:p w14:paraId="0D47EE17" w14:textId="77777777" w:rsidR="0004652A" w:rsidRDefault="0004652A">
      <w:pPr>
        <w:pBdr>
          <w:bottom w:val="single" w:sz="6" w:space="1" w:color="028090"/>
        </w:pBdr>
        <w:spacing w:before="120" w:after="120"/>
      </w:pPr>
    </w:p>
    <w:p w14:paraId="1B85A6C6" w14:textId="77777777" w:rsidR="0004652A" w:rsidRDefault="0004652A">
      <w:pPr>
        <w:spacing w:before="80"/>
      </w:pPr>
    </w:p>
    <w:tbl>
      <w:tblPr>
        <w:tblW w:w="9360" w:type="dxa"/>
        <w:tblCellMar>
          <w:left w:w="10" w:type="dxa"/>
          <w:right w:w="10" w:type="dxa"/>
        </w:tblCellMar>
        <w:tblLook w:val="04A0" w:firstRow="1" w:lastRow="0" w:firstColumn="1" w:lastColumn="0" w:noHBand="0" w:noVBand="1"/>
      </w:tblPr>
      <w:tblGrid>
        <w:gridCol w:w="9360"/>
      </w:tblGrid>
      <w:tr w:rsidR="0004652A" w14:paraId="7EF8EE55" w14:textId="77777777">
        <w:tblPrEx>
          <w:tblCellMar>
            <w:top w:w="0" w:type="dxa"/>
            <w:bottom w:w="0" w:type="dxa"/>
          </w:tblCellMar>
        </w:tblPrEx>
        <w:tc>
          <w:tcPr>
            <w:tcW w:w="9360" w:type="dxa"/>
            <w:tcBorders>
              <w:top w:val="none" w:sz="0" w:space="0" w:color="FFFFFF"/>
              <w:left w:val="single" w:sz="12" w:space="0" w:color="C8953A"/>
              <w:bottom w:val="none" w:sz="0" w:space="0" w:color="FFFFFF"/>
              <w:right w:val="none" w:sz="0" w:space="0" w:color="FFFFFF"/>
            </w:tcBorders>
            <w:shd w:val="clear" w:color="auto" w:fill="F5DFA8"/>
            <w:tcMar>
              <w:top w:w="160" w:type="dxa"/>
              <w:left w:w="240" w:type="dxa"/>
              <w:bottom w:w="160" w:type="dxa"/>
              <w:right w:w="240" w:type="dxa"/>
            </w:tcMar>
          </w:tcPr>
          <w:p w14:paraId="715BB92B" w14:textId="77777777" w:rsidR="0004652A" w:rsidRDefault="00000000">
            <w:r>
              <w:rPr>
                <w:b/>
                <w:bCs/>
                <w:color w:val="0D1B2A"/>
                <w:sz w:val="24"/>
                <w:szCs w:val="24"/>
              </w:rPr>
              <w:t>Curated by Sarthaka Nanda (with Anthropic Claude)</w:t>
            </w:r>
          </w:p>
          <w:p w14:paraId="66DB8C26" w14:textId="77777777" w:rsidR="0004652A" w:rsidRDefault="00000000">
            <w:r>
              <w:rPr>
                <w:color w:val="8A9BB0"/>
                <w:sz w:val="20"/>
                <w:szCs w:val="20"/>
              </w:rPr>
              <w:t>Creative Commons Attribution-</w:t>
            </w:r>
            <w:proofErr w:type="spellStart"/>
            <w:r>
              <w:rPr>
                <w:color w:val="8A9BB0"/>
                <w:sz w:val="20"/>
                <w:szCs w:val="20"/>
              </w:rPr>
              <w:t>NonCommercial</w:t>
            </w:r>
            <w:proofErr w:type="spellEnd"/>
            <w:r>
              <w:rPr>
                <w:color w:val="8A9BB0"/>
                <w:sz w:val="20"/>
                <w:szCs w:val="20"/>
              </w:rPr>
              <w:t xml:space="preserve"> 4.0 International (CC BY-NC 4.0)</w:t>
            </w:r>
          </w:p>
          <w:p w14:paraId="0F9C6C71" w14:textId="77777777" w:rsidR="0004652A" w:rsidRDefault="00000000">
            <w:r>
              <w:rPr>
                <w:color w:val="8A9BB0"/>
                <w:sz w:val="20"/>
                <w:szCs w:val="20"/>
              </w:rPr>
              <w:t>© 2026 Sarthaka Nanda • Practitioner Knowledge Repository on Banking Regulation and Risk Management</w:t>
            </w:r>
          </w:p>
        </w:tc>
      </w:tr>
    </w:tbl>
    <w:p w14:paraId="2EDC376E" w14:textId="77777777" w:rsidR="0004652A" w:rsidRDefault="0004652A">
      <w:pPr>
        <w:spacing w:before="120"/>
      </w:pPr>
    </w:p>
    <w:p w14:paraId="514736E0" w14:textId="77777777" w:rsidR="0004652A" w:rsidRDefault="00000000">
      <w:pPr>
        <w:pStyle w:val="Heading2"/>
      </w:pPr>
      <w:bookmarkStart w:id="75" w:name="_Toc228131684"/>
      <w:r>
        <w:t>20-60-20 Methodology Declaration</w:t>
      </w:r>
      <w:bookmarkEnd w:id="75"/>
    </w:p>
    <w:p w14:paraId="341106E4" w14:textId="77777777" w:rsidR="0004652A" w:rsidRDefault="00000000">
      <w:pPr>
        <w:spacing w:before="80" w:after="80"/>
        <w:jc w:val="both"/>
      </w:pPr>
      <w:r>
        <w:t>This document was produced following the 20-60-20 methodology: 20% human direction (topic selection, structural design, worked example parameters, quality direction), 60% AI generation (technical content drafting, table construction, regulatory mapping), 20% mandatory human review and editing before publication. AI-generated content without mandatory human review is not professional-grade content — it is a liability.</w:t>
      </w:r>
    </w:p>
    <w:p w14:paraId="0C4238AA" w14:textId="77777777" w:rsidR="0004652A" w:rsidRDefault="0004652A">
      <w:pPr>
        <w:spacing w:before="120"/>
      </w:pPr>
    </w:p>
    <w:p w14:paraId="63849172" w14:textId="77777777" w:rsidR="0004652A" w:rsidRDefault="00000000">
      <w:pPr>
        <w:pStyle w:val="Heading2"/>
      </w:pPr>
      <w:bookmarkStart w:id="76" w:name="_Toc228131685"/>
      <w:r>
        <w:t>Full Series</w:t>
      </w:r>
      <w:bookmarkEnd w:id="76"/>
    </w:p>
    <w:tbl>
      <w:tblPr>
        <w:tblW w:w="9360" w:type="dxa"/>
        <w:tblCellMar>
          <w:left w:w="10" w:type="dxa"/>
          <w:right w:w="10" w:type="dxa"/>
        </w:tblCellMar>
        <w:tblLook w:val="04A0" w:firstRow="1" w:lastRow="0" w:firstColumn="1" w:lastColumn="0" w:noHBand="0" w:noVBand="1"/>
      </w:tblPr>
      <w:tblGrid>
        <w:gridCol w:w="800"/>
        <w:gridCol w:w="8560"/>
      </w:tblGrid>
      <w:tr w:rsidR="0004652A" w14:paraId="09E5C6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FCCAB63" w14:textId="77777777" w:rsidR="0004652A" w:rsidRDefault="00000000">
            <w:pPr>
              <w:jc w:val="center"/>
            </w:pPr>
            <w:r>
              <w:rPr>
                <w:b/>
                <w:bCs/>
                <w:color w:val="FFFFFF"/>
                <w:sz w:val="20"/>
                <w:szCs w:val="20"/>
              </w:rPr>
              <w:t>M0</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19D7E12A" w14:textId="77777777" w:rsidR="0004652A" w:rsidRDefault="00000000">
            <w:r>
              <w:rPr>
                <w:sz w:val="20"/>
                <w:szCs w:val="20"/>
              </w:rPr>
              <w:t>Greeks &amp; Sensitivities — Mathematical Foundation</w:t>
            </w:r>
          </w:p>
        </w:tc>
      </w:tr>
      <w:tr w:rsidR="0004652A" w14:paraId="766724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F0959D4" w14:textId="77777777" w:rsidR="0004652A" w:rsidRDefault="00000000">
            <w:pPr>
              <w:jc w:val="center"/>
            </w:pPr>
            <w:r>
              <w:rPr>
                <w:b/>
                <w:bCs/>
                <w:color w:val="FFFFFF"/>
                <w:sz w:val="20"/>
                <w:szCs w:val="20"/>
              </w:rPr>
              <w:t>M1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7F74D" w14:textId="77777777" w:rsidR="0004652A" w:rsidRDefault="00000000">
            <w:r>
              <w:rPr>
                <w:sz w:val="20"/>
                <w:szCs w:val="20"/>
              </w:rPr>
              <w:t>Basel Accord Evolution — Basel I through Basel IV / Endgame</w:t>
            </w:r>
          </w:p>
        </w:tc>
      </w:tr>
      <w:tr w:rsidR="0004652A" w14:paraId="4C7914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E7B9CB" w14:textId="77777777" w:rsidR="0004652A" w:rsidRDefault="00000000">
            <w:pPr>
              <w:jc w:val="center"/>
            </w:pPr>
            <w:r>
              <w:rPr>
                <w:b/>
                <w:bCs/>
                <w:color w:val="FFFFFF"/>
                <w:sz w:val="20"/>
                <w:szCs w:val="20"/>
              </w:rPr>
              <w:t>M2</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6DCF8047" w14:textId="77777777" w:rsidR="0004652A" w:rsidRDefault="00000000">
            <w:r>
              <w:rPr>
                <w:sz w:val="20"/>
                <w:szCs w:val="20"/>
              </w:rPr>
              <w:t>FRTB — Fundamental Review of the Trading Book</w:t>
            </w:r>
          </w:p>
        </w:tc>
      </w:tr>
      <w:tr w:rsidR="0004652A" w14:paraId="581C67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C10DA48" w14:textId="77777777" w:rsidR="0004652A" w:rsidRDefault="00000000">
            <w:pPr>
              <w:jc w:val="center"/>
            </w:pPr>
            <w:r>
              <w:rPr>
                <w:b/>
                <w:bCs/>
                <w:color w:val="FFFFFF"/>
                <w:sz w:val="20"/>
                <w:szCs w:val="20"/>
              </w:rPr>
              <w:t>M3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2E9B4" w14:textId="77777777" w:rsidR="0004652A" w:rsidRDefault="00000000">
            <w:r>
              <w:rPr>
                <w:sz w:val="20"/>
                <w:szCs w:val="20"/>
              </w:rPr>
              <w:t>CVA, DVA &amp; Counterparty Credit Risk</w:t>
            </w:r>
          </w:p>
        </w:tc>
      </w:tr>
      <w:tr w:rsidR="0004652A" w14:paraId="3FEBDE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B39E55" w14:textId="77777777" w:rsidR="0004652A" w:rsidRDefault="00000000">
            <w:pPr>
              <w:jc w:val="center"/>
            </w:pPr>
            <w:r>
              <w:rPr>
                <w:b/>
                <w:bCs/>
                <w:color w:val="FFFFFF"/>
                <w:sz w:val="20"/>
                <w:szCs w:val="20"/>
              </w:rPr>
              <w:t>M4</w:t>
            </w:r>
          </w:p>
        </w:tc>
        <w:tc>
          <w:tcPr>
            <w:tcW w:w="856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vAlign w:val="center"/>
          </w:tcPr>
          <w:p w14:paraId="09CE06E9" w14:textId="77777777" w:rsidR="0004652A" w:rsidRDefault="00000000">
            <w:r>
              <w:rPr>
                <w:sz w:val="20"/>
                <w:szCs w:val="20"/>
              </w:rPr>
              <w:t>FVA &amp; MVA — Funding &amp; Margin Valuation Adjustments</w:t>
            </w:r>
          </w:p>
        </w:tc>
      </w:tr>
      <w:tr w:rsidR="0004652A" w14:paraId="3AA013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vAlign w:val="center"/>
          </w:tcPr>
          <w:p w14:paraId="56D41279" w14:textId="77777777" w:rsidR="0004652A" w:rsidRDefault="00000000">
            <w:pPr>
              <w:jc w:val="center"/>
            </w:pPr>
            <w:r>
              <w:rPr>
                <w:b/>
                <w:bCs/>
                <w:color w:val="FFFFFF"/>
                <w:sz w:val="20"/>
                <w:szCs w:val="20"/>
              </w:rPr>
              <w:t>M5</w:t>
            </w:r>
          </w:p>
        </w:tc>
        <w:tc>
          <w:tcPr>
            <w:tcW w:w="8560" w:type="dxa"/>
            <w:tcBorders>
              <w:top w:val="single" w:sz="1" w:space="0" w:color="CCCCCC"/>
              <w:left w:val="single" w:sz="1" w:space="0" w:color="CCCCCC"/>
              <w:bottom w:val="single" w:sz="1" w:space="0" w:color="CCCCCC"/>
              <w:right w:val="single" w:sz="1" w:space="0" w:color="CCCCCC"/>
            </w:tcBorders>
            <w:shd w:val="clear" w:color="auto" w:fill="F5DFA8"/>
            <w:tcMar>
              <w:top w:w="80" w:type="dxa"/>
              <w:left w:w="120" w:type="dxa"/>
              <w:bottom w:w="80" w:type="dxa"/>
              <w:right w:w="120" w:type="dxa"/>
            </w:tcMar>
            <w:vAlign w:val="center"/>
          </w:tcPr>
          <w:p w14:paraId="20D586C6" w14:textId="77777777" w:rsidR="0004652A" w:rsidRDefault="00000000">
            <w:r>
              <w:rPr>
                <w:b/>
                <w:bCs/>
                <w:sz w:val="20"/>
                <w:szCs w:val="20"/>
              </w:rPr>
              <w:t>ISDA, Netting &amp; Collateral ✔ THIS MODULE</w:t>
            </w:r>
          </w:p>
        </w:tc>
      </w:tr>
      <w:tr w:rsidR="0004652A" w14:paraId="6D268E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8A9BB0"/>
            <w:tcMar>
              <w:top w:w="80" w:type="dxa"/>
              <w:left w:w="120" w:type="dxa"/>
              <w:bottom w:w="80" w:type="dxa"/>
              <w:right w:w="120" w:type="dxa"/>
            </w:tcMar>
            <w:vAlign w:val="center"/>
          </w:tcPr>
          <w:p w14:paraId="2A0996A0" w14:textId="77777777" w:rsidR="0004652A" w:rsidRDefault="00000000">
            <w:pPr>
              <w:jc w:val="center"/>
            </w:pPr>
            <w:r>
              <w:rPr>
                <w:b/>
                <w:bCs/>
                <w:color w:val="FFFFFF"/>
                <w:sz w:val="20"/>
                <w:szCs w:val="20"/>
              </w:rPr>
              <w:t>M6</w:t>
            </w:r>
          </w:p>
        </w:tc>
        <w:tc>
          <w:tcPr>
            <w:tcW w:w="8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4CE44B38" w14:textId="77777777" w:rsidR="0004652A" w:rsidRDefault="00000000">
            <w:r>
              <w:rPr>
                <w:sz w:val="20"/>
                <w:szCs w:val="20"/>
              </w:rPr>
              <w:t xml:space="preserve">KVA, </w:t>
            </w:r>
            <w:proofErr w:type="spellStart"/>
            <w:r>
              <w:rPr>
                <w:sz w:val="20"/>
                <w:szCs w:val="20"/>
              </w:rPr>
              <w:t>ColVA</w:t>
            </w:r>
            <w:proofErr w:type="spellEnd"/>
            <w:r>
              <w:rPr>
                <w:sz w:val="20"/>
                <w:szCs w:val="20"/>
              </w:rPr>
              <w:t xml:space="preserve"> &amp; Capital Costs — forthcoming</w:t>
            </w:r>
          </w:p>
        </w:tc>
      </w:tr>
      <w:tr w:rsidR="0004652A" w14:paraId="518CC3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8A9BB0"/>
            <w:tcMar>
              <w:top w:w="80" w:type="dxa"/>
              <w:left w:w="120" w:type="dxa"/>
              <w:bottom w:w="80" w:type="dxa"/>
              <w:right w:w="120" w:type="dxa"/>
            </w:tcMar>
            <w:vAlign w:val="center"/>
          </w:tcPr>
          <w:p w14:paraId="7B2408A5" w14:textId="77777777" w:rsidR="0004652A" w:rsidRDefault="00000000">
            <w:pPr>
              <w:jc w:val="center"/>
            </w:pPr>
            <w:r>
              <w:rPr>
                <w:b/>
                <w:bCs/>
                <w:color w:val="FFFFFF"/>
                <w:sz w:val="20"/>
                <w:szCs w:val="20"/>
              </w:rPr>
              <w:t>MD</w:t>
            </w:r>
          </w:p>
        </w:tc>
        <w:tc>
          <w:tcPr>
            <w:tcW w:w="8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vAlign w:val="center"/>
          </w:tcPr>
          <w:p w14:paraId="306C9B40" w14:textId="77777777" w:rsidR="0004652A" w:rsidRDefault="00000000">
            <w:r>
              <w:rPr>
                <w:sz w:val="20"/>
                <w:szCs w:val="20"/>
              </w:rPr>
              <w:t>Practitioner's Dictionary — XVA &amp; Banking Regulation — forthcoming</w:t>
            </w:r>
          </w:p>
        </w:tc>
      </w:tr>
    </w:tbl>
    <w:p w14:paraId="2024FEDB" w14:textId="77777777" w:rsidR="0004652A" w:rsidRDefault="0004652A">
      <w:pPr>
        <w:spacing w:before="160"/>
      </w:pPr>
    </w:p>
    <w:sectPr w:rsidR="0004652A">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D40BD" w14:textId="77777777" w:rsidR="000E37D7" w:rsidRDefault="000E37D7">
      <w:r>
        <w:separator/>
      </w:r>
    </w:p>
  </w:endnote>
  <w:endnote w:type="continuationSeparator" w:id="0">
    <w:p w14:paraId="6804C2F4" w14:textId="77777777" w:rsidR="000E37D7" w:rsidRDefault="000E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7F91E" w14:textId="77777777" w:rsidR="0004652A" w:rsidRDefault="00000000">
    <w:pPr>
      <w:pBdr>
        <w:top w:val="single" w:sz="4" w:space="1" w:color="028090"/>
      </w:pBdr>
      <w:tabs>
        <w:tab w:val="right" w:pos="9026"/>
      </w:tabs>
    </w:pPr>
    <w:r>
      <w:rPr>
        <w:color w:val="8A9BB0"/>
        <w:sz w:val="16"/>
        <w:szCs w:val="16"/>
      </w:rPr>
      <w:t>© 2026 Sarthaka Nanda  •  CC BY-NC 4.0</w:t>
    </w:r>
    <w:r>
      <w:rPr>
        <w:sz w:val="16"/>
        <w:szCs w:val="16"/>
      </w:rPr>
      <w:tab/>
    </w:r>
    <w:r>
      <w:rPr>
        <w:color w:val="8A9BB0"/>
        <w:sz w:val="16"/>
        <w:szCs w:val="16"/>
      </w:rPr>
      <w:t xml:space="preserve">Page </w:t>
    </w:r>
    <w:r>
      <w:rPr>
        <w:color w:val="8A9BB0"/>
        <w:sz w:val="16"/>
        <w:szCs w:val="16"/>
      </w:rPr>
      <w:fldChar w:fldCharType="begin"/>
    </w:r>
    <w:r>
      <w:rPr>
        <w:color w:val="8A9BB0"/>
        <w:sz w:val="16"/>
        <w:szCs w:val="16"/>
      </w:rPr>
      <w:instrText>PAGE</w:instrText>
    </w:r>
    <w:r>
      <w:rPr>
        <w:color w:val="8A9BB0"/>
        <w:sz w:val="16"/>
        <w:szCs w:val="16"/>
      </w:rPr>
      <w:fldChar w:fldCharType="separate"/>
    </w:r>
    <w:r w:rsidR="00857A6E">
      <w:rPr>
        <w:noProof/>
        <w:color w:val="8A9BB0"/>
        <w:sz w:val="16"/>
        <w:szCs w:val="16"/>
      </w:rPr>
      <w:t>1</w:t>
    </w:r>
    <w:r>
      <w:rPr>
        <w:color w:val="8A9B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9F42C" w14:textId="77777777" w:rsidR="000E37D7" w:rsidRDefault="000E37D7">
      <w:r>
        <w:separator/>
      </w:r>
    </w:p>
  </w:footnote>
  <w:footnote w:type="continuationSeparator" w:id="0">
    <w:p w14:paraId="7ABA271B" w14:textId="77777777" w:rsidR="000E37D7" w:rsidRDefault="000E3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067BC" w14:textId="77777777" w:rsidR="0004652A" w:rsidRDefault="00000000">
    <w:pPr>
      <w:pBdr>
        <w:bottom w:val="single" w:sz="4" w:space="1" w:color="028090"/>
      </w:pBdr>
      <w:tabs>
        <w:tab w:val="right" w:pos="9026"/>
      </w:tabs>
    </w:pPr>
    <w:r>
      <w:rPr>
        <w:color w:val="8A9BB0"/>
        <w:sz w:val="16"/>
        <w:szCs w:val="16"/>
      </w:rPr>
      <w:t>Practitioner Knowledge Repository  —  Module 5: ISDA, Netting &amp; Collateral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A1FD3"/>
    <w:multiLevelType w:val="hybridMultilevel"/>
    <w:tmpl w:val="2D382AC2"/>
    <w:lvl w:ilvl="0" w:tplc="A2F07226">
      <w:start w:val="1"/>
      <w:numFmt w:val="bullet"/>
      <w:lvlText w:val="●"/>
      <w:lvlJc w:val="left"/>
      <w:pPr>
        <w:ind w:left="720" w:hanging="360"/>
      </w:pPr>
    </w:lvl>
    <w:lvl w:ilvl="1" w:tplc="A2E227EA">
      <w:start w:val="1"/>
      <w:numFmt w:val="bullet"/>
      <w:lvlText w:val="○"/>
      <w:lvlJc w:val="left"/>
      <w:pPr>
        <w:ind w:left="1440" w:hanging="360"/>
      </w:pPr>
    </w:lvl>
    <w:lvl w:ilvl="2" w:tplc="A1E8E950">
      <w:start w:val="1"/>
      <w:numFmt w:val="bullet"/>
      <w:lvlText w:val="■"/>
      <w:lvlJc w:val="left"/>
      <w:pPr>
        <w:ind w:left="2160" w:hanging="360"/>
      </w:pPr>
    </w:lvl>
    <w:lvl w:ilvl="3" w:tplc="44607C12">
      <w:start w:val="1"/>
      <w:numFmt w:val="bullet"/>
      <w:lvlText w:val="●"/>
      <w:lvlJc w:val="left"/>
      <w:pPr>
        <w:ind w:left="2880" w:hanging="360"/>
      </w:pPr>
    </w:lvl>
    <w:lvl w:ilvl="4" w:tplc="1E447CE0">
      <w:start w:val="1"/>
      <w:numFmt w:val="bullet"/>
      <w:lvlText w:val="○"/>
      <w:lvlJc w:val="left"/>
      <w:pPr>
        <w:ind w:left="3600" w:hanging="360"/>
      </w:pPr>
    </w:lvl>
    <w:lvl w:ilvl="5" w:tplc="377844CE">
      <w:start w:val="1"/>
      <w:numFmt w:val="bullet"/>
      <w:lvlText w:val="■"/>
      <w:lvlJc w:val="left"/>
      <w:pPr>
        <w:ind w:left="4320" w:hanging="360"/>
      </w:pPr>
    </w:lvl>
    <w:lvl w:ilvl="6" w:tplc="FD34716E">
      <w:start w:val="1"/>
      <w:numFmt w:val="bullet"/>
      <w:lvlText w:val="●"/>
      <w:lvlJc w:val="left"/>
      <w:pPr>
        <w:ind w:left="5040" w:hanging="360"/>
      </w:pPr>
    </w:lvl>
    <w:lvl w:ilvl="7" w:tplc="0E44A15E">
      <w:start w:val="1"/>
      <w:numFmt w:val="bullet"/>
      <w:lvlText w:val="●"/>
      <w:lvlJc w:val="left"/>
      <w:pPr>
        <w:ind w:left="5760" w:hanging="360"/>
      </w:pPr>
    </w:lvl>
    <w:lvl w:ilvl="8" w:tplc="FB186DB4">
      <w:start w:val="1"/>
      <w:numFmt w:val="bullet"/>
      <w:lvlText w:val="●"/>
      <w:lvlJc w:val="left"/>
      <w:pPr>
        <w:ind w:left="6480" w:hanging="360"/>
      </w:pPr>
    </w:lvl>
  </w:abstractNum>
  <w:abstractNum w:abstractNumId="1" w15:restartNumberingAfterBreak="0">
    <w:nsid w:val="6AB26B4C"/>
    <w:multiLevelType w:val="hybridMultilevel"/>
    <w:tmpl w:val="17F6A01C"/>
    <w:lvl w:ilvl="0" w:tplc="C3483BD8">
      <w:start w:val="1"/>
      <w:numFmt w:val="decimal"/>
      <w:lvlText w:val="%1."/>
      <w:lvlJc w:val="left"/>
      <w:pPr>
        <w:ind w:left="720" w:hanging="360"/>
      </w:pPr>
    </w:lvl>
    <w:lvl w:ilvl="1" w:tplc="2C6C74D4">
      <w:numFmt w:val="decimal"/>
      <w:lvlText w:val=""/>
      <w:lvlJc w:val="left"/>
    </w:lvl>
    <w:lvl w:ilvl="2" w:tplc="845C64D4">
      <w:numFmt w:val="decimal"/>
      <w:lvlText w:val=""/>
      <w:lvlJc w:val="left"/>
    </w:lvl>
    <w:lvl w:ilvl="3" w:tplc="9D08BEB8">
      <w:numFmt w:val="decimal"/>
      <w:lvlText w:val=""/>
      <w:lvlJc w:val="left"/>
    </w:lvl>
    <w:lvl w:ilvl="4" w:tplc="3B2EBA24">
      <w:numFmt w:val="decimal"/>
      <w:lvlText w:val=""/>
      <w:lvlJc w:val="left"/>
    </w:lvl>
    <w:lvl w:ilvl="5" w:tplc="8A1E380E">
      <w:numFmt w:val="decimal"/>
      <w:lvlText w:val=""/>
      <w:lvlJc w:val="left"/>
    </w:lvl>
    <w:lvl w:ilvl="6" w:tplc="C320478A">
      <w:numFmt w:val="decimal"/>
      <w:lvlText w:val=""/>
      <w:lvlJc w:val="left"/>
    </w:lvl>
    <w:lvl w:ilvl="7" w:tplc="028875AC">
      <w:numFmt w:val="decimal"/>
      <w:lvlText w:val=""/>
      <w:lvlJc w:val="left"/>
    </w:lvl>
    <w:lvl w:ilvl="8" w:tplc="D2E895CA">
      <w:numFmt w:val="decimal"/>
      <w:lvlText w:val=""/>
      <w:lvlJc w:val="left"/>
    </w:lvl>
  </w:abstractNum>
  <w:abstractNum w:abstractNumId="2" w15:restartNumberingAfterBreak="0">
    <w:nsid w:val="7BF710C7"/>
    <w:multiLevelType w:val="hybridMultilevel"/>
    <w:tmpl w:val="8CE4B280"/>
    <w:lvl w:ilvl="0" w:tplc="79EAA164">
      <w:start w:val="1"/>
      <w:numFmt w:val="bullet"/>
      <w:lvlText w:val="•"/>
      <w:lvlJc w:val="left"/>
      <w:pPr>
        <w:ind w:left="720" w:hanging="360"/>
      </w:pPr>
    </w:lvl>
    <w:lvl w:ilvl="1" w:tplc="EDC683BE">
      <w:numFmt w:val="decimal"/>
      <w:lvlText w:val=""/>
      <w:lvlJc w:val="left"/>
    </w:lvl>
    <w:lvl w:ilvl="2" w:tplc="73C23774">
      <w:numFmt w:val="decimal"/>
      <w:lvlText w:val=""/>
      <w:lvlJc w:val="left"/>
    </w:lvl>
    <w:lvl w:ilvl="3" w:tplc="ED8A81AC">
      <w:numFmt w:val="decimal"/>
      <w:lvlText w:val=""/>
      <w:lvlJc w:val="left"/>
    </w:lvl>
    <w:lvl w:ilvl="4" w:tplc="3F980FEC">
      <w:numFmt w:val="decimal"/>
      <w:lvlText w:val=""/>
      <w:lvlJc w:val="left"/>
    </w:lvl>
    <w:lvl w:ilvl="5" w:tplc="3E2807A6">
      <w:numFmt w:val="decimal"/>
      <w:lvlText w:val=""/>
      <w:lvlJc w:val="left"/>
    </w:lvl>
    <w:lvl w:ilvl="6" w:tplc="BCD49488">
      <w:numFmt w:val="decimal"/>
      <w:lvlText w:val=""/>
      <w:lvlJc w:val="left"/>
    </w:lvl>
    <w:lvl w:ilvl="7" w:tplc="8BAA900C">
      <w:numFmt w:val="decimal"/>
      <w:lvlText w:val=""/>
      <w:lvlJc w:val="left"/>
    </w:lvl>
    <w:lvl w:ilvl="8" w:tplc="AA040F1A">
      <w:numFmt w:val="decimal"/>
      <w:lvlText w:val=""/>
      <w:lvlJc w:val="left"/>
    </w:lvl>
  </w:abstractNum>
  <w:num w:numId="1" w16cid:durableId="2090616016">
    <w:abstractNumId w:val="0"/>
    <w:lvlOverride w:ilvl="0">
      <w:startOverride w:val="1"/>
    </w:lvlOverride>
  </w:num>
  <w:num w:numId="2" w16cid:durableId="1759473080">
    <w:abstractNumId w:val="2"/>
    <w:lvlOverride w:ilvl="0">
      <w:startOverride w:val="1"/>
    </w:lvlOverride>
  </w:num>
  <w:num w:numId="3" w16cid:durableId="578297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A"/>
    <w:rsid w:val="0004652A"/>
    <w:rsid w:val="000E37D7"/>
    <w:rsid w:val="00712B01"/>
    <w:rsid w:val="00857A6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0652"/>
  <w15:docId w15:val="{99299557-AB3E-4E41-8AE0-4506B98E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2A"/>
      <w:sz w:val="48"/>
      <w:szCs w:val="48"/>
    </w:rPr>
  </w:style>
  <w:style w:type="paragraph" w:styleId="Heading2">
    <w:name w:val="heading 2"/>
    <w:uiPriority w:val="9"/>
    <w:unhideWhenUsed/>
    <w:qFormat/>
    <w:pPr>
      <w:spacing w:before="240" w:after="120"/>
      <w:outlineLvl w:val="1"/>
    </w:pPr>
    <w:rPr>
      <w:b/>
      <w:bCs/>
      <w:color w:val="028090"/>
      <w:sz w:val="36"/>
      <w:szCs w:val="36"/>
    </w:rPr>
  </w:style>
  <w:style w:type="paragraph" w:styleId="Heading3">
    <w:name w:val="heading 3"/>
    <w:uiPriority w:val="9"/>
    <w:unhideWhenUsed/>
    <w:qFormat/>
    <w:pPr>
      <w:spacing w:before="180" w:after="80"/>
      <w:outlineLvl w:val="2"/>
    </w:pPr>
    <w:rPr>
      <w:b/>
      <w:bCs/>
      <w:color w:val="0D1B2A"/>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857A6E"/>
    <w:pPr>
      <w:spacing w:after="100"/>
      <w:ind w:left="220"/>
    </w:pPr>
  </w:style>
  <w:style w:type="paragraph" w:styleId="TOC1">
    <w:name w:val="toc 1"/>
    <w:basedOn w:val="Normal"/>
    <w:next w:val="Normal"/>
    <w:autoRedefine/>
    <w:uiPriority w:val="39"/>
    <w:unhideWhenUsed/>
    <w:rsid w:val="00857A6E"/>
    <w:pPr>
      <w:spacing w:after="100"/>
    </w:pPr>
  </w:style>
  <w:style w:type="paragraph" w:styleId="TOC3">
    <w:name w:val="toc 3"/>
    <w:basedOn w:val="Normal"/>
    <w:next w:val="Normal"/>
    <w:autoRedefine/>
    <w:uiPriority w:val="39"/>
    <w:unhideWhenUsed/>
    <w:rsid w:val="00857A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10411</Words>
  <Characters>59347</Characters>
  <Application>Microsoft Office Word</Application>
  <DocSecurity>0</DocSecurity>
  <Lines>494</Lines>
  <Paragraphs>139</Paragraphs>
  <ScaleCrop>false</ScaleCrop>
  <Company/>
  <LinksUpToDate>false</LinksUpToDate>
  <CharactersWithSpaces>69619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Vicky Nanda</cp:lastModifiedBy>
  <cp:revision>2</cp:revision>
  <dcterms:created xsi:type="dcterms:W3CDTF">2026-04-26T13:33:00Z</dcterms:created>
  <dcterms:modified xsi:type="dcterms:W3CDTF">2026-04-26T13:33:00Z</dcterms:modified>
</cp:coreProperties>
</file>