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0"/>
              <w:left w:type="dxa" w:w="720"/>
              <w:bottom w:type="dxa" w:w="1000"/>
              <w:right w:type="dxa" w:w="720"/>
            </w:tcMar>
          </w:tcPr>
          <w:p>
            <w:pPr>
              <w:spacing w:before="800" w:after="120"/>
              <w:jc w:val="center"/>
            </w:pPr>
            <w:r>
              <w:rPr>
                <w:rFonts w:ascii="Arial" w:cs="Arial" w:eastAsia="Arial" w:hAnsi="Arial"/>
                <w:b/>
                <w:bCs/>
                <w:color w:val="7799BB"/>
                <w:sz w:val="22"/>
                <w:szCs w:val="22"/>
              </w:rPr>
              <w:t xml:space="preserve">THE BASEL ACCORDS</w:t>
            </w:r>
          </w:p>
          <w:p>
            <w:pPr>
              <w:spacing w:before="0" w:after="160"/>
              <w:jc w:val="center"/>
            </w:pPr>
            <w:r>
              <w:rPr>
                <w:rFonts w:ascii="Arial" w:cs="Arial" w:eastAsia="Arial" w:hAnsi="Arial"/>
                <w:b/>
                <w:bCs/>
                <w:color w:val="FFFFFF"/>
                <w:sz w:val="72"/>
                <w:szCs w:val="72"/>
              </w:rPr>
              <w:t xml:space="preserve">From Basel I to Basel IV</w:t>
            </w:r>
          </w:p>
          <w:p>
            <w:pPr>
              <w:spacing w:before="40" w:after="80"/>
              <w:jc w:val="center"/>
            </w:pPr>
            <w:r>
              <w:rPr>
                <w:rFonts w:ascii="Arial" w:cs="Arial" w:eastAsia="Arial" w:hAnsi="Arial"/>
                <w:color w:val="AACCEE"/>
                <w:sz w:val="28"/>
                <w:szCs w:val="28"/>
              </w:rPr>
              <w:t xml:space="preserve">A Practitioner's Reference Guide</w:t>
            </w:r>
          </w:p>
          <w:p>
            <w:pPr>
              <w:spacing w:before="200" w:after="80"/>
              <w:jc w:val="center"/>
            </w:pPr>
            <w:r>
              <w:rPr>
                <w:rFonts w:ascii="Arial" w:cs="Arial" w:eastAsia="Arial" w:hAnsi="Arial"/>
                <w:color w:val="7799BB"/>
                <w:sz w:val="22"/>
                <w:szCs w:val="22"/>
              </w:rPr>
              <w:t xml:space="preserve">Credit Risk  •  Market Risk  •  Operational Risk</w:t>
            </w:r>
          </w:p>
          <w:p>
            <w:pPr>
              <w:spacing w:before="40" w:after="800"/>
              <w:jc w:val="center"/>
            </w:pPr>
            <w:r>
              <w:rPr>
                <w:rFonts w:ascii="Arial" w:cs="Arial" w:eastAsia="Arial" w:hAnsi="Arial"/>
                <w:i/>
                <w:iCs/>
                <w:color w:val="7799BB"/>
                <w:sz w:val="19"/>
                <w:szCs w:val="19"/>
              </w:rPr>
              <w:t xml:space="preserve">Including worked examples: FX, Equity Derivatives, Interest Rate Swaps</w:t>
            </w:r>
          </w:p>
        </w:tc>
      </w:tr>
    </w:tbl>
    <w:p>
      <w:r>
        <w:br w:type="page"/>
      </w:r>
    </w:p>
    <w:p>
      <w:pPr>
        <w:spacing w:before="0" w:after="80"/>
      </w:pPr>
      <w:r>
        <w:rPr>
          <w:rFonts w:ascii="Arial" w:cs="Arial" w:eastAsia="Arial" w:hAnsi="Arial"/>
          <w:b/>
          <w:bCs/>
          <w:color w:val="1B3A6B"/>
          <w:sz w:val="40"/>
          <w:szCs w:val="40"/>
        </w:rPr>
        <w:t xml:space="preserve">Basel I</w:t>
      </w:r>
    </w:p>
    <w:p>
      <w:pPr>
        <w:spacing w:before="0" w:after="200"/>
      </w:pPr>
      <w:r>
        <w:rPr>
          <w:rFonts w:ascii="Arial" w:cs="Arial" w:eastAsia="Arial" w:hAnsi="Arial"/>
          <w:i/>
          <w:iCs/>
          <w:color w:val="0E6B8A"/>
          <w:sz w:val="22"/>
          <w:szCs w:val="22"/>
        </w:rPr>
        <w:t xml:space="preserve">The Foundation Framework  —  1988</w:t>
      </w:r>
    </w:p>
    <w:p>
      <w:pPr>
        <w:pBdr>
          <w:bottom w:val="single" w:color="0E6B8A" w:sz="10" w:space="4"/>
        </w:pBdr>
        <w:spacing w:before="280" w:after="100"/>
      </w:pPr>
      <w:r>
        <w:rPr>
          <w:rFonts w:ascii="Arial" w:cs="Arial" w:eastAsia="Arial" w:hAnsi="Arial"/>
          <w:b/>
          <w:bCs/>
          <w:color w:val="1B3A6B"/>
          <w:sz w:val="26"/>
          <w:szCs w:val="26"/>
        </w:rPr>
        <w:t xml:space="preserve">CONTEXT &amp; ORIGINS</w:t>
      </w:r>
    </w:p>
    <w:p>
      <w:pPr>
        <w:spacing w:before="60" w:after="60"/>
        <w:jc w:val="left"/>
      </w:pPr>
      <w:r>
        <w:rPr>
          <w:rFonts w:ascii="Arial" w:cs="Arial" w:eastAsia="Arial" w:hAnsi="Arial"/>
          <w:color w:val="333333"/>
          <w:sz w:val="20"/>
          <w:szCs w:val="20"/>
        </w:rPr>
        <w:t xml:space="preserve">The Basel I Accord — formally the International Convergence of Capital Measurement and Capital Standards — was published by the Basel Committee on Banking Supervision (BCBS) in July 1988. It was a direct response to growing concerns through the 1980s about the deteriorating capital adequacy of international banks, amplified by the Latin American debt crisis and the collapse of several major institutions.</w:t>
      </w:r>
    </w:p>
    <w:p>
      <w:pPr>
        <w:spacing w:before="60" w:after="60"/>
        <w:jc w:val="left"/>
      </w:pPr>
      <w:r>
        <w:rPr>
          <w:rFonts w:ascii="Arial" w:cs="Arial" w:eastAsia="Arial" w:hAnsi="Arial"/>
          <w:color w:val="333333"/>
          <w:sz w:val="20"/>
          <w:szCs w:val="20"/>
        </w:rPr>
        <w:t xml:space="preserve">Fourteen countries signed the initial accord, with implementation required by the end of 1992. Its primary goal was simple: ensure banks held sufficient capital to absorb unexpected losses without triggering systemic failure.</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CORE ARCHITECTURE</w:t>
      </w:r>
    </w:p>
    <w:p>
      <w:pPr>
        <w:spacing w:before="180" w:after="60"/>
      </w:pPr>
      <w:r>
        <w:rPr>
          <w:rFonts w:ascii="Arial" w:cs="Arial" w:eastAsia="Arial" w:hAnsi="Arial"/>
          <w:b/>
          <w:bCs/>
          <w:color w:val="0E6B8A"/>
          <w:sz w:val="22"/>
          <w:szCs w:val="22"/>
        </w:rPr>
        <w:t xml:space="preserve">The 8% Capital Requirement</w:t>
      </w:r>
    </w:p>
    <w:p>
      <w:pPr>
        <w:spacing w:before="60" w:after="60"/>
        <w:jc w:val="left"/>
      </w:pPr>
      <w:r>
        <w:rPr>
          <w:rFonts w:ascii="Arial" w:cs="Arial" w:eastAsia="Arial" w:hAnsi="Arial"/>
          <w:color w:val="333333"/>
          <w:sz w:val="20"/>
          <w:szCs w:val="20"/>
        </w:rPr>
        <w:t xml:space="preserve">Basel I established that internationally active banks must maintain a minimum ratio of capital to risk-weighted assets (RWA) of 8%. This became the defining metric of bank capital adequacy for the next decade.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Composition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1 (Core Capital)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Common equity, disclosed reserves. Minimum 4% of RWA. The primary loss-absorbing layer.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2 (Supplementary)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Undisclosed reserves, revaluation reserves, hybrid instruments, subordinated debt (max 50% of Tier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Short-term subordinated debt — introduced later for market risk only (1996 Amendment).</w:t>
            </w:r>
          </w:p>
        </w:tc>
      </w:tr>
    </w:tbl>
    <w:p>
      <w:pPr>
        <w:spacing w:before="80" w:after="0"/>
      </w:pPr>
      <w:r>
        <w:t xml:space="preserve"/>
      </w:r>
    </w:p>
    <w:p>
      <w:pPr>
        <w:spacing w:before="180" w:after="60"/>
      </w:pPr>
      <w:r>
        <w:rPr>
          <w:rFonts w:ascii="Arial" w:cs="Arial" w:eastAsia="Arial" w:hAnsi="Arial"/>
          <w:b/>
          <w:bCs/>
          <w:color w:val="0E6B8A"/>
          <w:sz w:val="22"/>
          <w:szCs w:val="22"/>
        </w:rPr>
        <w:t xml:space="preserve">Risk Weight Categories</w:t>
      </w:r>
    </w:p>
    <w:p>
      <w:pPr>
        <w:spacing w:before="60" w:after="60"/>
        <w:jc w:val="left"/>
      </w:pPr>
      <w:r>
        <w:rPr>
          <w:rFonts w:ascii="Arial" w:cs="Arial" w:eastAsia="Arial" w:hAnsi="Arial"/>
          <w:color w:val="333333"/>
          <w:sz w:val="20"/>
          <w:szCs w:val="20"/>
        </w:rPr>
        <w:t xml:space="preserve">Basel I used a blunt but transparent system of five risk buckets, applied to credit risk only. All assets were assigned to one of the following categories: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 Weight</w:t>
            </w:r>
          </w:p>
        </w:tc>
        <w:tc>
          <w:tcPr>
            <w:tcW w:type="dxa" w:w="7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Asset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Cash, OECD government bonds, central bank claims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OECD public sector entities (some jurisdictions)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multilateral development banks, OECD bank claims &lt; 1yr</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50%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Residential mortgage loans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100%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Private sector claims, non-OECD bank claims, all other assets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KEY FORMULA</w:t>
            </w:r>
          </w:p>
        </w:tc>
        <w:tc>
          <w:tcPr>
            <w:tcW w:type="dxa" w:w="7960"/>
            <w:tcBorders>
              <w:top w:val="single" w:color="0E6B8A" w:sz="6"/>
              <w:left w:val="none" w:color="FFFFFF" w:sz="0"/>
              <w:bottom w:val="single" w:color="0E6B8A" w:sz="6"/>
              <w:right w:val="single" w:color="0E6B8A" w:sz="6"/>
            </w:tcBorders>
            <w:shd w:fill="D6EAF8" w:val="clear"/>
            <w:tcMar>
              <w:top w:type="dxa" w:w="100"/>
              <w:left w:type="dxa" w:w="160"/>
              <w:bottom w:type="dxa" w:w="100"/>
              <w:right w:type="dxa" w:w="160"/>
            </w:tcMar>
          </w:tcPr>
          <w:p>
            <w:r>
              <w:rPr>
                <w:rFonts w:ascii="Arial" w:cs="Arial" w:eastAsia="Arial" w:hAnsi="Arial"/>
                <w:color w:val="333333"/>
                <w:sz w:val="19"/>
                <w:szCs w:val="19"/>
              </w:rPr>
              <w:t xml:space="preserve">Capital Ratio = (Tier 1 + Tier 2 Capital) ÷ Risk-Weighted Assets ≥ 8%</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STRENGTHS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Limitations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Simplicity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Easy to understand; consistent global baseline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One-size-fits-all; no sensitivity to actual borrower risk</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Scope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Established international convergence for first time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Only addressed credit risk; market and operational risk ignored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Quality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Distinguished Tier 1 vs Tier 2</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allowed instruments of questionable loss-absorption quality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Measurement</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Clear, auditable risk weights</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weights not calibrated to empirical default probabilities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Regulatory Arbitrage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Banks gamed the system via securitisation to shift assets off-balance-sheet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KEY LEGACY</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Basel I was never intended as a permanent solution — but it gave regulators a shared language. Its 8% minimum and Tier 1/Tier 2 architecture persists in modified form through every subsequent accord.</w:t>
            </w:r>
          </w:p>
        </w:tc>
      </w:tr>
    </w:tbl>
    <w:p>
      <w:r>
        <w:br w:type="page"/>
      </w:r>
    </w:p>
    <w:p>
      <w:pPr>
        <w:spacing w:before="0" w:after="80"/>
      </w:pPr>
      <w:r>
        <w:rPr>
          <w:rFonts w:ascii="Arial" w:cs="Arial" w:eastAsia="Arial" w:hAnsi="Arial"/>
          <w:b/>
          <w:bCs/>
          <w:color w:val="1B3A6B"/>
          <w:sz w:val="40"/>
          <w:szCs w:val="40"/>
        </w:rPr>
        <w:t xml:space="preserve">Basel II</w:t>
      </w:r>
    </w:p>
    <w:p>
      <w:pPr>
        <w:spacing w:before="0" w:after="200"/>
      </w:pPr>
      <w:r>
        <w:rPr>
          <w:rFonts w:ascii="Arial" w:cs="Arial" w:eastAsia="Arial" w:hAnsi="Arial"/>
          <w:i/>
          <w:iCs/>
          <w:color w:val="0E6B8A"/>
          <w:sz w:val="22"/>
          <w:szCs w:val="22"/>
        </w:rPr>
        <w:t xml:space="preserve">The Three Pillars Framework  —  2004 (Implemented 2008)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jc w:val="left"/>
      </w:pPr>
      <w:r>
        <w:rPr>
          <w:rFonts w:ascii="Arial" w:cs="Arial" w:eastAsia="Arial" w:hAnsi="Arial"/>
          <w:color w:val="333333"/>
          <w:sz w:val="20"/>
          <w:szCs w:val="20"/>
        </w:rPr>
        <w:t xml:space="preserve">Basel II was published in June 2004 after six years of consultation, replacing a framework widely criticised as crude and gameable. Banks had exploited Basel I's fixed risk weights through securitisation and off-balance-sheet vehicles to artificially reduce RWA without reducing actual risk. Basel II sought to align regulatory capital more closely with economic risk, while adding supervisory and market discipline as complementary mechanisms.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THREE PILLARS</w:t>
      </w:r>
    </w:p>
    <w:p>
      <w:pPr>
        <w:spacing w:before="180" w:after="60"/>
      </w:pPr>
      <w:r>
        <w:rPr>
          <w:rFonts w:ascii="Arial" w:cs="Arial" w:eastAsia="Arial" w:hAnsi="Arial"/>
          <w:b/>
          <w:bCs/>
          <w:color w:val="0E6B8A"/>
          <w:sz w:val="22"/>
          <w:szCs w:val="22"/>
        </w:rPr>
        <w:t xml:space="preserve">Pillar 1 — Minimum Capital Requirements</w:t>
      </w:r>
    </w:p>
    <w:p>
      <w:pPr>
        <w:spacing w:before="60" w:after="60"/>
        <w:jc w:val="left"/>
      </w:pPr>
      <w:r>
        <w:rPr>
          <w:rFonts w:ascii="Arial" w:cs="Arial" w:eastAsia="Arial" w:hAnsi="Arial"/>
          <w:color w:val="333333"/>
          <w:sz w:val="20"/>
          <w:szCs w:val="20"/>
        </w:rPr>
        <w:t xml:space="preserve">Basel II retained the 8% minimum ratio but dramatically reformed how RWA was calculated, extending the framework to cover credit risk, market risk (via the 1996 Amendment, now incorporated), and — for the first time — operational risk.</w:t>
      </w:r>
    </w:p>
    <w:p>
      <w:pPr>
        <w:spacing w:before="40" w:after="0"/>
      </w:pPr>
      <w:r>
        <w:t xml:space="preserve"/>
      </w:r>
    </w:p>
    <w:p>
      <w:pPr>
        <w:spacing w:before="180" w:after="60"/>
      </w:pPr>
      <w:r>
        <w:rPr>
          <w:rFonts w:ascii="Arial" w:cs="Arial" w:eastAsia="Arial" w:hAnsi="Arial"/>
          <w:b/>
          <w:bCs/>
          <w:color w:val="0E6B8A"/>
          <w:sz w:val="22"/>
          <w:szCs w:val="22"/>
        </w:rPr>
        <w:t xml:space="preserve">Credit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weights driven by external credit ratings (S&amp;P, Moody's, Fitch). More granular than Basel I but still external-rating dependent.</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Foundation IRB (F-IRB)</w:t>
            </w:r>
          </w:p>
        </w:tc>
        <w:tc>
          <w:tcPr>
            <w:tcW w:type="dxa" w:w="6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Probability of Default (PD) using internal models; LGD, EAD set by regulator.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IRB (A-IRB)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PD, Loss Given Default (LGD), and Exposure at Default (EAD) using internal models. Requires regulatory approval.</w:t>
            </w:r>
          </w:p>
        </w:tc>
      </w:tr>
    </w:tbl>
    <w:p>
      <w:pPr>
        <w:spacing w:before="60" w:after="0"/>
      </w:pPr>
      <w:r>
        <w:t xml:space="preserve"/>
      </w:r>
    </w:p>
    <w:p>
      <w:pPr>
        <w:spacing w:before="180" w:after="60"/>
      </w:pPr>
      <w:r>
        <w:rPr>
          <w:rFonts w:ascii="Arial" w:cs="Arial" w:eastAsia="Arial" w:hAnsi="Arial"/>
          <w:b/>
          <w:bCs/>
          <w:color w:val="0E6B8A"/>
          <w:sz w:val="22"/>
          <w:szCs w:val="22"/>
        </w:rPr>
        <w:t xml:space="preserve">Market Risk — Internal Models Approach</w:t>
      </w:r>
    </w:p>
    <w:p>
      <w:pPr>
        <w:spacing w:before="60" w:after="60"/>
        <w:jc w:val="left"/>
      </w:pPr>
      <w:r>
        <w:rPr>
          <w:rFonts w:ascii="Arial" w:cs="Arial" w:eastAsia="Arial" w:hAnsi="Arial"/>
          <w:color w:val="333333"/>
          <w:sz w:val="20"/>
          <w:szCs w:val="20"/>
        </w:rPr>
        <w:t xml:space="preserve">Basel II incorporated the 1996 Market Risk Amendment, permitting banks to use internal Value-at-Risk (VaR) models (99% confidence, 10-day holding period) to calculate market risk capital. The Standardised Approach remained available as a fallback.</w:t>
      </w:r>
    </w:p>
    <w:p>
      <w:pPr>
        <w:spacing w:before="40" w:after="0"/>
      </w:pPr>
      <w:r>
        <w:t xml:space="preserve"/>
      </w:r>
    </w:p>
    <w:p>
      <w:pPr>
        <w:spacing w:before="180" w:after="60"/>
      </w:pPr>
      <w:r>
        <w:rPr>
          <w:rFonts w:ascii="Arial" w:cs="Arial" w:eastAsia="Arial" w:hAnsi="Arial"/>
          <w:b/>
          <w:bCs/>
          <w:color w:val="0E6B8A"/>
          <w:sz w:val="22"/>
          <w:szCs w:val="22"/>
        </w:rPr>
        <w:t xml:space="preserve">Operational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Basic Indicator Approach (BIA)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OpRisk capital = 15% of average gross income over 3 years. Crude but simple.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Standardised Approach (TSA)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8 business lines each assigned a beta factor (12%–18%) applied to gross income per line.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Measurement Approach (AMA)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use internal loss data, scenario analysis, and risk indicators. Highly flexible but complex.</w:t>
            </w:r>
          </w:p>
        </w:tc>
      </w:tr>
    </w:tbl>
    <w:p>
      <w:pPr>
        <w:spacing w:before="60" w:after="0"/>
      </w:pPr>
      <w:r>
        <w:t xml:space="preserve"/>
      </w:r>
    </w:p>
    <w:p>
      <w:pPr>
        <w:spacing w:before="180" w:after="60"/>
      </w:pPr>
      <w:r>
        <w:rPr>
          <w:rFonts w:ascii="Arial" w:cs="Arial" w:eastAsia="Arial" w:hAnsi="Arial"/>
          <w:b/>
          <w:bCs/>
          <w:color w:val="0E6B8A"/>
          <w:sz w:val="22"/>
          <w:szCs w:val="22"/>
        </w:rPr>
        <w:t xml:space="preserve">Pillar 2 — Supervisory Review Process (SREP)</w:t>
      </w:r>
    </w:p>
    <w:p>
      <w:pPr>
        <w:spacing w:before="60" w:after="60"/>
        <w:jc w:val="left"/>
      </w:pPr>
      <w:r>
        <w:rPr>
          <w:rFonts w:ascii="Arial" w:cs="Arial" w:eastAsia="Arial" w:hAnsi="Arial"/>
          <w:color w:val="333333"/>
          <w:sz w:val="20"/>
          <w:szCs w:val="20"/>
        </w:rPr>
        <w:t xml:space="preserve">Pillar 2 required banks to have an Internal Capital Adequacy Assessment Process (ICAAP) — a self-assessment of all material risks including those not covered under Pillar 1 (concentration risk, liquidity risk, interest rate risk in the banking book). Supervisors could require additional capital buffers beyond Pillar 1 minimums.</w:t>
      </w:r>
    </w:p>
    <w:p>
      <w:pPr>
        <w:spacing w:before="40" w:after="0"/>
      </w:pPr>
      <w:r>
        <w:t xml:space="preserve"/>
      </w:r>
    </w:p>
    <w:p>
      <w:pPr>
        <w:spacing w:before="180" w:after="60"/>
      </w:pPr>
      <w:r>
        <w:rPr>
          <w:rFonts w:ascii="Arial" w:cs="Arial" w:eastAsia="Arial" w:hAnsi="Arial"/>
          <w:b/>
          <w:bCs/>
          <w:color w:val="0E6B8A"/>
          <w:sz w:val="22"/>
          <w:szCs w:val="22"/>
        </w:rPr>
        <w:t xml:space="preserve">Pillar 3 — Market Discipline</w:t>
      </w:r>
    </w:p>
    <w:p>
      <w:pPr>
        <w:spacing w:before="60" w:after="60"/>
        <w:jc w:val="left"/>
      </w:pPr>
      <w:r>
        <w:rPr>
          <w:rFonts w:ascii="Arial" w:cs="Arial" w:eastAsia="Arial" w:hAnsi="Arial"/>
          <w:color w:val="333333"/>
          <w:sz w:val="20"/>
          <w:szCs w:val="20"/>
        </w:rPr>
        <w:t xml:space="preserve">Banks were required to publicly disclose capital structure, risk exposures, and capital adequacy — enabling market participants to assess a bank's risk profile. The logic: transparency creates incentives for prudent risk management.</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KEY INNOVATIONS VS. BASEL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Change from Basel 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Sensitivity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weights based on borrower creditworthiness, not broad asset class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Internal Models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Sophisticated banks could use own PD/LGD/EAD estimates (with approval)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Operational Risk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First formal capital charge for operational risk</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Supervisory Review</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Qualitative oversight formally embedded in capital framework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Discipline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Mandatory public disclosure of risk and capital data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CRITICAL FLAW</w:t>
            </w:r>
          </w:p>
        </w:tc>
        <w:tc>
          <w:tcPr>
            <w:tcW w:type="dxa" w:w="7960"/>
            <w:tcBorders>
              <w:top w:val="single" w:color="0E6B8A" w:sz="6"/>
              <w:left w:val="none" w:color="FFFFFF" w:sz="0"/>
              <w:bottom w:val="single" w:color="0E6B8A" w:sz="6"/>
              <w:right w:val="single" w:color="0E6B8A" w:sz="6"/>
            </w:tcBorders>
            <w:shd w:fill="FFF0E0" w:val="clear"/>
            <w:tcMar>
              <w:top w:type="dxa" w:w="100"/>
              <w:left w:type="dxa" w:w="160"/>
              <w:bottom w:type="dxa" w:w="100"/>
              <w:right w:type="dxa" w:w="160"/>
            </w:tcMar>
          </w:tcPr>
          <w:p>
            <w:r>
              <w:rPr>
                <w:rFonts w:ascii="Arial" w:cs="Arial" w:eastAsia="Arial" w:hAnsi="Arial"/>
                <w:color w:val="333333"/>
                <w:sz w:val="19"/>
                <w:szCs w:val="19"/>
              </w:rPr>
              <w:t xml:space="preserve">Basel II's reliance on external ratings and pro-cyclical VaR models contributed to — rather than mitigated — the 2007–2009 Global Financial Crisis. Banks' capital appeared adequate until correlated risk exposures unravelled simultaneously.</w:t>
            </w:r>
          </w:p>
        </w:tc>
      </w:tr>
    </w:tbl>
    <w:p>
      <w:r>
        <w:br w:type="page"/>
      </w:r>
    </w:p>
    <w:p>
      <w:pPr>
        <w:spacing w:before="0" w:after="80"/>
      </w:pPr>
      <w:r>
        <w:rPr>
          <w:rFonts w:ascii="Arial" w:cs="Arial" w:eastAsia="Arial" w:hAnsi="Arial"/>
          <w:b/>
          <w:bCs/>
          <w:color w:val="1B3A6B"/>
          <w:sz w:val="40"/>
          <w:szCs w:val="40"/>
        </w:rPr>
        <w:t xml:space="preserve">Basel III</w:t>
      </w:r>
    </w:p>
    <w:p>
      <w:pPr>
        <w:spacing w:before="0" w:after="200"/>
      </w:pPr>
      <w:r>
        <w:rPr>
          <w:rFonts w:ascii="Arial" w:cs="Arial" w:eastAsia="Arial" w:hAnsi="Arial"/>
          <w:i/>
          <w:iCs/>
          <w:color w:val="0E6B8A"/>
          <w:sz w:val="22"/>
          <w:szCs w:val="22"/>
        </w:rPr>
        <w:t xml:space="preserve">Post-Crisis Strengthening  —  2010–2019</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jc w:val="left"/>
      </w:pPr>
      <w:r>
        <w:rPr>
          <w:rFonts w:ascii="Arial" w:cs="Arial" w:eastAsia="Arial" w:hAnsi="Arial"/>
          <w:color w:val="333333"/>
          <w:sz w:val="20"/>
          <w:szCs w:val="20"/>
        </w:rPr>
        <w:t xml:space="preserve">The 2007–2009 Global Financial Crisis exposed critical weaknesses in Basel II: banks held too little high-quality capital, were excessively leveraged, depended on short-term wholesale funding, and had built up enormous liquidity mismatches. Basel III was the regulatory response — published in December 2010 with a phased implementation schedule running to 2019. It was not a replacement for Basel II but a substantial reinforcement of it, adding layers of capital quality, quantity, leverage, and liquidity requirements.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CAPITAL QUALITY &amp; QUANTITY REFORMS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Basel III Standard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Common Equity Tier 1 (CET1)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4.5% of RWA. Narrowly defined: common shares + retained earnings only.</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1 Capital</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6% of RWA (CET1 + Additional Tier 1 instruments like CoCos).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8% of RWA (unchanged, but quality dramatically higher).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Capital Conservation Buffer</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+2.5% CET1 above minimum. Restrictions on dividends/buybacks if breached.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Countercyclical Buffer (CCyB)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0–2.5% CET1, set by national regulators in periods of excess credit growth.</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G-SIB Surcharge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1–3.5% additional CET1 for Global Systemically Important Banks.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NEW STRUCTURAL REQUIREMENTS</w:t>
      </w:r>
    </w:p>
    <w:p>
      <w:pPr>
        <w:spacing w:before="180" w:after="60"/>
      </w:pPr>
      <w:r>
        <w:rPr>
          <w:rFonts w:ascii="Arial" w:cs="Arial" w:eastAsia="Arial" w:hAnsi="Arial"/>
          <w:b/>
          <w:bCs/>
          <w:color w:val="0E6B8A"/>
          <w:sz w:val="22"/>
          <w:szCs w:val="22"/>
        </w:rPr>
        <w:t xml:space="preserve">Leverage Ratio</w:t>
      </w:r>
    </w:p>
    <w:p>
      <w:pPr>
        <w:spacing w:before="60" w:after="60"/>
        <w:jc w:val="left"/>
      </w:pPr>
      <w:r>
        <w:rPr>
          <w:rFonts w:ascii="Arial" w:cs="Arial" w:eastAsia="Arial" w:hAnsi="Arial"/>
          <w:color w:val="333333"/>
          <w:sz w:val="20"/>
          <w:szCs w:val="20"/>
        </w:rPr>
        <w:t xml:space="preserve">A non-risk-based backstop: Tier 1 capital must be at least 3% of total exposure (on + off balance sheet). Designed to constrain excessive balance sheet growth regardless of risk-weight calculations.</w:t>
      </w:r>
    </w:p>
    <w:p>
      <w:pPr>
        <w:spacing w:before="40" w:after="0"/>
      </w:pPr>
      <w:r>
        <w:t xml:space="preserve"/>
      </w:r>
    </w:p>
    <w:p>
      <w:pPr>
        <w:spacing w:before="180" w:after="60"/>
      </w:pPr>
      <w:r>
        <w:rPr>
          <w:rFonts w:ascii="Arial" w:cs="Arial" w:eastAsia="Arial" w:hAnsi="Arial"/>
          <w:b/>
          <w:bCs/>
          <w:color w:val="0E6B8A"/>
          <w:sz w:val="22"/>
          <w:szCs w:val="22"/>
        </w:rPr>
        <w:t xml:space="preserve">Liquidity Coverage Ratio (LCR)</w:t>
      </w:r>
    </w:p>
    <w:p>
      <w:pPr>
        <w:spacing w:before="60" w:after="60"/>
        <w:jc w:val="left"/>
      </w:pPr>
      <w:r>
        <w:rPr>
          <w:rFonts w:ascii="Arial" w:cs="Arial" w:eastAsia="Arial" w:hAnsi="Arial"/>
          <w:color w:val="333333"/>
          <w:sz w:val="20"/>
          <w:szCs w:val="20"/>
        </w:rPr>
        <w:t xml:space="preserve">Banks must hold sufficient High Quality Liquid Assets (HQLA) to survive a 30-day stress scenario. LCR = HQLA ÷ Net Cash Outflows over 30 days ≥ 100%. Implemented from 2015.</w:t>
      </w:r>
    </w:p>
    <w:p>
      <w:pPr>
        <w:spacing w:before="40" w:after="0"/>
      </w:pPr>
      <w:r>
        <w:t xml:space="preserve"/>
      </w:r>
    </w:p>
    <w:p>
      <w:pPr>
        <w:spacing w:before="180" w:after="60"/>
      </w:pPr>
      <w:r>
        <w:rPr>
          <w:rFonts w:ascii="Arial" w:cs="Arial" w:eastAsia="Arial" w:hAnsi="Arial"/>
          <w:b/>
          <w:bCs/>
          <w:color w:val="0E6B8A"/>
          <w:sz w:val="22"/>
          <w:szCs w:val="22"/>
        </w:rPr>
        <w:t xml:space="preserve">Net Stable Funding Ratio (NSFR)</w:t>
      </w:r>
    </w:p>
    <w:p>
      <w:pPr>
        <w:spacing w:before="60" w:after="60"/>
        <w:jc w:val="left"/>
      </w:pPr>
      <w:r>
        <w:rPr>
          <w:rFonts w:ascii="Arial" w:cs="Arial" w:eastAsia="Arial" w:hAnsi="Arial"/>
          <w:color w:val="333333"/>
          <w:sz w:val="20"/>
          <w:szCs w:val="20"/>
        </w:rPr>
        <w:t xml:space="preserve">Longer-term structural liquidity standard: Available Stable Funding (ASF) must exceed Required Stable Funding (RSF) over a one-year horizon. NSFR ≥ 100%. Implemented from 2018.</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STRESSED VAR &amp; CVA</w:t>
      </w:r>
    </w:p>
    <w:p>
      <w:pPr>
        <w:pStyle w:val="ListParagraph"/>
        <w:numPr>
          <w:ilvl w:val="0"/>
          <w:numId w:val="2"/>
        </w:numPr>
        <w:spacing w:before="40" w:after="40"/>
      </w:pPr>
      <w:r>
        <w:rPr>
          <w:rFonts w:ascii="Arial" w:cs="Arial" w:eastAsia="Arial" w:hAnsi="Arial"/>
          <w:color w:val="333333"/>
          <w:sz w:val="20"/>
          <w:szCs w:val="20"/>
        </w:rPr>
        <w:t xml:space="preserve">Stressed VaR (SVaR): In addition to normal VaR, banks must calculate VaR using a 12-month stress period (e.g., 2007–2008). Market risk capital = max(VaR, multiplier×avg VaR) + max(SVaR, multiplier×avg SVaR).</w:t>
      </w:r>
    </w:p>
    <w:p>
      <w:pPr>
        <w:pStyle w:val="ListParagraph"/>
        <w:numPr>
          <w:ilvl w:val="0"/>
          <w:numId w:val="2"/>
        </w:numPr>
        <w:spacing w:before="40" w:after="40"/>
      </w:pPr>
      <w:r>
        <w:rPr>
          <w:rFonts w:ascii="Arial" w:cs="Arial" w:eastAsia="Arial" w:hAnsi="Arial"/>
          <w:color w:val="333333"/>
          <w:sz w:val="20"/>
          <w:szCs w:val="20"/>
        </w:rPr>
        <w:t xml:space="preserve">Credit Valuation Adjustment (CVA) Capital Charge: New charge for the risk of mark-to-market losses on OTC derivatives due to counterparty credit deterioration — a major lesson from the crisis where ~2/3 of counterparty losses were CVA, not defaults.</w:t>
      </w:r>
    </w:p>
    <w:p>
      <w:pPr>
        <w:pStyle w:val="ListParagraph"/>
        <w:numPr>
          <w:ilvl w:val="0"/>
          <w:numId w:val="2"/>
        </w:numPr>
        <w:spacing w:before="40" w:after="40"/>
      </w:pPr>
      <w:r>
        <w:rPr>
          <w:rFonts w:ascii="Arial" w:cs="Arial" w:eastAsia="Arial" w:hAnsi="Arial"/>
          <w:color w:val="333333"/>
          <w:sz w:val="20"/>
          <w:szCs w:val="20"/>
        </w:rPr>
        <w:t xml:space="preserve">Incremental Risk Charge (IRC): Capital charge for migration and default risk in the trading book for instruments not captured by VaR.</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REFORMS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EPE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Expected Positive Exposure stressed using crisis-period parameters for CCR capital calculation.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Wrong-Way Risk</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capital requirement where counterparty credit quality correlates with the exposure (e.g., long CDS on own reference entity).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Central Clearing Incentive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Significantly lower risk weights for centrally cleared OTC derivatives vs bilateral trades (2% vs 20%+).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Bilateral Margin Rules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BCBS-IOSCO rules requiring mandatory variation and initial margin for non-cleared OTC derivatives.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KEY SHIFT</w:t>
            </w:r>
          </w:p>
        </w:tc>
        <w:tc>
          <w:tcPr>
            <w:tcW w:type="dxa" w:w="7960"/>
            <w:tcBorders>
              <w:top w:val="single" w:color="0E6B8A" w:sz="6"/>
              <w:left w:val="none" w:color="FFFFFF" w:sz="0"/>
              <w:bottom w:val="single" w:color="0E6B8A" w:sz="6"/>
              <w:right w:val="single" w:color="0E6B8A" w:sz="6"/>
            </w:tcBorders>
            <w:shd w:fill="D6EAF8" w:val="clear"/>
            <w:tcMar>
              <w:top w:type="dxa" w:w="100"/>
              <w:left w:type="dxa" w:w="160"/>
              <w:bottom w:type="dxa" w:w="100"/>
              <w:right w:type="dxa" w:w="160"/>
            </w:tcMar>
          </w:tcPr>
          <w:p>
            <w:r>
              <w:rPr>
                <w:rFonts w:ascii="Arial" w:cs="Arial" w:eastAsia="Arial" w:hAnsi="Arial"/>
                <w:color w:val="333333"/>
                <w:sz w:val="19"/>
                <w:szCs w:val="19"/>
              </w:rPr>
              <w:t xml:space="preserve">Basel III moved from pure risk-sensitivity toward a belt-and-braces approach: risk-sensitive models were retained but backstopped by the non-risk-based leverage ratio and hard liquidity floors. No single metric could be 'gamed' in isolation.</w:t>
            </w:r>
          </w:p>
        </w:tc>
      </w:tr>
    </w:tbl>
    <w:p>
      <w:r>
        <w:br w:type="page"/>
      </w:r>
    </w:p>
    <w:p>
      <w:pPr>
        <w:spacing w:before="0" w:after="80"/>
      </w:pPr>
      <w:r>
        <w:rPr>
          <w:rFonts w:ascii="Arial" w:cs="Arial" w:eastAsia="Arial" w:hAnsi="Arial"/>
          <w:b/>
          <w:bCs/>
          <w:color w:val="1B3A6B"/>
          <w:sz w:val="40"/>
          <w:szCs w:val="40"/>
        </w:rPr>
        <w:t xml:space="preserve">Basel IV</w:t>
      </w:r>
    </w:p>
    <w:p>
      <w:pPr>
        <w:spacing w:before="0" w:after="200"/>
      </w:pPr>
      <w:r>
        <w:rPr>
          <w:rFonts w:ascii="Arial" w:cs="Arial" w:eastAsia="Arial" w:hAnsi="Arial"/>
          <w:i/>
          <w:iCs/>
          <w:color w:val="0E6B8A"/>
          <w:sz w:val="22"/>
          <w:szCs w:val="22"/>
        </w:rPr>
        <w:t xml:space="preserve">The Finalisation  —  2017 (Implementation 2025–2028)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jc w:val="left"/>
      </w:pPr>
      <w:r>
        <w:rPr>
          <w:rFonts w:ascii="Arial" w:cs="Arial" w:eastAsia="Arial" w:hAnsi="Arial"/>
          <w:color w:val="333333"/>
          <w:sz w:val="20"/>
          <w:szCs w:val="20"/>
        </w:rPr>
        <w:t xml:space="preserve">Officially termed the 'finalisation of Basel III' by the BCBS, Basel IV was published in December 2017. The industry coined the 'Basel IV' label to reflect the scale of change. The central problem was variability in RWA calculations across banks using internal models — two banks holding identical portfolios could report dramatically different RWA figures, making capital ratios incomparable and undermining market confidence. Basel IV's mission: constrain model freedom without abandoning risk-sensitivity entirely.</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OUTPUT FLOOR — THE DEFINING CHANGE</w:t>
      </w:r>
    </w:p>
    <w:p>
      <w:pPr>
        <w:spacing w:before="60" w:after="60"/>
        <w:jc w:val="left"/>
      </w:pPr>
      <w:r>
        <w:rPr>
          <w:rFonts w:ascii="Arial" w:cs="Arial" w:eastAsia="Arial" w:hAnsi="Arial"/>
          <w:color w:val="333333"/>
          <w:sz w:val="20"/>
          <w:szCs w:val="20"/>
        </w:rPr>
        <w:t xml:space="preserve">The single most consequential reform: banks using internal models (IRB, IMA) must calculate capital using both their internal models AND the revised standardised approaches. The output floor sets a binding minimum: RWA calculated by internal models cannot fall below 72.5% of standardised RWA.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OUTPUT FLOOR</w:t>
            </w:r>
          </w:p>
        </w:tc>
        <w:tc>
          <w:tcPr>
            <w:tcW w:type="dxa" w:w="7960"/>
            <w:tcBorders>
              <w:top w:val="single" w:color="0E6B8A" w:sz="6"/>
              <w:left w:val="none" w:color="FFFFFF" w:sz="0"/>
              <w:bottom w:val="single" w:color="0E6B8A" w:sz="6"/>
              <w:right w:val="single" w:color="0E6B8A" w:sz="6"/>
            </w:tcBorders>
            <w:shd w:fill="D6EAF8" w:val="clear"/>
            <w:tcMar>
              <w:top w:type="dxa" w:w="100"/>
              <w:left w:type="dxa" w:w="160"/>
              <w:bottom w:type="dxa" w:w="100"/>
              <w:right w:type="dxa" w:w="160"/>
            </w:tcMar>
          </w:tcPr>
          <w:p>
            <w:r>
              <w:rPr>
                <w:rFonts w:ascii="Arial" w:cs="Arial" w:eastAsia="Arial" w:hAnsi="Arial"/>
                <w:color w:val="333333"/>
                <w:sz w:val="19"/>
                <w:szCs w:val="19"/>
              </w:rPr>
              <w:t xml:space="preserve">Internal Model RWA ≥ 72.5% × Standardised RWA. If internal models produce lower RWA, the floor applies — effectively setting a cap on the capital benefit of modelling sophistication.</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CREDIT RISK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Reform Area</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Revised Standardised Approach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More granular risk weights by counterparty type, rating, and product. Reduced reliance on external ratings (especially relevant in jurisdictions like the EU post-CRA regulation).</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IRB Constraints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A-IRB removed for financial institutions and large corporates. F-IRB or SA mandated. LGD floors introduced (e.g., 25% for unsecured corporate exposures). PD floors set at 5bps.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Specialised Lending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supervisory slotting criteria for project finance, object finance, commodities finance.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Equity Exposures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approach for equity exposures removed; 100–400% standardised risk weights apply.</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FRTB</w:t>
      </w:r>
    </w:p>
    <w:p>
      <w:pPr>
        <w:spacing w:before="60" w:after="60"/>
        <w:jc w:val="left"/>
      </w:pPr>
      <w:r>
        <w:rPr>
          <w:rFonts w:ascii="Arial" w:cs="Arial" w:eastAsia="Arial" w:hAnsi="Arial"/>
          <w:color w:val="333333"/>
          <w:sz w:val="20"/>
          <w:szCs w:val="20"/>
        </w:rPr>
        <w:t xml:space="preserve">The Fundamental Review of the Trading Book (FRTB) is Basel IV's most technically complex component, replacing the Basel II/III VaR-based market risk framework entirely.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Element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Trading Book Boundary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Strict, presumptive assignment of instruments to trading vs banking book. Near-impossible to switch without penalty.</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Internal Models Approach (IMA)</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VaR with Expected Shortfall (ES) at 97.5% confidence — better captures tail risk. ES calculated under stress. Desk-level P&amp;L attribution tests required for IMA approval.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Completely redesigned sensitivity-based approach: delta, vega, curvature risk charges by risk class, plus default risk and residual risk add-ons.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without sufficient market data must use stress scenarios — capital charge often punitive.</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NEW STANDARDISED APPROACH</w:t>
      </w:r>
    </w:p>
    <w:p>
      <w:pPr>
        <w:spacing w:before="60" w:after="60"/>
        <w:jc w:val="left"/>
      </w:pPr>
      <w:r>
        <w:rPr>
          <w:rFonts w:ascii="Arial" w:cs="Arial" w:eastAsia="Arial" w:hAnsi="Arial"/>
          <w:color w:val="333333"/>
          <w:sz w:val="20"/>
          <w:szCs w:val="20"/>
        </w:rPr>
        <w:t xml:space="preserve">The AMA (Advanced Measurement Approach) — Basel II's flexible internal model option for operational risk — is abolished entirely. All banks must use the new Standardised Measurement Approach (SMA).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Business Indicator (BI)</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gross income. A more stable measure combining interest, services, and financial components of P&amp;L.</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 Component (BIC)</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Marginal rates applied to BI ranges: 12% (BI ≤ €1bn), 15% (€1–30bn), 18% (&gt;€30bn).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Internal Loss Multiplier (ILM)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large banks (BI &gt;€1bn): scales BIC by historical loss experience. Controversial — rewarded poor loss history banks could face higher charges.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FRTB reporting (not yet capital) begins in EU/UK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Target implementation start (Basel Committee)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2026</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EU CRR3 / UK PRA rules effective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2028</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fully phased in at 72.5%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2030</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 Basel III endgame expected (subject to ongoing revisions)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INDUSTRY IMPACT</w:t>
            </w:r>
          </w:p>
        </w:tc>
        <w:tc>
          <w:tcPr>
            <w:tcW w:type="dxa" w:w="7960"/>
            <w:tcBorders>
              <w:top w:val="single" w:color="0E6B8A" w:sz="6"/>
              <w:left w:val="none" w:color="FFFFFF" w:sz="0"/>
              <w:bottom w:val="single" w:color="0E6B8A" w:sz="6"/>
              <w:right w:val="single" w:color="0E6B8A" w:sz="6"/>
            </w:tcBorders>
            <w:shd w:fill="FFF0E0" w:val="clear"/>
            <w:tcMar>
              <w:top w:type="dxa" w:w="100"/>
              <w:left w:type="dxa" w:w="160"/>
              <w:bottom w:type="dxa" w:w="100"/>
              <w:right w:type="dxa" w:w="160"/>
            </w:tcMar>
          </w:tcPr>
          <w:p>
            <w:r>
              <w:rPr>
                <w:rFonts w:ascii="Arial" w:cs="Arial" w:eastAsia="Arial" w:hAnsi="Arial"/>
                <w:color w:val="333333"/>
                <w:sz w:val="19"/>
                <w:szCs w:val="19"/>
              </w:rPr>
              <w:t xml:space="preserve">Basel IV is estimated to increase RWA for large global banks by 20–25% on average at full implementation, with some trading-book-heavy banks facing increases &gt;40%. The output floor alone could add €100bn+ in required capital across the EU banking sector.</w:t>
            </w:r>
          </w:p>
        </w:tc>
      </w:tr>
    </w:tbl>
    <w:p>
      <w:r>
        <w:br w:type="page"/>
      </w:r>
    </w:p>
    <w:p>
      <w:pPr>
        <w:spacing w:before="0" w:after="80"/>
      </w:pPr>
      <w:r>
        <w:rPr>
          <w:rFonts w:ascii="Arial" w:cs="Arial" w:eastAsia="Arial" w:hAnsi="Arial"/>
          <w:b/>
          <w:bCs/>
          <w:color w:val="1B3A6B"/>
          <w:sz w:val="40"/>
          <w:szCs w:val="40"/>
        </w:rPr>
        <w:t xml:space="preserve">Credit Risk Evolution</w:t>
      </w:r>
    </w:p>
    <w:p>
      <w:pPr>
        <w:spacing w:before="0" w:after="200"/>
      </w:pPr>
      <w:r>
        <w:rPr>
          <w:rFonts w:ascii="Arial" w:cs="Arial" w:eastAsia="Arial" w:hAnsi="Arial"/>
          <w:i/>
          <w:iCs/>
          <w:color w:val="0E6B8A"/>
          <w:sz w:val="22"/>
          <w:szCs w:val="22"/>
        </w:rPr>
        <w:t xml:space="preserve">From Fixed Buckets to Model Constraints  —  1988 to 2025</w:t>
      </w:r>
    </w:p>
    <w:p>
      <w:pPr>
        <w:pBdr>
          <w:bottom w:val="single" w:color="0E6B8A" w:sz="10" w:space="4"/>
        </w:pBdr>
        <w:spacing w:before="280" w:after="100"/>
      </w:pPr>
      <w:r>
        <w:rPr>
          <w:rFonts w:ascii="Arial" w:cs="Arial" w:eastAsia="Arial" w:hAnsi="Arial"/>
          <w:b/>
          <w:bCs/>
          <w:color w:val="1B3A6B"/>
          <w:sz w:val="26"/>
          <w:szCs w:val="26"/>
        </w:rPr>
        <w:t xml:space="preserve">THE CONCEPTUAL JOURNEY</w:t>
      </w:r>
    </w:p>
    <w:p>
      <w:pPr>
        <w:spacing w:before="60" w:after="60"/>
        <w:jc w:val="left"/>
      </w:pPr>
      <w:r>
        <w:rPr>
          <w:rFonts w:ascii="Arial" w:cs="Arial" w:eastAsia="Arial" w:hAnsi="Arial"/>
          <w:color w:val="333333"/>
          <w:sz w:val="20"/>
          <w:szCs w:val="20"/>
        </w:rPr>
        <w:t xml:space="preserve">Credit risk — the risk that a borrower or counterparty fails to meet its obligations — has always been the primary concern of banking regulation. Its treatment under Basel has evolved from crude categorisation to sophisticated internal modelling and back to a constrained hybrid, reflecting a fundamental tension: risk-sensitive models are more accurate but also more manipulable and pro-cyclical.</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FRAMEWORK COMPARISON ACROSS 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Dimension</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 (1988)</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 (2004)</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III (2010)</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IV (2017)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Risk Weight Basis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Broad asset class (5 buckets)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External rating or internal PD/LGD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Refined IRB; CVA added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Constrained IRB; output floor 72.5%</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Internal Models</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permitted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IRB (F-IRB &amp; A-IRB) with approval</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Stressed EPE; WWR requirements</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A-IRB restricted; LGD/PD floors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Counterparty Credit Risk</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(crude notional-based add-on)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IMM for CCR; CEM retained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proposed; CVA capital charge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mandatory; CVA SA/BA-CVA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Default Risk in Trading Book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Specific risk charge</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IRC (Incremental Risk Charge)</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Default Risk Charge (DRC) under FRTB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Securitisation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8% flat (largely off-balance)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Ratings-based; IRB-based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Revised hierarchy: SEC-SA, SEC-ERBA, SEC-IAA</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Higher floors, 1250% for certain tranches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Concentration Risk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only</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 large exposures framework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Large exposures limit: max 25% of Tier 1</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METHODOLOGY EVOLUTION</w:t>
      </w:r>
    </w:p>
    <w:p>
      <w:pPr>
        <w:spacing w:before="180" w:after="60"/>
      </w:pPr>
      <w:r>
        <w:rPr>
          <w:rFonts w:ascii="Arial" w:cs="Arial" w:eastAsia="Arial" w:hAnsi="Arial"/>
          <w:b/>
          <w:bCs/>
          <w:color w:val="0E6B8A"/>
          <w:sz w:val="22"/>
          <w:szCs w:val="22"/>
        </w:rPr>
        <w:t xml:space="preserve">Current Exposure Method (CEM) — Basel I / II</w:t>
      </w:r>
    </w:p>
    <w:p>
      <w:pPr>
        <w:spacing w:before="60" w:after="60"/>
        <w:jc w:val="left"/>
      </w:pPr>
      <w:r>
        <w:rPr>
          <w:rFonts w:ascii="Arial" w:cs="Arial" w:eastAsia="Arial" w:hAnsi="Arial"/>
          <w:color w:val="333333"/>
          <w:sz w:val="20"/>
          <w:szCs w:val="20"/>
        </w:rPr>
        <w:t xml:space="preserve">CEM calculated CCR exposure as replacement cost (mark-to-market value if positive) plus an add-on based on notional amount and a fixed factor by asset class and maturity. Widely criticised for ignoring netting, volatility of exposure over time, and margin agreements.</w:t>
      </w:r>
    </w:p>
    <w:p>
      <w:pPr>
        <w:spacing w:before="40" w:after="0"/>
      </w:pPr>
      <w:r>
        <w:t xml:space="preserve"/>
      </w:r>
    </w:p>
    <w:p>
      <w:pPr>
        <w:spacing w:before="180" w:after="60"/>
      </w:pPr>
      <w:r>
        <w:rPr>
          <w:rFonts w:ascii="Arial" w:cs="Arial" w:eastAsia="Arial" w:hAnsi="Arial"/>
          <w:b/>
          <w:bCs/>
          <w:color w:val="0E6B8A"/>
          <w:sz w:val="22"/>
          <w:szCs w:val="22"/>
        </w:rPr>
        <w:t xml:space="preserve">Standardised Method (SM) — Basel II alternative</w:t>
      </w:r>
    </w:p>
    <w:p>
      <w:pPr>
        <w:spacing w:before="60" w:after="60"/>
        <w:jc w:val="left"/>
      </w:pPr>
      <w:r>
        <w:rPr>
          <w:rFonts w:ascii="Arial" w:cs="Arial" w:eastAsia="Arial" w:hAnsi="Arial"/>
          <w:color w:val="333333"/>
          <w:sz w:val="20"/>
          <w:szCs w:val="20"/>
        </w:rPr>
        <w:t xml:space="preserve">A modest improvement allowing delta-equivalent exposures; still used simple multipliers. Rarely adopted.</w:t>
      </w:r>
    </w:p>
    <w:p>
      <w:pPr>
        <w:spacing w:before="40" w:after="0"/>
      </w:pPr>
      <w:r>
        <w:t xml:space="preserve"/>
      </w:r>
    </w:p>
    <w:p>
      <w:pPr>
        <w:spacing w:before="180" w:after="60"/>
      </w:pPr>
      <w:r>
        <w:rPr>
          <w:rFonts w:ascii="Arial" w:cs="Arial" w:eastAsia="Arial" w:hAnsi="Arial"/>
          <w:b/>
          <w:bCs/>
          <w:color w:val="0E6B8A"/>
          <w:sz w:val="22"/>
          <w:szCs w:val="22"/>
        </w:rPr>
        <w:t xml:space="preserve">Internal Model Method (IMM) — Basel II / III</w:t>
      </w:r>
    </w:p>
    <w:p>
      <w:pPr>
        <w:spacing w:before="60" w:after="60"/>
        <w:jc w:val="left"/>
      </w:pPr>
      <w:r>
        <w:rPr>
          <w:rFonts w:ascii="Arial" w:cs="Arial" w:eastAsia="Arial" w:hAnsi="Arial"/>
          <w:color w:val="333333"/>
          <w:sz w:val="20"/>
          <w:szCs w:val="20"/>
        </w:rPr>
        <w:t xml:space="preserve">Banks with supervisory approval could model Expected Exposure (EE) profiles using Monte Carlo simulation, computing Effective EPE as the capital exposure metric. Under Basel III, stressed EPE was required alongside unstressed, with a 1.4x alpha multiplier applied. IMM gave the best capital efficiency but required significant model infrastructure.</w:t>
      </w:r>
    </w:p>
    <w:p>
      <w:pPr>
        <w:spacing w:before="40" w:after="0"/>
      </w:pPr>
      <w:r>
        <w:t xml:space="preserve"/>
      </w:r>
    </w:p>
    <w:p>
      <w:pPr>
        <w:spacing w:before="180" w:after="60"/>
      </w:pPr>
      <w:r>
        <w:rPr>
          <w:rFonts w:ascii="Arial" w:cs="Arial" w:eastAsia="Arial" w:hAnsi="Arial"/>
          <w:b/>
          <w:bCs/>
          <w:color w:val="0E6B8A"/>
          <w:sz w:val="22"/>
          <w:szCs w:val="22"/>
        </w:rPr>
        <w:t xml:space="preserve">SA-CCR (Standardised Approach for CCR) — Basel III/IV</w:t>
      </w:r>
    </w:p>
    <w:p>
      <w:pPr>
        <w:spacing w:before="60" w:after="60"/>
        <w:jc w:val="left"/>
      </w:pPr>
      <w:r>
        <w:rPr>
          <w:rFonts w:ascii="Arial" w:cs="Arial" w:eastAsia="Arial" w:hAnsi="Arial"/>
          <w:color w:val="333333"/>
          <w:sz w:val="20"/>
          <w:szCs w:val="20"/>
        </w:rPr>
        <w:t xml:space="preserve">SA-CCR replaced CEM in 2017 as the mandatory non-model method under Basel IV. It is considerably more risk-sensitive than CEM: it explicitly recognises netting and margin, uses delta/adjusted notional for derivatives, and applies supervisory-calibrated factors by asset class and maturity. SA-CCR is now the floor for IMM banks and the only option for non-IMM banks.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CVA: FROM IGNORED TO CENTRAL</w:t>
      </w:r>
    </w:p>
    <w:p>
      <w:pPr>
        <w:spacing w:before="60" w:after="60"/>
        <w:jc w:val="left"/>
      </w:pPr>
      <w:r>
        <w:rPr>
          <w:rFonts w:ascii="Arial" w:cs="Arial" w:eastAsia="Arial" w:hAnsi="Arial"/>
          <w:color w:val="333333"/>
          <w:sz w:val="20"/>
          <w:szCs w:val="20"/>
        </w:rPr>
        <w:t xml:space="preserve">Prior to Basel III, Credit Valuation Adjustment — the market value of counterparty default risk — was an accounting concept but not a capital one. The 2007–2009 crisis revealed that roughly two-thirds of counterparty credit losses came from CVA deterioration (mark-to-market), not actual defaults. Basel III introduced a CVA capital charge for the first time. Basel IV (FRTB-CVA) replaced the original CVA framework with two approaches: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CVA Approach</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Basic Approach (BA-CVA)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Formula-based; uses SA-CCR exposures and supervisory-calibrated credit spreads. Available to all banks.</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(SA-CVA)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approach similar to FRTB SA market risk. Requires CVA desk with hedging capability. Recognises CVA hedges explicitly.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TRAJECTORY</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Credit risk capital has moved from simple flat rates → ratings-sensitive models → internal PD/LGD models → constrained models with standardised floors. The direction of travel since 2017 is: more standardisation, higher minimums, less model discretion.</w:t>
            </w:r>
          </w:p>
        </w:tc>
      </w:tr>
    </w:tbl>
    <w:p>
      <w:r>
        <w:br w:type="page"/>
      </w:r>
    </w:p>
    <w:p>
      <w:pPr>
        <w:spacing w:before="0" w:after="80"/>
      </w:pPr>
      <w:r>
        <w:rPr>
          <w:rFonts w:ascii="Arial" w:cs="Arial" w:eastAsia="Arial" w:hAnsi="Arial"/>
          <w:b/>
          <w:bCs/>
          <w:color w:val="1B3A6B"/>
          <w:sz w:val="40"/>
          <w:szCs w:val="40"/>
        </w:rPr>
        <w:t xml:space="preserve">Market &amp; Operational Risk Evolution</w:t>
      </w:r>
    </w:p>
    <w:p>
      <w:pPr>
        <w:spacing w:before="0" w:after="200"/>
      </w:pPr>
      <w:r>
        <w:rPr>
          <w:rFonts w:ascii="Arial" w:cs="Arial" w:eastAsia="Arial" w:hAnsi="Arial"/>
          <w:i/>
          <w:iCs/>
          <w:color w:val="0E6B8A"/>
          <w:sz w:val="22"/>
          <w:szCs w:val="22"/>
        </w:rPr>
        <w:t xml:space="preserve">From Absence to FRTB and SMA  —  1996 to 2025</w:t>
      </w:r>
    </w:p>
    <w:p>
      <w:pPr>
        <w:pBdr>
          <w:bottom w:val="single" w:color="0E6B8A" w:sz="10" w:space="4"/>
        </w:pBdr>
        <w:spacing w:before="280" w:after="100"/>
      </w:pPr>
      <w:r>
        <w:rPr>
          <w:rFonts w:ascii="Arial" w:cs="Arial" w:eastAsia="Arial" w:hAnsi="Arial"/>
          <w:b/>
          <w:bCs/>
          <w:color w:val="1B3A6B"/>
          <w:sz w:val="26"/>
          <w:szCs w:val="26"/>
        </w:rPr>
        <w:t xml:space="preserve">MARKET RISK: THE JOURNEY</w:t>
      </w:r>
    </w:p>
    <w:p>
      <w:pPr>
        <w:spacing w:before="180" w:after="60"/>
      </w:pPr>
      <w:r>
        <w:rPr>
          <w:rFonts w:ascii="Arial" w:cs="Arial" w:eastAsia="Arial" w:hAnsi="Arial"/>
          <w:b/>
          <w:bCs/>
          <w:color w:val="0E6B8A"/>
          <w:sz w:val="22"/>
          <w:szCs w:val="22"/>
        </w:rPr>
        <w:t xml:space="preserve">Pre-1996: No Explicit Market Risk Capital</w:t>
      </w:r>
    </w:p>
    <w:p>
      <w:pPr>
        <w:spacing w:before="60" w:after="60"/>
        <w:jc w:val="left"/>
      </w:pPr>
      <w:r>
        <w:rPr>
          <w:rFonts w:ascii="Arial" w:cs="Arial" w:eastAsia="Arial" w:hAnsi="Arial"/>
          <w:color w:val="333333"/>
          <w:sz w:val="20"/>
          <w:szCs w:val="20"/>
        </w:rPr>
        <w:t xml:space="preserve">Basel I made no provision for market risk at all — a critical omission as banks' trading books grew rapidly through the late 1980s and early 1990s. Banks held capital only against credit risk, even in portfolios with enormous interest rate, FX, and equity exposure.</w:t>
      </w:r>
    </w:p>
    <w:p>
      <w:pPr>
        <w:spacing w:before="40" w:after="0"/>
      </w:pPr>
      <w:r>
        <w:t xml:space="preserve"/>
      </w:r>
    </w:p>
    <w:p>
      <w:pPr>
        <w:spacing w:before="180" w:after="60"/>
      </w:pPr>
      <w:r>
        <w:rPr>
          <w:rFonts w:ascii="Arial" w:cs="Arial" w:eastAsia="Arial" w:hAnsi="Arial"/>
          <w:b/>
          <w:bCs/>
          <w:color w:val="0E6B8A"/>
          <w:sz w:val="22"/>
          <w:szCs w:val="22"/>
        </w:rPr>
        <w:t xml:space="preserve">1996 Amendment: VaR Enters Regulation</w:t>
      </w:r>
    </w:p>
    <w:p>
      <w:pPr>
        <w:spacing w:before="60" w:after="60"/>
        <w:jc w:val="left"/>
      </w:pPr>
      <w:r>
        <w:rPr>
          <w:rFonts w:ascii="Arial" w:cs="Arial" w:eastAsia="Arial" w:hAnsi="Arial"/>
          <w:color w:val="333333"/>
          <w:sz w:val="20"/>
          <w:szCs w:val="20"/>
        </w:rPr>
        <w:t xml:space="preserve">The Market Risk Amendment to Basel I (effective 1997) was a landmark: it was the first time regulators permitted internal models — specifically Value-at-Risk (VaR) — to drive regulatory capital. Banks approved to use internal models calculated market risk capital as: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7960"/>
            <w:tcBorders>
              <w:top w:val="single" w:color="0E6B8A" w:sz="6"/>
              <w:left w:val="none" w:color="FFFFFF" w:sz="0"/>
              <w:bottom w:val="single" w:color="0E6B8A" w:sz="6"/>
              <w:right w:val="single" w:color="0E6B8A" w:sz="6"/>
            </w:tcBorders>
            <w:shd w:fill="D6EAF8" w:val="clear"/>
            <w:tcMar>
              <w:top w:type="dxa" w:w="100"/>
              <w:left w:type="dxa" w:w="160"/>
              <w:bottom w:type="dxa" w:w="100"/>
              <w:right w:type="dxa" w:w="160"/>
            </w:tcMar>
          </w:tcPr>
          <w:p>
            <w:r>
              <w:rPr>
                <w:rFonts w:ascii="Arial" w:cs="Arial" w:eastAsia="Arial" w:hAnsi="Arial"/>
                <w:color w:val="333333"/>
                <w:sz w:val="19"/>
                <w:szCs w:val="19"/>
              </w:rPr>
              <w:t xml:space="preserve">Market Risk Capital = max(VaR(t-1), mc × Avg VaR(60d)) × (1/10 for daily, scaled to 10-day hold)</w:t>
            </w:r>
          </w:p>
        </w:tc>
      </w:tr>
    </w:tbl>
    <w:p>
      <w:pPr>
        <w:spacing w:before="40" w:after="0"/>
      </w:pPr>
      <w:r>
        <w:t xml:space="preserve"/>
      </w:r>
    </w:p>
    <w:p>
      <w:pPr>
        <w:spacing w:before="60" w:after="60"/>
        <w:jc w:val="left"/>
      </w:pPr>
      <w:r>
        <w:rPr>
          <w:rFonts w:ascii="Arial" w:cs="Arial" w:eastAsia="Arial" w:hAnsi="Arial"/>
          <w:color w:val="333333"/>
          <w:sz w:val="20"/>
          <w:szCs w:val="20"/>
        </w:rPr>
        <w:t xml:space="preserve">The multiplication factor (mc) was set between 3 and 4 based on backtesting results — the number of days the actual loss exceeded VaR over the prior 250 trading days. The Standardised Approach remained available for banks without model approval.</w:t>
      </w:r>
    </w:p>
    <w:p>
      <w:pPr>
        <w:spacing w:before="40" w:after="0"/>
      </w:pPr>
      <w:r>
        <w:t xml:space="preserve"/>
      </w:r>
    </w:p>
    <w:p>
      <w:pPr>
        <w:spacing w:before="180" w:after="60"/>
      </w:pPr>
      <w:r>
        <w:rPr>
          <w:rFonts w:ascii="Arial" w:cs="Arial" w:eastAsia="Arial" w:hAnsi="Arial"/>
          <w:b/>
          <w:bCs/>
          <w:color w:val="0E6B8A"/>
          <w:sz w:val="22"/>
          <w:szCs w:val="22"/>
        </w:rPr>
        <w:t xml:space="preserve">Basel II (2004): Incorporation Without Major Reform</w:t>
      </w:r>
    </w:p>
    <w:p>
      <w:pPr>
        <w:spacing w:before="60" w:after="60"/>
        <w:jc w:val="left"/>
      </w:pPr>
      <w:r>
        <w:rPr>
          <w:rFonts w:ascii="Arial" w:cs="Arial" w:eastAsia="Arial" w:hAnsi="Arial"/>
          <w:color w:val="333333"/>
          <w:sz w:val="20"/>
          <w:szCs w:val="20"/>
        </w:rPr>
        <w:t xml:space="preserve">Basel II formally incorporated the 1996 Amendment but added little new market risk content. The Standardised Approach was refined, and the framework for specific risk (credit spread risk in the trading book) was tightened. The fundamental VaR architecture remained unchanged.</w:t>
      </w:r>
    </w:p>
    <w:p>
      <w:pPr>
        <w:spacing w:before="40" w:after="0"/>
      </w:pPr>
      <w:r>
        <w:t xml:space="preserve"/>
      </w:r>
    </w:p>
    <w:p>
      <w:pPr>
        <w:spacing w:before="180" w:after="60"/>
      </w:pPr>
      <w:r>
        <w:rPr>
          <w:rFonts w:ascii="Arial" w:cs="Arial" w:eastAsia="Arial" w:hAnsi="Arial"/>
          <w:b/>
          <w:bCs/>
          <w:color w:val="0E6B8A"/>
          <w:sz w:val="22"/>
          <w:szCs w:val="22"/>
        </w:rPr>
        <w:t xml:space="preserve">Basel III (2010): Stressed VaR, IRC, and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VaR (SVaR)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Identical VaR calculation but calibrated to a 12-month crisis period (typically 2007–2008). Total market risk capital = VaR + SVaR component. Doubled the effective capital charge for many banks.</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Incremental Risk Charge (IRC)</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Capital for default and ratings migration risk of credit products in the trading book — addressing the gap where specific risk VaR underestimated jump-to-default losses on bonds and CDS.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Comprehensive Risk Measure (CRM)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correlation trading portfolios (CDO tranches, nth-to-default), a bespoke capital charge replacing VaR entirely.</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As described in Credit Risk section — a new market risk-type charge for OTC derivative CVA volatility.</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Complete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Component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VaR. ES at 97.5% captures the tail of the loss distribution (average loss beyond the 97.5th percentile), addressing VaR's blindness to severity beyond the threshold.</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Different risk factors assigned different liquidity horizons (10–120 days) rather than universal 10-day hold. Illiquid risk factors penalised.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Desks must demonstrate their risk model explains actual P&amp;L movements. Persistent failure results in revocation of IMA approval.</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Backtesting</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 requirement: real and hypothetical P&amp;L tested. Three-zone traffic-light system (green/amber/red).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RFs without 24 real price observations/year over 12 months cannot be modelled — capital charged via stress scenario (punitive).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Trading/Banking Book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Strict presumptive classification. Reclassification requires supervisory approval and capital penalty (capital difference recognised immediately).</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THE JOURNEY</w:t>
      </w:r>
    </w:p>
    <w:p>
      <w:pPr>
        <w:spacing w:before="180" w:after="60"/>
      </w:pPr>
      <w:r>
        <w:rPr>
          <w:rFonts w:ascii="Arial" w:cs="Arial" w:eastAsia="Arial" w:hAnsi="Arial"/>
          <w:b/>
          <w:bCs/>
          <w:color w:val="0E6B8A"/>
          <w:sz w:val="22"/>
          <w:szCs w:val="22"/>
        </w:rPr>
        <w:t xml:space="preserve">Basel I: Not Addressed</w:t>
      </w:r>
    </w:p>
    <w:p>
      <w:pPr>
        <w:spacing w:before="60" w:after="60"/>
        <w:jc w:val="left"/>
      </w:pPr>
      <w:r>
        <w:rPr>
          <w:rFonts w:ascii="Arial" w:cs="Arial" w:eastAsia="Arial" w:hAnsi="Arial"/>
          <w:color w:val="333333"/>
          <w:sz w:val="20"/>
          <w:szCs w:val="20"/>
        </w:rPr>
        <w:t xml:space="preserve">Operational risk — the risk of losses from failed processes, systems, people, or external events — received no explicit capital treatment under Basel I. It was implicitly subsumed in the general 8% capital cushion.</w:t>
      </w:r>
    </w:p>
    <w:p>
      <w:pPr>
        <w:spacing w:before="40" w:after="0"/>
      </w:pPr>
      <w:r>
        <w:t xml:space="preserve"/>
      </w:r>
    </w:p>
    <w:p>
      <w:pPr>
        <w:spacing w:before="180" w:after="60"/>
      </w:pPr>
      <w:r>
        <w:rPr>
          <w:rFonts w:ascii="Arial" w:cs="Arial" w:eastAsia="Arial" w:hAnsi="Arial"/>
          <w:b/>
          <w:bCs/>
          <w:color w:val="0E6B8A"/>
          <w:sz w:val="22"/>
          <w:szCs w:val="22"/>
        </w:rPr>
        <w:t xml:space="preserve">Basel II (2004): First Formal Treatment</w:t>
      </w:r>
    </w:p>
    <w:p>
      <w:pPr>
        <w:spacing w:before="60" w:after="60"/>
        <w:jc w:val="left"/>
      </w:pPr>
      <w:r>
        <w:rPr>
          <w:rFonts w:ascii="Arial" w:cs="Arial" w:eastAsia="Arial" w:hAnsi="Arial"/>
          <w:color w:val="333333"/>
          <w:sz w:val="20"/>
          <w:szCs w:val="20"/>
        </w:rPr>
        <w:t xml:space="preserve">Basel II introduced three approaches of increasing sophistication. The AMA in particular represented regulatory trust in internal modelling: banks could use their own loss data, external loss data, scenario analysis, and business environment factors to model OpRisk capital — with full flexibility on methodology subject to supervisory approval. AMA charges were often significantly below the standardised approaches, incentivising adoption.</w:t>
      </w:r>
    </w:p>
    <w:p>
      <w:pPr>
        <w:spacing w:before="40" w:after="0"/>
      </w:pPr>
      <w:r>
        <w:t xml:space="preserve"/>
      </w:r>
    </w:p>
    <w:p>
      <w:pPr>
        <w:spacing w:before="180" w:after="60"/>
      </w:pPr>
      <w:r>
        <w:rPr>
          <w:rFonts w:ascii="Arial" w:cs="Arial" w:eastAsia="Arial" w:hAnsi="Arial"/>
          <w:b/>
          <w:bCs/>
          <w:color w:val="0E6B8A"/>
          <w:sz w:val="22"/>
          <w:szCs w:val="22"/>
        </w:rPr>
        <w:t xml:space="preserve">Basel III: Refinements Only</w:t>
      </w:r>
    </w:p>
    <w:p>
      <w:pPr>
        <w:spacing w:before="60" w:after="60"/>
        <w:jc w:val="left"/>
      </w:pPr>
      <w:r>
        <w:rPr>
          <w:rFonts w:ascii="Arial" w:cs="Arial" w:eastAsia="Arial" w:hAnsi="Arial"/>
          <w:color w:val="333333"/>
          <w:sz w:val="20"/>
          <w:szCs w:val="20"/>
        </w:rPr>
        <w:t xml:space="preserve">Basel III made no fundamental changes to OpRisk capital methodology, though it enhanced Pillar 2 expectations around operational resilience, recovery and resolution planning, and conduct risk governance.</w:t>
      </w:r>
    </w:p>
    <w:p>
      <w:pPr>
        <w:spacing w:before="40" w:after="0"/>
      </w:pPr>
      <w:r>
        <w:t xml:space="preserve"/>
      </w:r>
    </w:p>
    <w:p>
      <w:pPr>
        <w:spacing w:before="180" w:after="60"/>
      </w:pPr>
      <w:r>
        <w:rPr>
          <w:rFonts w:ascii="Arial" w:cs="Arial" w:eastAsia="Arial" w:hAnsi="Arial"/>
          <w:b/>
          <w:bCs/>
          <w:color w:val="0E6B8A"/>
          <w:sz w:val="22"/>
          <w:szCs w:val="22"/>
        </w:rPr>
        <w:t xml:space="preserve">Basel IV (2017): AMA Abolished — SMA Introduced</w:t>
      </w:r>
    </w:p>
    <w:p>
      <w:pPr>
        <w:spacing w:before="60" w:after="60"/>
        <w:jc w:val="left"/>
      </w:pPr>
      <w:r>
        <w:rPr>
          <w:rFonts w:ascii="Arial" w:cs="Arial" w:eastAsia="Arial" w:hAnsi="Arial"/>
          <w:color w:val="333333"/>
          <w:sz w:val="20"/>
          <w:szCs w:val="20"/>
        </w:rPr>
        <w:t xml:space="preserve">The Basel Committee concluded that AMA had failed: OpRisk capital varied so widely across banks using AMA that comparability was lost, and the methodology was too complex for supervisors to validate reliably. The SMA creates a single, formula-based approach for all banks globally: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 Range</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BIC Rate</w:t>
            </w:r>
          </w:p>
        </w:tc>
        <w:tc>
          <w:tcPr>
            <w:tcW w:type="dxa" w:w="3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Marginal Capital Added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€1bn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€120m</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€1bn – €30bn</w:t>
            </w:r>
          </w:p>
        </w:tc>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3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Up to €4.47bn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&gt;€30bn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 on incremental BI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OPERATIONAL RISK DEBATE</w:t>
            </w:r>
          </w:p>
        </w:tc>
        <w:tc>
          <w:tcPr>
            <w:tcW w:type="dxa" w:w="7960"/>
            <w:tcBorders>
              <w:top w:val="single" w:color="0E6B8A" w:sz="6"/>
              <w:left w:val="none" w:color="FFFFFF" w:sz="0"/>
              <w:bottom w:val="single" w:color="0E6B8A" w:sz="6"/>
              <w:right w:val="single" w:color="0E6B8A" w:sz="6"/>
            </w:tcBorders>
            <w:shd w:fill="FFF0E0" w:val="clear"/>
            <w:tcMar>
              <w:top w:type="dxa" w:w="100"/>
              <w:left w:type="dxa" w:w="160"/>
              <w:bottom w:type="dxa" w:w="100"/>
              <w:right w:type="dxa" w:w="160"/>
            </w:tcMar>
          </w:tcPr>
          <w:p>
            <w:r>
              <w:rPr>
                <w:rFonts w:ascii="Arial" w:cs="Arial" w:eastAsia="Arial" w:hAnsi="Arial"/>
                <w:color w:val="333333"/>
                <w:sz w:val="19"/>
                <w:szCs w:val="19"/>
              </w:rPr>
              <w:t xml:space="preserve">The SMA has been heavily criticised: it does not distinguish between banks with excellent and poor operational risk cultures; it penalises banks for high revenue regardless of actual loss history; and some argue it is a step backward from risk-sensitivity. The ILM modification (applicable to large banks) partially addresses this via loss history, but the fundamental model-free nature of SMA remains controversial.</w:t>
            </w:r>
          </w:p>
        </w:tc>
      </w:tr>
    </w:tbl>
    <w:p>
      <w:r>
        <w:br w:type="page"/>
      </w:r>
    </w:p>
    <w:p>
      <w:pPr>
        <w:spacing w:before="0" w:after="80"/>
      </w:pPr>
      <w:r>
        <w:rPr>
          <w:rFonts w:ascii="Arial" w:cs="Arial" w:eastAsia="Arial" w:hAnsi="Arial"/>
          <w:b/>
          <w:bCs/>
          <w:color w:val="1B3A6B"/>
          <w:sz w:val="40"/>
          <w:szCs w:val="40"/>
        </w:rPr>
        <w:t xml:space="preserve">Worked Examples</w:t>
      </w:r>
    </w:p>
    <w:p>
      <w:pPr>
        <w:spacing w:before="0" w:after="200"/>
      </w:pPr>
      <w:r>
        <w:rPr>
          <w:rFonts w:ascii="Arial" w:cs="Arial" w:eastAsia="Arial" w:hAnsi="Arial"/>
          <w:i/>
          <w:iCs/>
          <w:color w:val="0E6B8A"/>
          <w:sz w:val="22"/>
          <w:szCs w:val="22"/>
        </w:rPr>
        <w:t xml:space="preserve">Risk Treatment Across Basel I → IV</w:t>
      </w:r>
    </w:p>
    <w:p>
      <w:pPr>
        <w:spacing w:before="60" w:after="60"/>
        <w:jc w:val="left"/>
      </w:pPr>
      <w:r>
        <w:rPr>
          <w:rFonts w:ascii="Arial" w:cs="Arial" w:eastAsia="Arial" w:hAnsi="Arial"/>
          <w:i/>
          <w:iCs/>
          <w:color w:val="888888"/>
          <w:sz w:val="20"/>
          <w:szCs w:val="20"/>
        </w:rPr>
        <w:t xml:space="preserve">The following examples apply the same illustrative trade in each instrument class across all four Basel variants. Capital figures are indicative and simplified for clarity; actual calculations require full parameter sets, netting agreements, and portfolio context.</w:t>
      </w:r>
    </w:p>
    <w:p>
      <w:pPr>
        <w:spacing w:before="80" w:after="0"/>
      </w:pPr>
      <w:r>
        <w:t xml:space="preserve"/>
      </w:r>
    </w:p>
    <w:p>
      <w:pPr>
        <w:pBdr>
          <w:bottom w:val="single" w:color="1B3A6B" w:sz="10" w:space="4"/>
        </w:pBdr>
        <w:spacing w:before="280" w:after="100"/>
      </w:pPr>
      <w:r>
        <w:rPr>
          <w:rFonts w:ascii="Arial" w:cs="Arial" w:eastAsia="Arial" w:hAnsi="Arial"/>
          <w:b/>
          <w:bCs/>
          <w:color w:val="1B3A6B"/>
          <w:sz w:val="26"/>
          <w:szCs w:val="26"/>
        </w:rPr>
        <w:t xml:space="preserve">EXAMPLE 1: FX FORWARD — USD/SGD</w:t>
      </w:r>
    </w:p>
    <w:p>
      <w:pPr>
        <w:spacing w:before="60" w:after="60"/>
        <w:jc w:val="left"/>
      </w:pPr>
      <w:r>
        <w:rPr>
          <w:rFonts w:ascii="Arial" w:cs="Arial" w:eastAsia="Arial" w:hAnsi="Arial"/>
          <w:color w:val="333333"/>
          <w:sz w:val="20"/>
          <w:szCs w:val="20"/>
        </w:rPr>
        <w:t xml:space="preserve">Trade: Bank A sells USD 10,000,000 / Buys SGD 13,500,000 forward, 6-month maturity. Counterparty: Singapore-incorporated corporate, BBB-rated. No margin agreement. Spot USD/SGD: 1.35.</w:t>
      </w:r>
    </w:p>
    <w:p>
      <w:pPr>
        <w:spacing w:before="60" w:after="0"/>
      </w:pPr>
      <w:r>
        <w:t xml:space="preserve"/>
      </w:r>
    </w:p>
    <w:p>
      <w:pPr>
        <w:spacing w:before="180" w:after="60"/>
      </w:pPr>
      <w:r>
        <w:rPr>
          <w:rFonts w:ascii="Arial" w:cs="Arial" w:eastAsia="Arial" w:hAnsi="Arial"/>
          <w:b/>
          <w:bCs/>
          <w:color w:val="0E6B8A"/>
          <w:sz w:val="22"/>
          <w:szCs w:val="22"/>
        </w:rPr>
        <w:t xml:space="preserve">Basel 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Equivalent (CRE)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(assume MTM = $200,000 in-the-money) + Add-on: 1% × $10m notional = $100,000. CRE = $300,000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Risk Weight</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Counterparty = non-bank corporate = 100% risk weight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RWA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$300,000 × 100% = $300,000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Capital (8%)</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$300,000 × 8% = $24,000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Market risk: none (no trading book market risk capital under Basel I). Notional-based add-on is crude — same capital regardless of volatility regime or remaining tenor distribution.</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(Standardised)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MTM + CEM add-on (1% × notional). BBB corporate = 100% risk weight under SA. RWA = $300,000. Capital = $24,000.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 models PD = 0.35%, LGD = 45%, EAD = $300,000. RWA formula yields ~$180,000. Capital = $14,400 — 40% saving vs SA.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(Trading Book)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If FX forward held in trading book: VaR-based capital (internal model) or standardised FX position approach (8% × net open position). Assume VaR capital = $8,000.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IRB delivers material capital saving. Market risk now separately charged if in trading book. Banks incentivised to classify positions strategically between trading and banking book.</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(SA-CCR intro)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Adjusted notional = $10m × supervisory delta × maturity factor. Assume replacement cost $200,000 + PFE (SA-CCR) $250,000 = EAD $450,000. RWA = $450,000. Capital = $36,000.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using EAD and implied credit spread for BBB corporate (~80bps). CVA capital ≈ $12,000 additional.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 capital + Stressed VaR component. Total market risk capital ≈ $16,000 (vs $8,000 Basel II) if in trading book.</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Approx $48,000 (credit + CVA) if banking book; ~$64,000 if trading book. Significantly higher than Basel II.</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SA-CCR better captures the potential future exposure under market stress. CVA charge is new and material — often the dominant driver for short-dated FX with investment grade counterparties.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SA-CCR mandatory (same as Basel III). If using IRB, output floor applies: Internal model RWA cannot be below 72.5% × SA RWA = 72.5% × $450,000 = $326,250. Capital floored at $26,100.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SA-CVA (if desk approved) uses sensitivity-based approach: delta to credit spread and FX. BA-CVA otherwise. Hedges explicitly recognised. Assume CVA capital $10,000 with hedges.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(FRTB)</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If trading book: ES-based capital using liquidity horizons. FX risk factor = 10-day liquidity horizon. NMRF assessment required for exotic currency pairs. Capital ~$18,000.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Capital (banking book)</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~$36,000 credit + $10,000 CVA = $46,000. Broadly similar to Basel III but with harder floors.</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2: EQUITY DERIVATIVE — LONG EUROPEAN CALL OPTION ON FTSE 100</w:t>
      </w:r>
    </w:p>
    <w:p>
      <w:pPr>
        <w:spacing w:before="60" w:after="60"/>
        <w:jc w:val="left"/>
      </w:pPr>
      <w:r>
        <w:rPr>
          <w:rFonts w:ascii="Arial" w:cs="Arial" w:eastAsia="Arial" w:hAnsi="Arial"/>
          <w:color w:val="333333"/>
          <w:sz w:val="20"/>
          <w:szCs w:val="20"/>
        </w:rPr>
        <w:t xml:space="preserve">Trade: Bank A purchases a European call option on FTSE 100 index, notional £5,000,000 (∼$6.3m), 1-year expiry, ATM (strike = spot = 7,500). Delta = 0.52. Premium paid = £420,000. Counterparty: UK investment bank (AA-rated). Bilateral, no CCP.</w:t>
      </w:r>
    </w:p>
    <w:p>
      <w:pPr>
        <w:spacing w:before="60" w:after="0"/>
      </w:pPr>
      <w:r>
        <w:t xml:space="preserve"/>
      </w:r>
    </w:p>
    <w:p>
      <w:pPr>
        <w:spacing w:before="180" w:after="60"/>
      </w:pPr>
      <w:r>
        <w:rPr>
          <w:rFonts w:ascii="Arial" w:cs="Arial" w:eastAsia="Arial" w:hAnsi="Arial"/>
          <w:b/>
          <w:bCs/>
          <w:color w:val="0E6B8A"/>
          <w:sz w:val="22"/>
          <w:szCs w:val="22"/>
        </w:rPr>
        <w:t xml:space="preserve">Basel 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Premium paid is the maximum loss (option bought, so no ongoing exposure if fully paid). CRE = premium £420,000 (or MTM if positive). OECD bank counterparty = 20% risk weight. RWA = £84,000. Capital = £6,720.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 capital required under Basel I for market risk. Equity price risk is unaddressed.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Basel I grotesquely underestimates risk: a £5m equity index exposure with significant gamma and vega risk has near-zero capital. The OECD bank counterparty discount (20%) reflects geographic bias, not credit quality.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AA bank counterparty under SA = 20% risk weight. EAD ≈ MTM of option (assume £480,000 after some market movement). RWA = £96,000. Capital = £7,680.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Standardised</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 equivalent position = 0.52 × £5m = £2.6m FTSE 100 exposure. Equity specific risk charge = 8% × £2.6m = £208,000. General risk charge = 8% × £2.6m = £208,000. Options add-on for gamma/vega.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Internal 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VaR-based: 99%/10-day VaR on options position. Includes delta, gamma, vega risk. Assume VaR capital = £180,000. Lower than standardised.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Market risk capital now appropriate and substantial. VaR-based internal model allows diversification credit across portfolio — single-trade VaR is conservative. Options non-linearity (gamma) is partially captured.</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 CVA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CVA charge for AA bank counterparty: low PD, but notional is significant. BA-CVA using EAD and 20bps credit spread. CVA capital ≈ £10,000 (small given tight spread).</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VaR + SVaR. If 2008 crisis period used as stress: FTSE fell ~40% in 12 months. SVaR significantly higher than normal VaR. Total market risk capital ≈ £320,000 (vs £180,000 Basel II).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IRC</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applicable to options on equity indices (no specific issuer default risk).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SVaR almost doubles market risk capital. The equity derivative trading business becomes significantly more capital-intensive — a direct cause of banks scaling back proprietary equity derivative positions post-2010.</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FRTB SA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delta risk charge (equity delta × risk weight 25% for index options), vega risk charge (vega × implied vol risk weight 28%), curvature charge (revaluation shock). Total SA capital ≈ £380,000.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FRTB IMA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at 97.5% with 20-day liquidity horizon for equity risk factors. P&amp;L attribution required. NMRF: if deep OTM strikes have sparse data, NMRF charge added. IMA capital ≈ £280,000 but NMRF may add £30,000+.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Equity exposures: A-IRB removed. SA risk weight for equity: 250% (listed, non-speculative). If option is in banking book (strategic position): 250% × MTM exposure.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using FRTB IMA: floor = 72.5% × SA capital. Floor = 72.5% × £380,000 = £275,500. IMA capital £280,000 &gt; floor, so IMA applies.</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3: INTEREST RATE SWAP (IRS) — FIXED/FLOAT</w:t>
      </w:r>
    </w:p>
    <w:p>
      <w:pPr>
        <w:spacing w:before="60" w:after="60"/>
        <w:jc w:val="left"/>
      </w:pPr>
      <w:r>
        <w:rPr>
          <w:rFonts w:ascii="Arial" w:cs="Arial" w:eastAsia="Arial" w:hAnsi="Arial"/>
          <w:color w:val="333333"/>
          <w:sz w:val="20"/>
          <w:szCs w:val="20"/>
        </w:rPr>
        <w:t xml:space="preserve">Trade: Bank A pays fixed 4.5% / receives 6M EURIBOR on €20,000,000 notional, 5-year maturity. Counterparty: French corporate (A-rated). Bilateral (no CCP). Current MTM: Bank A in-the-money by €350,000 (rates have fallen since trade inception).</w:t>
      </w:r>
    </w:p>
    <w:p>
      <w:pPr>
        <w:spacing w:before="60" w:after="0"/>
      </w:pPr>
      <w:r>
        <w:t xml:space="preserve"/>
      </w:r>
    </w:p>
    <w:p>
      <w:pPr>
        <w:spacing w:before="180" w:after="60"/>
      </w:pPr>
      <w:r>
        <w:rPr>
          <w:rFonts w:ascii="Arial" w:cs="Arial" w:eastAsia="Arial" w:hAnsi="Arial"/>
          <w:b/>
          <w:bCs/>
          <w:color w:val="0E6B8A"/>
          <w:sz w:val="22"/>
          <w:szCs w:val="22"/>
        </w:rPr>
        <w:t xml:space="preserve">Basel 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Equivalent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€350,000 (positive MTM). Add-on: 0.5% × €20m × 5yr (using Basel I table for IR derivatives: 0.5% for 1–5yr) = €100,000. CRE = €450,000.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Risk Weight</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 100%.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RWA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€450,000. Capital = €36,000.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applicable under Basel I (no trading book market risk charge).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IRS with €20m notional and 5-year duration carries enormous interest rate sensitivity (DV01 ≈ €8,500 per basis point) — but Basel I capital is only €36,000. Add-on factor for IR derivatives is lower than FX (reflecting lower volatility), which is reasonable, but ignores duration and curve risk entirely.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A-rated corporate = 50% risk weight under SA. EAD = €450,000 (CEM as above). RWA = €225,000. Capital = €18,000.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PD = 0.15% (A-rated), LGD = 45%, EAD = €450,000. IRB capital formula ≈ €12,000 — 33% below SA.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IR risk: DV01 × scenario shift. Assume 10-day VaR = €85,000 for this swap in context of portfolio hedge. Capital ≈ €255,000 (including multiplier) — dominates credit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Market risk capital now far exceeds CCR capital for a 5-year IRS. VaR capital is highly sensitive to portfolio netting — a perfectly hedged book carries near-zero market risk VaR capital, reflecting genuine risk reduction.</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SA-CCR (CCR Capital)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Adjusted notional = €20m × supervisory duration factor (for 5yr: ≈0.85 × ln(1+T)/T scaling). PFE add-on = 0.5% supervisory factor × adjusted notional ≈ €85,000. EAD = €350,000 RC + €85,000 PFE = €435,000. A-rated corporate: 50% RW. RWA = €217,500. Capital = €17,400.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(BA-CVA)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€435,000 × 5yr maturity × supervisory credit spread (A corporate ≈ 50bps). CVA capital ≈ €22,000.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using 2008 stress period (extreme rate movements). Total market risk capital ≈ €180,000 (down from €255,000 if portfolio is better netted with new hedges).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CCP Incentive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cleared via LCH SwapClear: CCR RW drops to 2%. CCR capital falls to €8,700 (vs €17,400 bilateral). CVA exempted for CCP trades. Strong incentive to centrally clear.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COMMENT</w:t>
            </w:r>
          </w:p>
        </w:tc>
        <w:tc>
          <w:tcPr>
            <w:tcW w:type="dxa" w:w="7960"/>
            <w:tcBorders>
              <w:top w:val="single" w:color="0E6B8A" w:sz="6"/>
              <w:left w:val="none" w:color="FFFFFF" w:sz="0"/>
              <w:bottom w:val="single" w:color="0E6B8A" w:sz="6"/>
              <w:right w:val="single" w:color="0E6B8A" w:sz="6"/>
            </w:tcBorders>
            <w:shd w:fill="F4F6F8" w:val="clear"/>
            <w:tcMar>
              <w:top w:type="dxa" w:w="100"/>
              <w:left w:type="dxa" w:w="160"/>
              <w:bottom w:type="dxa" w:w="100"/>
              <w:right w:type="dxa" w:w="160"/>
            </w:tcMar>
          </w:tcPr>
          <w:p>
            <w:r>
              <w:rPr>
                <w:rFonts w:ascii="Arial" w:cs="Arial" w:eastAsia="Arial" w:hAnsi="Arial"/>
                <w:color w:val="333333"/>
                <w:sz w:val="19"/>
                <w:szCs w:val="19"/>
              </w:rPr>
              <w:t xml:space="preserve">CVA is new and meaningful. The CCP incentive is the single most impactful regulatory driver on IRS markets post-2010 — it has driven clearance rates for standard IRS above 80% globally. Bilateral IRS with A-rated corporates faces almost 3× the CCR capital of cleared equivalents.</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(SA-CCR mandatory)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Identical to Basel III SA-CCR. EAD €435,000. If IRB used: output floor = 72.5% × SA RWA = 72.5% × €217,500 = €157,700. IRB gives €130,000 RWA — floor binds. Capital floored at €12,600.</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 Market Risk (SA)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delta to EURIBOR curve (risk weight ~1.5% for 5yr bucket), curvature for non-linear positions, vega if options embedded. IR SA capital ≈ €90,000 for this swap.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FRTB Market Risk (IMA)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 97.5% with 20-day liquidity horizon for IR risk. Assume ES capital = €70,000. Floor: 72.5% × €90,000 = €65,250. IMA applies (above floor).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(FRTB-CVA / SA-CVA)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bank hedges CVA with CDS on corporate: SA-CVA recognises hedge. Net CVA capital ≈ €12,000.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Approx €12,600 (CCR) + €12,000 (CVA) + €70,000 (market risk) = €94,600. vs Basel I €36,000 and Basel II €30,000 for a comparable bilateral uncleared position.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6"/>
              <w:left w:val="single" w:color="0E6B8A" w:sz="6"/>
              <w:bottom w:val="single" w:color="0E6B8A" w:sz="6"/>
              <w:right w:val="none" w:color="FFFFFF" w:sz="0"/>
            </w:tcBorders>
            <w:shd w:fill="1B3A6B"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SUMMARY COMPARISON</w:t>
            </w:r>
          </w:p>
        </w:tc>
        <w:tc>
          <w:tcPr>
            <w:tcW w:type="dxa" w:w="7960"/>
            <w:tcBorders>
              <w:top w:val="single" w:color="0E6B8A" w:sz="6"/>
              <w:left w:val="none" w:color="FFFFFF" w:sz="0"/>
              <w:bottom w:val="single" w:color="0E6B8A" w:sz="6"/>
              <w:right w:val="single" w:color="0E6B8A" w:sz="6"/>
            </w:tcBorders>
            <w:shd w:fill="D6EAF8" w:val="clear"/>
            <w:tcMar>
              <w:top w:type="dxa" w:w="100"/>
              <w:left w:type="dxa" w:w="160"/>
              <w:bottom w:type="dxa" w:w="100"/>
              <w:right w:type="dxa" w:w="160"/>
            </w:tcMar>
          </w:tcPr>
          <w:p>
            <w:r>
              <w:rPr>
                <w:rFonts w:ascii="Arial" w:cs="Arial" w:eastAsia="Arial" w:hAnsi="Arial"/>
                <w:color w:val="333333"/>
                <w:sz w:val="19"/>
                <w:szCs w:val="19"/>
              </w:rPr>
              <w:t xml:space="preserve">For a 5yr €20m IRS bilateral with A-rated corporate: Basel I €36,000  →  Basel II €30,000  →  Basel III €57,000  →  Basel IV €95,000. Capital has nearly tripled from Basel II to IV, primarily driven by CVA, SA-CCR, and FRTB. Central clearing eliminates most of this increase — the regulatory architecture is explicitly designed to push standardised derivatives to CCPs.</w:t>
            </w:r>
          </w:p>
        </w:tc>
      </w:tr>
    </w:tbl>
    <w:p>
      <w:r>
        <w:br w:type="page"/>
      </w:r>
    </w:p>
    <w:p>
      <w:pPr>
        <w:spacing w:before="0" w:after="80"/>
      </w:pPr>
      <w:r>
        <w:rPr>
          <w:rFonts w:ascii="Arial" w:cs="Arial" w:eastAsia="Arial" w:hAnsi="Arial"/>
          <w:b/>
          <w:bCs/>
          <w:color w:val="1B3A6B"/>
          <w:sz w:val="40"/>
          <w:szCs w:val="40"/>
        </w:rPr>
        <w:t xml:space="preserve">Summary Reference</w:t>
      </w:r>
    </w:p>
    <w:p>
      <w:pPr>
        <w:spacing w:before="0" w:after="200"/>
      </w:pPr>
      <w:r>
        <w:rPr>
          <w:rFonts w:ascii="Arial" w:cs="Arial" w:eastAsia="Arial" w:hAnsi="Arial"/>
          <w:i/>
          <w:iCs/>
          <w:color w:val="0E6B8A"/>
          <w:sz w:val="22"/>
          <w:szCs w:val="22"/>
        </w:rPr>
        <w:t xml:space="preserve">Basel I → IV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  (1988)</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  (2004)</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III  (2010)</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IV  (2017)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CET1 / Core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 + buffers</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Total Capital</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to 13%</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Credit Risk Method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 fixed buckets</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 / F-IRB / A-IRB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Refined IRB; SA-CCR</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Constrained IRB; floor</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Counterparty Risk</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(notional add-on)</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 IMM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 Stressed EPE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mandatory</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CVA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BA-CVA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FRTB-CVA (SA/BA)</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Market Risk</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(1996 Amendment)</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 Stressed VaR + IRC</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 (ES-based)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Operational Risk</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Implicit only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BIA / TSA / AMA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 change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SMA only (AMA abolished)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Leverage Ratio</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(backstop)</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(strengthened)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Liquidity (LCR/NSFR)</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refined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Output Floor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72.5% of SA RWA</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 Pillar 3</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Enhanced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Further strengthened</w:t>
            </w:r>
          </w:p>
        </w:tc>
      </w:tr>
    </w:tbl>
    <w:p>
      <w:pPr>
        <w:spacing w:before="120" w:after="0"/>
      </w:pPr>
      <w:r>
        <w:t xml:space="preserve"/>
      </w:r>
    </w:p>
    <w:p>
      <w:pPr>
        <w:spacing w:before="60" w:after="60"/>
        <w:jc w:val="left"/>
      </w:pPr>
      <w:r>
        <w:rPr>
          <w:rFonts w:ascii="Arial" w:cs="Arial" w:eastAsia="Arial" w:hAnsi="Arial"/>
          <w:i/>
          <w:iCs/>
          <w:color w:val="888888"/>
          <w:sz w:val="17"/>
          <w:szCs w:val="17"/>
        </w:rPr>
        <w:t xml:space="preserve">This document is a practitioner reference summary. All capital figures in the worked examples are illustrative and simplified. Actual regulatory capital calculations require full parameter sets, approved model frameworks, netting and margin agreements, and portfolio-level netting.</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888888"/>
        <w:sz w:val="16"/>
        <w:szCs w:val="16"/>
      </w:rPr>
      <w:t xml:space="preserve">Basel Accord Evolution: Credit, Market &amp; Operational Risk</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2026-03-04T08:32:01.053Z</dcterms:created>
  <dcterms:modified xsi:type="dcterms:W3CDTF">2026-03-04T08:32:01.054Z</dcterms:modified>
</cp:coreProperties>
</file>

<file path=docProps/custom.xml><?xml version="1.0" encoding="utf-8"?>
<Properties xmlns="http://schemas.openxmlformats.org/officeDocument/2006/custom-properties" xmlns:vt="http://schemas.openxmlformats.org/officeDocument/2006/docPropsVTypes"/>
</file>