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0"/>
              <w:left w:type="dxa" w:w="720"/>
              <w:bottom w:type="dxa" w:w="1000"/>
              <w:right w:type="dxa" w:w="720"/>
            </w:tcMar>
          </w:tcPr>
          <w:p>
            <w:pPr>
              <w:spacing w:before="800" w:after="120"/>
              <w:jc w:val="center"/>
            </w:pPr>
            <w:r>
              <w:rPr>
                <w:rFonts w:ascii="Arial" w:cs="Arial" w:eastAsia="Arial" w:hAnsi="Arial"/>
                <w:b/>
                <w:bCs/>
                <w:color w:val="7799BB"/>
                <w:sz w:val="22"/>
                <w:szCs w:val="22"/>
              </w:rPr>
              <w:t xml:space="preserve">THE BASEL ACCORDS</w:t>
            </w:r>
          </w:p>
          <w:p>
            <w:pPr>
              <w:spacing w:before="0" w:after="160"/>
              <w:jc w:val="center"/>
            </w:pPr>
            <w:r>
              <w:rPr>
                <w:rFonts w:ascii="Arial" w:cs="Arial" w:eastAsia="Arial" w:hAnsi="Arial"/>
                <w:b/>
                <w:bCs/>
                <w:color w:val="FFFFFF"/>
                <w:sz w:val="72"/>
                <w:szCs w:val="72"/>
              </w:rPr>
              <w:t xml:space="preserve">From Basel I to Basel IV</w:t>
            </w:r>
          </w:p>
          <w:p>
            <w:pPr>
              <w:spacing w:before="40" w:after="80"/>
              <w:jc w:val="center"/>
            </w:pPr>
            <w:r>
              <w:rPr>
                <w:rFonts w:ascii="Arial" w:cs="Arial" w:eastAsia="Arial" w:hAnsi="Arial"/>
                <w:color w:val="AACCEE"/>
                <w:sz w:val="28"/>
                <w:szCs w:val="28"/>
              </w:rPr>
              <w:t xml:space="preserve">A Practitioner's Reference Guide</w:t>
            </w:r>
          </w:p>
          <w:p>
            <w:pPr>
              <w:spacing w:before="200" w:after="80"/>
              <w:jc w:val="center"/>
            </w:pPr>
            <w:r>
              <w:rPr>
                <w:rFonts w:ascii="Arial" w:cs="Arial" w:eastAsia="Arial" w:hAnsi="Arial"/>
                <w:color w:val="7799BB"/>
                <w:sz w:val="22"/>
                <w:szCs w:val="22"/>
              </w:rPr>
              <w:t xml:space="preserve">Credit Risk  •  Market Risk  •  Operational Risk</w:t>
            </w:r>
          </w:p>
          <w:p>
            <w:pPr>
              <w:spacing w:before="40" w:after="80"/>
              <w:jc w:val="center"/>
            </w:pPr>
            <w:r>
              <w:rPr>
                <w:rFonts w:ascii="Arial" w:cs="Arial" w:eastAsia="Arial" w:hAnsi="Arial"/>
                <w:i/>
                <w:iCs/>
                <w:color w:val="7799BB"/>
                <w:sz w:val="19"/>
                <w:szCs w:val="19"/>
              </w:rPr>
              <w:t xml:space="preserve">Including worked examples: FX Forward, Equity Derivatives, Interest Rate Swaps</w:t>
            </w:r>
          </w:p>
          <w:p>
            <w:pPr>
              <w:spacing w:before="80" w:after="800"/>
              <w:jc w:val="center"/>
            </w:pPr>
            <w:r>
              <w:rPr>
                <w:rFonts w:ascii="Arial" w:cs="Arial" w:eastAsia="Arial" w:hAnsi="Arial"/>
                <w:i/>
                <w:iCs/>
                <w:color w:val="5577AA"/>
                <w:sz w:val="17"/>
                <w:szCs w:val="17"/>
              </w:rPr>
              <w:t xml:space="preserve">Revised Edition — includes critical self-review and corrections</w:t>
            </w:r>
          </w:p>
        </w:tc>
      </w:tr>
    </w:tbl>
    <w:p>
      <w:r>
        <w:br w:type="page"/>
      </w:r>
    </w:p>
    <w:p>
      <w:pPr>
        <w:spacing w:before="0" w:after="80"/>
      </w:pPr>
      <w:r>
        <w:rPr>
          <w:rFonts w:ascii="Arial" w:cs="Arial" w:eastAsia="Arial" w:hAnsi="Arial"/>
          <w:b/>
          <w:bCs/>
          <w:color w:val="1B3A6B"/>
          <w:sz w:val="40"/>
          <w:szCs w:val="40"/>
        </w:rPr>
        <w:t xml:space="preserve">Critical Review &amp; Corrections</w:t>
      </w:r>
    </w:p>
    <w:p>
      <w:pPr>
        <w:spacing w:before="0" w:after="200"/>
      </w:pPr>
      <w:r>
        <w:rPr>
          <w:rFonts w:ascii="Arial" w:cs="Arial" w:eastAsia="Arial" w:hAnsi="Arial"/>
          <w:i/>
          <w:iCs/>
          <w:color w:val="0E6B8A"/>
          <w:sz w:val="22"/>
          <w:szCs w:val="22"/>
        </w:rPr>
        <w:t xml:space="preserve">Self-Assessment of Accuracy and Limitations</w:t>
      </w:r>
    </w:p>
    <w:p>
      <w:pPr>
        <w:spacing w:before="60" w:after="120"/>
        <w:jc w:val="left"/>
      </w:pPr>
      <w:r>
        <w:rPr>
          <w:rFonts w:ascii="Arial" w:cs="Arial" w:eastAsia="Arial" w:hAnsi="Arial"/>
          <w:i/>
          <w:iCs/>
          <w:color w:val="888888"/>
          <w:sz w:val="20"/>
          <w:szCs w:val="20"/>
        </w:rPr>
        <w:t xml:space="preserve">The following identifies material inaccuracies, oversimplifications, and caveats in this document. These are flagged throughout the text with CORRECTION boxes. Readers should treat all worked example capital figures as illustrative orders of magnitude only.</w:t>
      </w:r>
    </w:p>
    <w:p>
      <w:pPr>
        <w:pBdr>
          <w:bottom w:val="single" w:color="0E6B8A" w:sz="10" w:space="4"/>
        </w:pBdr>
        <w:spacing w:before="280" w:after="100"/>
      </w:pPr>
      <w:r>
        <w:rPr>
          <w:rFonts w:ascii="Arial" w:cs="Arial" w:eastAsia="Arial" w:hAnsi="Arial"/>
          <w:b/>
          <w:bCs/>
          <w:color w:val="1B3A6B"/>
          <w:sz w:val="26"/>
          <w:szCs w:val="26"/>
        </w:rPr>
        <w:t xml:space="preserve">CONFIRMED ERRORS CORRECTED IN THIS VERSION</w:t>
      </w:r>
    </w:p>
    <w:p>
      <w:pPr>
        <w:spacing w:before="180" w:after="60"/>
      </w:pPr>
      <w:r>
        <w:rPr>
          <w:rFonts w:ascii="Arial" w:cs="Arial" w:eastAsia="Arial" w:hAnsi="Arial"/>
          <w:b/>
          <w:bCs/>
          <w:color w:val="0E6B8A"/>
          <w:sz w:val="22"/>
          <w:szCs w:val="22"/>
        </w:rPr>
        <w:t xml:space="preserve">1. BCBS Founding Membership — Basel I</w:t>
      </w:r>
    </w:p>
    <w:p>
      <w:pPr>
        <w:spacing w:before="60" w:after="60"/>
        <w:jc w:val="left"/>
      </w:pPr>
      <w:r>
        <w:rPr>
          <w:rFonts w:ascii="Arial" w:cs="Arial" w:eastAsia="Arial" w:hAnsi="Arial"/>
          <w:color w:val="333333"/>
          <w:sz w:val="20"/>
          <w:szCs w:val="20"/>
        </w:rPr>
        <w:t xml:space="preserve">The original draft stated '14 countries signed the accord'. The BCBS was founded by the G10 central bank governors, comprising 12 countries (Belgium, Canada, France, Germany, Italy, Japan, Luxembourg, Netherlands, Sweden, Switzerland, United Kingdom, United States). The 1988 Accord was a product of these 12 member jurisdictions. [Source: BCBS History, BIS.org]</w:t>
      </w:r>
    </w:p>
    <w:p>
      <w:pPr>
        <w:spacing w:before="40" w:after="0"/>
      </w:pPr>
      <w:r>
        <w:t xml:space="preserve"/>
      </w:r>
    </w:p>
    <w:p>
      <w:pPr>
        <w:spacing w:before="180" w:after="60"/>
      </w:pPr>
      <w:r>
        <w:rPr>
          <w:rFonts w:ascii="Arial" w:cs="Arial" w:eastAsia="Arial" w:hAnsi="Arial"/>
          <w:b/>
          <w:bCs/>
          <w:color w:val="0E6B8A"/>
          <w:sz w:val="22"/>
          <w:szCs w:val="22"/>
        </w:rPr>
        <w:t xml:space="preserve">2. SA-CCR Attribution — Assigned to Wrong Accord</w:t>
      </w:r>
    </w:p>
    <w:p>
      <w:pPr>
        <w:spacing w:before="60" w:after="60"/>
        <w:jc w:val="left"/>
      </w:pPr>
      <w:r>
        <w:rPr>
          <w:rFonts w:ascii="Arial" w:cs="Arial" w:eastAsia="Arial" w:hAnsi="Arial"/>
          <w:color w:val="333333"/>
          <w:sz w:val="20"/>
          <w:szCs w:val="20"/>
        </w:rPr>
        <w:t xml:space="preserve">SA-CCR was incorrectly described as a Basel III introduction. SA-CCR was finalised by the BCBS in March 2014 (post-Basel III publication) and is correctly a Basel IV/CRR2 element. Under Basel III, the operative non-model CCR approach remained CEM (Current Exposure Method), with IMM available for approved banks. SA-CCR replaced CEM only under Basel IV (CRR2 in EU, effective 2022; US NPR 2023). [Source: BCBS, 'The standardised approach for measuring counterparty credit risk exposures', March 2014]</w:t>
      </w:r>
    </w:p>
    <w:p>
      <w:pPr>
        <w:spacing w:before="40" w:after="0"/>
      </w:pPr>
      <w:r>
        <w:t xml:space="preserve"/>
      </w:r>
    </w:p>
    <w:p>
      <w:pPr>
        <w:spacing w:before="180" w:after="60"/>
      </w:pPr>
      <w:r>
        <w:rPr>
          <w:rFonts w:ascii="Arial" w:cs="Arial" w:eastAsia="Arial" w:hAnsi="Arial"/>
          <w:b/>
          <w:bCs/>
          <w:color w:val="0E6B8A"/>
          <w:sz w:val="22"/>
          <w:szCs w:val="22"/>
        </w:rPr>
        <w:t xml:space="preserve">3. SA Equity Specific Risk Charge for Index Options</w:t>
      </w:r>
    </w:p>
    <w:p>
      <w:pPr>
        <w:spacing w:before="60" w:after="60"/>
        <w:jc w:val="left"/>
      </w:pPr>
      <w:r>
        <w:rPr>
          <w:rFonts w:ascii="Arial" w:cs="Arial" w:eastAsia="Arial" w:hAnsi="Arial"/>
          <w:color w:val="333333"/>
          <w:sz w:val="20"/>
          <w:szCs w:val="20"/>
        </w:rPr>
        <w:t xml:space="preserve">The document incorrectly applied an 8% specific risk charge to the FTSE 100 index call option. Under the Basel II/III Standardised Approach (Annex 1, Market Risk), diversified equity index positions may attract a reduced or zero specific risk charge, as index risk is considered largely systematic. The 8% specific risk charge applies to individual equity names. For a qualifying index, the specific risk charge is 0% (or 2% for some indices). Only the general market risk charge of 8% of the net delta-weighted position applies to the index. The worked example has been corrected accordingly.</w:t>
      </w:r>
    </w:p>
    <w:p>
      <w:pPr>
        <w:spacing w:before="40" w:after="0"/>
      </w:pPr>
      <w:r>
        <w:t xml:space="preserve"/>
      </w:r>
    </w:p>
    <w:p>
      <w:pPr>
        <w:spacing w:before="180" w:after="60"/>
      </w:pPr>
      <w:r>
        <w:rPr>
          <w:rFonts w:ascii="Arial" w:cs="Arial" w:eastAsia="Arial" w:hAnsi="Arial"/>
          <w:b/>
          <w:bCs/>
          <w:color w:val="0E6B8A"/>
          <w:sz w:val="22"/>
          <w:szCs w:val="22"/>
        </w:rPr>
        <w:t xml:space="preserve">4. SA-CCR Duration Factor Formula</w:t>
      </w:r>
    </w:p>
    <w:p>
      <w:pPr>
        <w:spacing w:before="60" w:after="60"/>
        <w:jc w:val="left"/>
      </w:pPr>
      <w:r>
        <w:rPr>
          <w:rFonts w:ascii="Arial" w:cs="Arial" w:eastAsia="Arial" w:hAnsi="Arial"/>
          <w:color w:val="333333"/>
          <w:sz w:val="20"/>
          <w:szCs w:val="20"/>
        </w:rPr>
        <w:t xml:space="preserve">The original text described the SA-CCR supervisory duration factor as '0.85 × ln(1+T)/T'. This was incorrect. The BCBS SA-CCR framework (March 2014, para. 157) defines the supervisory duration as: SD = (exp(-0.05 × S) - exp(-0.05 × E)) / 0.05, where S is the start date and E the end date in years from today. For a 5-year swap starting today, S=0 and E=5, giving SD = (1 - exp(-0.25)) / 0.05 ≈ 4.42 years. Adjusted notional = trade notional × SD. The worked example has been corrected to use this formula.</w:t>
      </w:r>
    </w:p>
    <w:p>
      <w:pPr>
        <w:spacing w:before="40" w:after="0"/>
      </w:pPr>
      <w:r>
        <w:t xml:space="preserve"/>
      </w:r>
    </w:p>
    <w:p>
      <w:pPr>
        <w:spacing w:before="180" w:after="60"/>
      </w:pPr>
      <w:r>
        <w:rPr>
          <w:rFonts w:ascii="Arial" w:cs="Arial" w:eastAsia="Arial" w:hAnsi="Arial"/>
          <w:b/>
          <w:bCs/>
          <w:color w:val="0E6B8A"/>
          <w:sz w:val="22"/>
          <w:szCs w:val="22"/>
        </w:rPr>
        <w:t xml:space="preserve">5. Market Risk Capital Formula Expression</w:t>
      </w:r>
    </w:p>
    <w:p>
      <w:pPr>
        <w:spacing w:before="60" w:after="60"/>
        <w:jc w:val="left"/>
      </w:pPr>
      <w:r>
        <w:rPr>
          <w:rFonts w:ascii="Arial" w:cs="Arial" w:eastAsia="Arial" w:hAnsi="Arial"/>
          <w:color w:val="333333"/>
          <w:sz w:val="20"/>
          <w:szCs w:val="20"/>
        </w:rPr>
        <w:t xml:space="preserve">The original formula expression 'max(VaR, multiplier × avg VaR) × (1/10 for daily, scaled to 10-day hold)' was ambiguous and technically imprecise. Under the 1996 Amendment and Basel II, VaR is calculated directly on a 10-day holding period (or scaled from 1-day VaR by √10). The capital charge is: max(VaR_t-1, mc × (1/60) × Σ VaR_t-i for i=1..60), where VaR is already expressed on a 10-day basis. The formula has been restated clearly.</w:t>
      </w:r>
    </w:p>
    <w:p>
      <w:pPr>
        <w:spacing w:before="40" w:after="0"/>
      </w:pPr>
      <w:r>
        <w:t xml:space="preserve"/>
      </w:r>
    </w:p>
    <w:p>
      <w:pPr>
        <w:spacing w:before="180" w:after="60"/>
      </w:pPr>
      <w:r>
        <w:rPr>
          <w:rFonts w:ascii="Arial" w:cs="Arial" w:eastAsia="Arial" w:hAnsi="Arial"/>
          <w:b/>
          <w:bCs/>
          <w:color w:val="0E6B8A"/>
          <w:sz w:val="22"/>
          <w:szCs w:val="22"/>
        </w:rPr>
        <w:t xml:space="preserve">6. Countercyclical Buffer — Incomplete Description</w:t>
      </w:r>
    </w:p>
    <w:p>
      <w:pPr>
        <w:spacing w:before="60" w:after="60"/>
        <w:jc w:val="left"/>
      </w:pPr>
      <w:r>
        <w:rPr>
          <w:rFonts w:ascii="Arial" w:cs="Arial" w:eastAsia="Arial" w:hAnsi="Arial"/>
          <w:color w:val="333333"/>
          <w:sz w:val="20"/>
          <w:szCs w:val="20"/>
        </w:rPr>
        <w:t xml:space="preserve">The CCyB was described only as being 'set in periods of excess credit growth'. This omits the equally important release mechanism: the CCyB is explicitly designed to be released rapidly in downturns to support bank lending capacity. The release function is central to the macro-prudential logic of the buffer and is now noted in the Basel III section.</w:t>
      </w:r>
    </w:p>
    <w:p>
      <w:pPr>
        <w:spacing w:before="4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ANALYTICAL CAVEATS AND SIMPLIFICATIONS</w:t>
      </w:r>
    </w:p>
    <w:p>
      <w:pPr>
        <w:pStyle w:val="ListParagraph"/>
        <w:numPr>
          <w:ilvl w:val="0"/>
          <w:numId w:val="2"/>
        </w:numPr>
        <w:spacing w:before="40" w:after="40"/>
      </w:pPr>
      <w:r>
        <w:rPr>
          <w:rFonts w:ascii="Arial" w:cs="Arial" w:eastAsia="Arial" w:hAnsi="Arial"/>
          <w:color w:val="333333"/>
          <w:sz w:val="20"/>
          <w:szCs w:val="20"/>
        </w:rPr>
        <w:t xml:space="preserve">All capital figures in worked examples are single-trade, standalone calculations. In practice, capital is calculated at portfolio level with netting sets, margin agreements, and diversification effects that can substantially reduce (or in wrong-way risk scenarios, increase) the figures shown.</w:t>
      </w:r>
    </w:p>
    <w:p>
      <w:pPr>
        <w:pStyle w:val="ListParagraph"/>
        <w:numPr>
          <w:ilvl w:val="0"/>
          <w:numId w:val="2"/>
        </w:numPr>
        <w:spacing w:before="40" w:after="40"/>
      </w:pPr>
      <w:r>
        <w:rPr>
          <w:rFonts w:ascii="Arial" w:cs="Arial" w:eastAsia="Arial" w:hAnsi="Arial"/>
          <w:color w:val="333333"/>
          <w:sz w:val="20"/>
          <w:szCs w:val="20"/>
        </w:rPr>
        <w:t xml:space="preserve">The IRB capital formula results in the examples are derived from the BCBS supervisory formula but use simplified parameter assumptions. Actual IRB outputs depend on maturity adjustment, firm-size adjustment, and portfolio-specific correlation assumptions.</w:t>
      </w:r>
    </w:p>
    <w:p>
      <w:pPr>
        <w:pStyle w:val="ListParagraph"/>
        <w:numPr>
          <w:ilvl w:val="0"/>
          <w:numId w:val="2"/>
        </w:numPr>
        <w:spacing w:before="40" w:after="40"/>
      </w:pPr>
      <w:r>
        <w:rPr>
          <w:rFonts w:ascii="Arial" w:cs="Arial" w:eastAsia="Arial" w:hAnsi="Arial"/>
          <w:color w:val="333333"/>
          <w:sz w:val="20"/>
          <w:szCs w:val="20"/>
        </w:rPr>
        <w:t xml:space="preserve">The output floor examples assume the internal model RWA is calculated in isolation. In practice, the floor applies at the aggregate level across all risk types, and its binding effect depends on the full portfolio composition.</w:t>
      </w:r>
    </w:p>
    <w:p>
      <w:pPr>
        <w:pStyle w:val="ListParagraph"/>
        <w:numPr>
          <w:ilvl w:val="0"/>
          <w:numId w:val="2"/>
        </w:numPr>
        <w:spacing w:before="40" w:after="40"/>
      </w:pPr>
      <w:r>
        <w:rPr>
          <w:rFonts w:ascii="Arial" w:cs="Arial" w:eastAsia="Arial" w:hAnsi="Arial"/>
          <w:color w:val="333333"/>
          <w:sz w:val="20"/>
          <w:szCs w:val="20"/>
        </w:rPr>
        <w:t xml:space="preserve">CVA capital figures use the Basic Approach (BA-CVA) approximation. Actual CVA capital under the Standardised Approach (SA-CVA) is computed from sensitivity-based Greeks and is hedging-dependent.</w:t>
      </w:r>
    </w:p>
    <w:p>
      <w:pPr>
        <w:pStyle w:val="ListParagraph"/>
        <w:numPr>
          <w:ilvl w:val="0"/>
          <w:numId w:val="2"/>
        </w:numPr>
        <w:spacing w:before="40" w:after="40"/>
      </w:pPr>
      <w:r>
        <w:rPr>
          <w:rFonts w:ascii="Arial" w:cs="Arial" w:eastAsia="Arial" w:hAnsi="Arial"/>
          <w:color w:val="333333"/>
          <w:sz w:val="20"/>
          <w:szCs w:val="20"/>
        </w:rPr>
        <w:t xml:space="preserve">FRTB capital estimates are inherently illustrative: actual IMA capital depends on desk-level ES model structure, correlation assumptions, and NMRF assessment outcomes specific to each bank's data infrastructure.</w:t>
      </w:r>
    </w:p>
    <w:p>
      <w:pPr>
        <w:pStyle w:val="ListParagraph"/>
        <w:numPr>
          <w:ilvl w:val="0"/>
          <w:numId w:val="2"/>
        </w:numPr>
        <w:spacing w:before="40" w:after="40"/>
      </w:pPr>
      <w:r>
        <w:rPr>
          <w:rFonts w:ascii="Arial" w:cs="Arial" w:eastAsia="Arial" w:hAnsi="Arial"/>
          <w:color w:val="333333"/>
          <w:sz w:val="20"/>
          <w:szCs w:val="20"/>
        </w:rPr>
        <w:t xml:space="preserve">The document focuses on Pillar 1 minimum capital. Pillar 2 add-ons (SREP buffers, stress-testing overlays, model risk charges) are omitted and can be materially larger than Pillar 1 requirements for complex institutions.</w:t>
      </w:r>
    </w:p>
    <w:p>
      <w:pPr>
        <w:pStyle w:val="ListParagraph"/>
        <w:numPr>
          <w:ilvl w:val="0"/>
          <w:numId w:val="2"/>
        </w:numPr>
        <w:spacing w:before="40" w:after="40"/>
      </w:pPr>
      <w:r>
        <w:rPr>
          <w:rFonts w:ascii="Arial" w:cs="Arial" w:eastAsia="Arial" w:hAnsi="Arial"/>
          <w:color w:val="333333"/>
          <w:sz w:val="20"/>
          <w:szCs w:val="20"/>
        </w:rPr>
        <w:t xml:space="preserve">Jurisdictional implementation varies significantly: EU (CRR/CRR2/CRR3), UK (PRA Rulebook), US (Federal Reserve/OCC rules), APAC (MAS, HKMA, JFSA notices) all introduce local modifications. This document reflects BCBS standards only.</w:t>
      </w:r>
    </w:p>
    <w:p>
      <w:r>
        <w:br w:type="page"/>
      </w:r>
    </w:p>
    <w:p>
      <w:pPr>
        <w:spacing w:before="0" w:after="80"/>
      </w:pPr>
      <w:r>
        <w:rPr>
          <w:rFonts w:ascii="Arial" w:cs="Arial" w:eastAsia="Arial" w:hAnsi="Arial"/>
          <w:b/>
          <w:bCs/>
          <w:color w:val="1B3A6B"/>
          <w:sz w:val="40"/>
          <w:szCs w:val="40"/>
        </w:rPr>
        <w:t xml:space="preserve">Basel I</w:t>
      </w:r>
    </w:p>
    <w:p>
      <w:pPr>
        <w:spacing w:before="0" w:after="200"/>
      </w:pPr>
      <w:r>
        <w:rPr>
          <w:rFonts w:ascii="Arial" w:cs="Arial" w:eastAsia="Arial" w:hAnsi="Arial"/>
          <w:i/>
          <w:iCs/>
          <w:color w:val="0E6B8A"/>
          <w:sz w:val="22"/>
          <w:szCs w:val="22"/>
        </w:rPr>
        <w:t xml:space="preserve">The Foundation Framework  —  1988</w:t>
      </w:r>
    </w:p>
    <w:p>
      <w:pPr>
        <w:pBdr>
          <w:bottom w:val="single" w:color="0E6B8A" w:sz="10" w:space="4"/>
        </w:pBdr>
        <w:spacing w:before="280" w:after="100"/>
      </w:pPr>
      <w:r>
        <w:rPr>
          <w:rFonts w:ascii="Arial" w:cs="Arial" w:eastAsia="Arial" w:hAnsi="Arial"/>
          <w:b/>
          <w:bCs/>
          <w:color w:val="1B3A6B"/>
          <w:sz w:val="26"/>
          <w:szCs w:val="26"/>
        </w:rPr>
        <w:t xml:space="preserve">CONTEXT &amp; ORIGINS</w:t>
      </w:r>
    </w:p>
    <w:p>
      <w:pPr>
        <w:spacing w:before="60" w:after="60"/>
      </w:pPr>
      <w:r>
        <w:rPr>
          <w:rFonts w:ascii="Arial" w:cs="Arial" w:eastAsia="Arial" w:hAnsi="Arial"/>
          <w:color w:val="333333"/>
          <w:sz w:val="20"/>
          <w:szCs w:val="20"/>
        </w:rPr>
        <w:t xml:space="preserve">The Basel I Accord — formally the International Convergence of Capital Measurement and Capital Standards — was published by the Basel Committee on Banking Supervision (BCBS) in July 1988. It emerged from growing alarm through the 1980s about the deteriorating capital adequacy of international banks, amplified by the Latin American sovereign debt crisis and the failure of several significant institutions including Continental Illinois (1984) and Johnson Matthey Bankers (1984).</w:t>
      </w:r>
      <w:r>
        <w:rPr>
          <w:rFonts w:ascii="Arial" w:cs="Arial" w:eastAsia="Arial" w:hAnsi="Arial"/>
          <w:color w:val="0E6B8A"/>
          <w:sz w:val="16"/>
          <w:szCs w:val="16"/>
          <w:vertAlign w:val="superscript"/>
        </w:rPr>
        <w:t xml:space="preserve"> [1]</w:t>
      </w:r>
    </w:p>
    <w:p>
      <w:pPr>
        <w:spacing w:before="60" w:after="60"/>
      </w:pPr>
      <w:r>
        <w:rPr>
          <w:rFonts w:ascii="Arial" w:cs="Arial" w:eastAsia="Arial" w:hAnsi="Arial"/>
          <w:color w:val="333333"/>
          <w:sz w:val="20"/>
          <w:szCs w:val="20"/>
        </w:rPr>
        <w:t xml:space="preserve">The Accord was developed by the G10 central bank governors' BCBS, comprising 12 member jurisdictions (Belgium, Canada, France, Germany, Italy, Japan, Luxembourg, Netherlands, Sweden, Switzerland, United Kingdom, and the United States). Implementation was required by the end of 1992. Its primary goal: ensure internationally active banks held sufficient capital to absorb unexpected losses without triggering systemic failure.</w:t>
      </w:r>
      <w:r>
        <w:rPr>
          <w:rFonts w:ascii="Arial" w:cs="Arial" w:eastAsia="Arial" w:hAnsi="Arial"/>
          <w:color w:val="0E6B8A"/>
          <w:sz w:val="16"/>
          <w:szCs w:val="16"/>
          <w:vertAlign w:val="superscript"/>
        </w:rPr>
        <w:t xml:space="preserve"> [1,2]</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CORE ARCHITECTURE</w:t>
      </w:r>
    </w:p>
    <w:p>
      <w:pPr>
        <w:spacing w:before="180" w:after="60"/>
      </w:pPr>
      <w:r>
        <w:rPr>
          <w:rFonts w:ascii="Arial" w:cs="Arial" w:eastAsia="Arial" w:hAnsi="Arial"/>
          <w:b/>
          <w:bCs/>
          <w:color w:val="0E6B8A"/>
          <w:sz w:val="22"/>
          <w:szCs w:val="22"/>
        </w:rPr>
        <w:t xml:space="preserve">The 8% Capital Requirement</w:t>
      </w:r>
    </w:p>
    <w:p>
      <w:pPr>
        <w:spacing w:before="60" w:after="60"/>
      </w:pPr>
      <w:r>
        <w:rPr>
          <w:rFonts w:ascii="Arial" w:cs="Arial" w:eastAsia="Arial" w:hAnsi="Arial"/>
          <w:color w:val="333333"/>
          <w:sz w:val="20"/>
          <w:szCs w:val="20"/>
        </w:rPr>
        <w:t xml:space="preserve">Basel I established that internationally active banks must maintain a minimum ratio of capital to risk-weighted assets (RWA) of 8%, with at least 4% in Tier 1 (core) capital. This became the defining metric of bank capital adequacy for the following decade.</w:t>
      </w:r>
      <w:r>
        <w:rPr>
          <w:rFonts w:ascii="Arial" w:cs="Arial" w:eastAsia="Arial" w:hAnsi="Arial"/>
          <w:color w:val="0E6B8A"/>
          <w:sz w:val="16"/>
          <w:szCs w:val="16"/>
          <w:vertAlign w:val="superscript"/>
        </w:rPr>
        <w:t xml:space="preserv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Composition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Tier 1 (Core Capital)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Common equity, disclosed reserves. Minimum 4% of RWA. The primary loss-absorbing layer.</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Tier 2 (Supplementary)</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Undisclosed reserves, revaluation reserves, hybrid instruments, subordinated long-term debt (capped at 50% of Tier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Tier 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Short-term subordinated debt — introduced via the 1996 Market Risk Amendment exclusively for market risk capital. Not part of the original 1988 Accord.</w:t>
            </w:r>
          </w:p>
        </w:tc>
      </w:tr>
    </w:tbl>
    <w:p>
      <w:pPr>
        <w:spacing w:before="80" w:after="0"/>
      </w:pPr>
      <w:r>
        <w:t xml:space="preserve"/>
      </w:r>
    </w:p>
    <w:p>
      <w:pPr>
        <w:spacing w:before="180" w:after="60"/>
      </w:pPr>
      <w:r>
        <w:rPr>
          <w:rFonts w:ascii="Arial" w:cs="Arial" w:eastAsia="Arial" w:hAnsi="Arial"/>
          <w:b/>
          <w:bCs/>
          <w:color w:val="0E6B8A"/>
          <w:sz w:val="22"/>
          <w:szCs w:val="22"/>
        </w:rPr>
        <w:t xml:space="preserve">Risk Weight Categories</w:t>
      </w:r>
    </w:p>
    <w:p>
      <w:pPr>
        <w:spacing w:before="60" w:after="60"/>
      </w:pPr>
      <w:r>
        <w:rPr>
          <w:rFonts w:ascii="Arial" w:cs="Arial" w:eastAsia="Arial" w:hAnsi="Arial"/>
          <w:color w:val="333333"/>
          <w:sz w:val="20"/>
          <w:szCs w:val="20"/>
        </w:rPr>
        <w:t xml:space="preserve">Basel I applied five risk weight buckets exclusively to on-balance-sheet credit exposures. All assets were assigned to one of the following categories:</w:t>
      </w:r>
      <w:r>
        <w:rPr>
          <w:rFonts w:ascii="Arial" w:cs="Arial" w:eastAsia="Arial" w:hAnsi="Arial"/>
          <w:color w:val="0E6B8A"/>
          <w:sz w:val="16"/>
          <w:szCs w:val="16"/>
          <w:vertAlign w:val="superscript"/>
        </w:rPr>
        <w:t xml:space="preserv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Risk Weight</w:t>
            </w:r>
          </w:p>
        </w:tc>
        <w:tc>
          <w:tcPr>
            <w:tcW w:type="dxa" w:w="7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Asset Category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Cash, claims on OECD central governments and central banks denominated in national currency</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10%</w:t>
            </w:r>
          </w:p>
        </w:tc>
        <w:tc>
          <w:tcPr>
            <w:tcW w:type="dxa" w:w="7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domestic public-sector entities (national discretion)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20%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multilateral development banks; claims on OECD-incorporated banks with residual maturity ≤ 1 year</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50%</w:t>
            </w:r>
          </w:p>
        </w:tc>
        <w:tc>
          <w:tcPr>
            <w:tcW w:type="dxa" w:w="7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Loans fully secured by mortgage on residential property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100%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private sector, non-OECD bank claims, all other assets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FORMULA</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Capital Ratio = (Tier 1 + Tier 2 Capital) ÷ Risk-Weighted Assets ≥ 8%  |  Tier 1 ≥ 4% of RWA</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STRENGTHS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Strengths</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Limitations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Simplicity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Easy to understand; consistent international baseline for the first time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One-size-fits-all; no sensitivity to actual borrower creditworthiness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Scope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Established credible international convergence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Covered credit risk only — market and operational risk entirely absent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Capital Quality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Distinguished Tier 1 vs Tier 2 capital layers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2 admitted instruments with questionable loss-absorption quality</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 Measurement</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Clear, transparent, auditable risk weights</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Weights not calibrated to empirical default probability data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Regulatory Arbitrage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Fixed risk weights enabled systematic gaming via securitisation and off-balance-sheet structures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Geography</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OECD membership determined risk weights, not credit quality — a crude and politically driven distinction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LEGACY</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Basel I was never designed as a permanent solution, but its 8% minimum capital ratio and Tier 1/Tier 2 architecture persisted — in modified form — through every subsequent accord. It gave regulators a shared vocabulary.</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 BCBS (1988), 'International Convergence of Capital Measurement and Capital Standards', BIS. [2] BCBS History, BIS.org.</w:t>
      </w:r>
    </w:p>
    <w:p>
      <w:r>
        <w:br w:type="page"/>
      </w:r>
    </w:p>
    <w:p>
      <w:pPr>
        <w:spacing w:before="0" w:after="80"/>
      </w:pPr>
      <w:r>
        <w:rPr>
          <w:rFonts w:ascii="Arial" w:cs="Arial" w:eastAsia="Arial" w:hAnsi="Arial"/>
          <w:b/>
          <w:bCs/>
          <w:color w:val="1B3A6B"/>
          <w:sz w:val="40"/>
          <w:szCs w:val="40"/>
        </w:rPr>
        <w:t xml:space="preserve">Basel II</w:t>
      </w:r>
    </w:p>
    <w:p>
      <w:pPr>
        <w:spacing w:before="0" w:after="200"/>
      </w:pPr>
      <w:r>
        <w:rPr>
          <w:rFonts w:ascii="Arial" w:cs="Arial" w:eastAsia="Arial" w:hAnsi="Arial"/>
          <w:i/>
          <w:iCs/>
          <w:color w:val="0E6B8A"/>
          <w:sz w:val="22"/>
          <w:szCs w:val="22"/>
        </w:rPr>
        <w:t xml:space="preserve">The Three Pillars Framework  —  2004 (Implementation 2008)</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Basel II was published in June 2004 after six years of consultation and three quantitative impact studies (QIS). It replaced a framework widely criticised as gameable: banks had exploited Basel I's fixed risk weights through securitisation and off-balance-sheet special purpose vehicles to artificially reduce RWA without genuinely reducing risk. Basel II sought to align regulatory capital requirements more closely with actual economic risk.</w:t>
      </w:r>
      <w:r>
        <w:rPr>
          <w:rFonts w:ascii="Arial" w:cs="Arial" w:eastAsia="Arial" w:hAnsi="Arial"/>
          <w:color w:val="0E6B8A"/>
          <w:sz w:val="16"/>
          <w:szCs w:val="16"/>
          <w:vertAlign w:val="superscript"/>
        </w:rPr>
        <w:t xml:space="preserve"> [3]</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THE THREE PILLARS</w:t>
      </w:r>
    </w:p>
    <w:p>
      <w:pPr>
        <w:spacing w:before="180" w:after="60"/>
      </w:pPr>
      <w:r>
        <w:rPr>
          <w:rFonts w:ascii="Arial" w:cs="Arial" w:eastAsia="Arial" w:hAnsi="Arial"/>
          <w:b/>
          <w:bCs/>
          <w:color w:val="0E6B8A"/>
          <w:sz w:val="22"/>
          <w:szCs w:val="22"/>
        </w:rPr>
        <w:t xml:space="preserve">Pillar 1 — Minimum Capital Requirements</w:t>
      </w:r>
    </w:p>
    <w:p>
      <w:pPr>
        <w:spacing w:before="60" w:after="60"/>
      </w:pPr>
      <w:r>
        <w:rPr>
          <w:rFonts w:ascii="Arial" w:cs="Arial" w:eastAsia="Arial" w:hAnsi="Arial"/>
          <w:color w:val="333333"/>
          <w:sz w:val="20"/>
          <w:szCs w:val="20"/>
        </w:rPr>
        <w:t xml:space="preserve">Basel II retained the 8% total capital minimum but fundamentally reformed how RWA was calculated, extending coverage from credit risk alone to also encompass market risk (via the 1996 Amendment, now formally incorporated) and — for the first time — operational risk.</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Credit Risk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Standardised Approach (SA)</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External credit ratings (S&amp;P, Moody's, Fitch) drive risk weights. More granular than Basel I: e.g., AAA-rated corporate = 20%, BBB = 100%, below BB = 150%.</w:t>
            </w:r>
          </w:p>
        </w:tc>
      </w:tr>
      <w:t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Foundation IRB (F-IRB)</w:t>
            </w:r>
          </w:p>
        </w:tc>
        <w:tc>
          <w:tcPr>
            <w:tcW w:type="dxa" w:w="6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estimate Probability of Default (PD) using internal models validated by supervisor. Loss Given Default (LGD) and Exposure at Default (EAD) set by supervisory parameters.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Advanced IRB (A-IRB)</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estimate PD, LGD, and EAD using approved internal models. Requires extensive historical data, independent validation, and explicit supervisory approval. Offers greatest capital sensitivity.</w:t>
            </w:r>
          </w:p>
        </w:tc>
      </w:tr>
    </w:tbl>
    <w:p>
      <w:pPr>
        <w:spacing w:before="60" w:after="0"/>
      </w:pPr>
      <w:r>
        <w:t xml:space="preserve"/>
      </w:r>
    </w:p>
    <w:p>
      <w:pPr>
        <w:spacing w:before="180" w:after="60"/>
      </w:pPr>
      <w:r>
        <w:rPr>
          <w:rFonts w:ascii="Arial" w:cs="Arial" w:eastAsia="Arial" w:hAnsi="Arial"/>
          <w:b/>
          <w:bCs/>
          <w:color w:val="0E6B8A"/>
          <w:sz w:val="22"/>
          <w:szCs w:val="22"/>
        </w:rPr>
        <w:t xml:space="preserve">Market Risk — Internal Models Approach</w:t>
      </w:r>
    </w:p>
    <w:p>
      <w:pPr>
        <w:spacing w:before="60" w:after="60"/>
      </w:pPr>
      <w:r>
        <w:rPr>
          <w:rFonts w:ascii="Arial" w:cs="Arial" w:eastAsia="Arial" w:hAnsi="Arial"/>
          <w:color w:val="333333"/>
          <w:sz w:val="20"/>
          <w:szCs w:val="20"/>
        </w:rPr>
        <w:t xml:space="preserve">Basel II formally incorporated the 1996 Market Risk Amendment, permitting approved banks to use Value-at-Risk (VaR) models to determine market risk capital. VaR parameters: 99% one-tailed confidence interval, 10-day holding period, minimum one-year observation period. Capital charge: max(VaR_{t-1}, mc × (1/60 × ΣVaR_{t-i}, i=1..60)), where the multiplication factor mc ≥ 3 and is increased by a backtesting penalty (up to +1) based on the number of daily VaR exceptions in the prior 250 trading days.</w:t>
      </w:r>
      <w:r>
        <w:rPr>
          <w:rFonts w:ascii="Arial" w:cs="Arial" w:eastAsia="Arial" w:hAnsi="Arial"/>
          <w:color w:val="0E6B8A"/>
          <w:sz w:val="16"/>
          <w:szCs w:val="16"/>
          <w:vertAlign w:val="superscript"/>
        </w:rPr>
        <w:t xml:space="preserve"> [4]</w:t>
      </w:r>
    </w:p>
    <w:p>
      <w:pPr>
        <w:spacing w:before="40" w:after="0"/>
      </w:pPr>
      <w:r>
        <w:t xml:space="preserve"/>
      </w:r>
    </w:p>
    <w:p>
      <w:pPr>
        <w:spacing w:before="180" w:after="60"/>
      </w:pPr>
      <w:r>
        <w:rPr>
          <w:rFonts w:ascii="Arial" w:cs="Arial" w:eastAsia="Arial" w:hAnsi="Arial"/>
          <w:b/>
          <w:bCs/>
          <w:color w:val="0E6B8A"/>
          <w:sz w:val="22"/>
          <w:szCs w:val="22"/>
        </w:rPr>
        <w:t xml:space="preserve">Operational Risk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Basic Indicator Approach (BIA)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OpRisk capital = 15% × average of positive annual gross income over the preceding three years. Simple proxy with no risk differentiation.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Standardised Approach (TSA)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Gross income split across 8 business lines, each multiplied by a supervisory beta factor ranging from 12% (retail brokerage, asset management) to 18% (trading, payment &amp; settlement).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Advanced Measurement Approach (AMA)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model OpRisk capital using internal loss data, external loss data (e.g., ORX consortium), scenario analysis, and business environment/internal control factors (BEICFs). Methodology flexible subject to supervisory approval.</w:t>
            </w:r>
          </w:p>
        </w:tc>
      </w:tr>
    </w:tbl>
    <w:p>
      <w:pPr>
        <w:spacing w:before="60" w:after="0"/>
      </w:pPr>
      <w:r>
        <w:t xml:space="preserve"/>
      </w:r>
    </w:p>
    <w:p>
      <w:pPr>
        <w:spacing w:before="180" w:after="60"/>
      </w:pPr>
      <w:r>
        <w:rPr>
          <w:rFonts w:ascii="Arial" w:cs="Arial" w:eastAsia="Arial" w:hAnsi="Arial"/>
          <w:b/>
          <w:bCs/>
          <w:color w:val="0E6B8A"/>
          <w:sz w:val="22"/>
          <w:szCs w:val="22"/>
        </w:rPr>
        <w:t xml:space="preserve">Pillar 2 — Supervisory Review Process (SREP)</w:t>
      </w:r>
    </w:p>
    <w:p>
      <w:pPr>
        <w:spacing w:before="60" w:after="60"/>
      </w:pPr>
      <w:r>
        <w:rPr>
          <w:rFonts w:ascii="Arial" w:cs="Arial" w:eastAsia="Arial" w:hAnsi="Arial"/>
          <w:color w:val="333333"/>
          <w:sz w:val="20"/>
          <w:szCs w:val="20"/>
        </w:rPr>
        <w:t xml:space="preserve">Pillar 2 introduced the requirement for banks to maintain an Internal Capital Adequacy Assessment Process (ICAAP) — a self-assessment covering all material risks, including those not captured under Pillar 1: concentration risk, interest rate risk in the banking book (IRRBB), liquidity risk, reputational risk. Supervisors could require capital above the Pillar 1 minimum.</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Pillar 3 — Market Discipline</w:t>
      </w:r>
    </w:p>
    <w:p>
      <w:pPr>
        <w:spacing w:before="60" w:after="60"/>
      </w:pPr>
      <w:r>
        <w:rPr>
          <w:rFonts w:ascii="Arial" w:cs="Arial" w:eastAsia="Arial" w:hAnsi="Arial"/>
          <w:color w:val="333333"/>
          <w:sz w:val="20"/>
          <w:szCs w:val="20"/>
        </w:rPr>
        <w:t xml:space="preserve">Pillar 3 mandated public disclosure of capital structure, risk exposures, risk measurement processes, and capital adequacy — enabling market participants and counterparties to assess a bank's risk profile. The logic: transparency creates market-based incentives for prudent risk management supplementing regulatory oversight.</w:t>
      </w:r>
      <w:r>
        <w:rPr>
          <w:rFonts w:ascii="Arial" w:cs="Arial" w:eastAsia="Arial" w:hAnsi="Arial"/>
          <w:color w:val="0E6B8A"/>
          <w:sz w:val="16"/>
          <w:szCs w:val="16"/>
          <w:vertAlign w:val="superscript"/>
        </w:rPr>
        <w:t xml:space="preserve"> [3]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CRITICAL FLAW</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Basel II's reliance on procyclical external ratings and VaR models that systematically understated tail correlations contributed to the 2007–2009 Global Financial Crisis. Capital ratios appeared robust until concentrated exposures to structured credit products unravelled simultaneously. The FSB's 2009 report noted that some major banks entered the crisis with Tier 1 ratios above 8% but held instruments now recognised as having near-zero loss-absorption capacity.</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[3] BCBS (2004, rev. 2006), 'International Convergence of Capital Measurement and Capital Standards: A Revised Framework', BIS. [4] BCBS (1996), 'Amendment to the Capital Accord to Incorporate Market Risks', BIS.</w:t>
      </w:r>
    </w:p>
    <w:p>
      <w:r>
        <w:br w:type="page"/>
      </w:r>
    </w:p>
    <w:p>
      <w:pPr>
        <w:spacing w:before="0" w:after="80"/>
      </w:pPr>
      <w:r>
        <w:rPr>
          <w:rFonts w:ascii="Arial" w:cs="Arial" w:eastAsia="Arial" w:hAnsi="Arial"/>
          <w:b/>
          <w:bCs/>
          <w:color w:val="1B3A6B"/>
          <w:sz w:val="40"/>
          <w:szCs w:val="40"/>
        </w:rPr>
        <w:t xml:space="preserve">Basel III</w:t>
      </w:r>
    </w:p>
    <w:p>
      <w:pPr>
        <w:spacing w:before="0" w:after="200"/>
      </w:pPr>
      <w:r>
        <w:rPr>
          <w:rFonts w:ascii="Arial" w:cs="Arial" w:eastAsia="Arial" w:hAnsi="Arial"/>
          <w:i/>
          <w:iCs/>
          <w:color w:val="0E6B8A"/>
          <w:sz w:val="22"/>
          <w:szCs w:val="22"/>
        </w:rPr>
        <w:t xml:space="preserve">Post-Crisis Strengthening  —  2010–2019</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The 2007–2009 Global Financial Crisis exposed systemic failures in Basel II: banks held insufficient high-quality capital, operated at excessive leverage, relied on short-term wholesale funding, and had accumulated severe liquidity mismatches. The FSF (later FSB) and BCBS identified that Tier 1 capital included instruments that failed to absorb losses on a going-concern basis. Basel III was published in December 2010 with a phased implementation schedule to January 2019.</w:t>
      </w:r>
      <w:r>
        <w:rPr>
          <w:rFonts w:ascii="Arial" w:cs="Arial" w:eastAsia="Arial" w:hAnsi="Arial"/>
          <w:color w:val="0E6B8A"/>
          <w:sz w:val="16"/>
          <w:szCs w:val="16"/>
          <w:vertAlign w:val="superscript"/>
        </w:rPr>
        <w:t xml:space="preserve"> [5]</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CAPITAL QUALITY &amp; QUANTITY REFORMS</w:t>
      </w:r>
    </w:p>
    <w:p>
      <w:pPr>
        <w:spacing w:before="60" w:after="60"/>
      </w:pPr>
      <w:r>
        <w:rPr>
          <w:rFonts w:ascii="Arial" w:cs="Arial" w:eastAsia="Arial" w:hAnsi="Arial"/>
          <w:color w:val="333333"/>
          <w:sz w:val="20"/>
          <w:szCs w:val="20"/>
        </w:rPr>
        <w:t xml:space="preserve">The core innovation was the creation of Common Equity Tier 1 (CET1) as a narrowly defined, highest-quality capital layer — common shares plus retained earnings only. Additional Tier 1 (AT1) instruments (including contingent convertible bonds — CoCos) were introduced as a secondary Tier 1 layer. Capital buffers above minimums were added as a macro-prudential overlay:</w:t>
      </w:r>
      <w:r>
        <w:rPr>
          <w:rFonts w:ascii="Arial" w:cs="Arial" w:eastAsia="Arial" w:hAnsi="Arial"/>
          <w:color w:val="0E6B8A"/>
          <w:sz w:val="16"/>
          <w:szCs w:val="16"/>
          <w:vertAlign w:val="superscript"/>
        </w:rPr>
        <w:t xml:space="preserve"> [5]</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6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Basel III Standard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Common Equity Tier 1 (CET1)</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4.5% of RWA. Narrowly defined: common shares + retained earnings. Strictly no hybrid instruments.</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Tier 1 Capital</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6% of RWA = CET1 (4.5%) + Additional Tier 1 instruments (e.g., CoCos with loss-absorption triggers).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 Capital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8% of RWA. Maintained from prior accords, but capital quality substantially higher.</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Capital Conservation Buffer (CCoB)</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+2.5% CET1 above the 4.5% minimum. Dividends, buybacks, and discretionary bonuses restricted if buffer is breached, on a sliding scale.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Countercyclical Capital Buffer (CCyB)</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0–2.5% additional CET1, set by national regulators when credit growth is deemed excessive. Designed to be released rapidly during downturns to support lending capacity — the release mechanism is as important as the build-up.</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G-SIB Surcharge</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1–3.5% additional CET1 for Global Systemically Important Banks based on BCBS indicator-based scoring methodology. A 3.5% 'empty bucket' acts as a further disincentive against systemic footprint growth.</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NEW STRUCTURAL REQUIREMENTS</w:t>
      </w:r>
    </w:p>
    <w:p>
      <w:pPr>
        <w:spacing w:before="180" w:after="60"/>
      </w:pPr>
      <w:r>
        <w:rPr>
          <w:rFonts w:ascii="Arial" w:cs="Arial" w:eastAsia="Arial" w:hAnsi="Arial"/>
          <w:b/>
          <w:bCs/>
          <w:color w:val="0E6B8A"/>
          <w:sz w:val="22"/>
          <w:szCs w:val="22"/>
        </w:rPr>
        <w:t xml:space="preserve">Leverage Ratio</w:t>
      </w:r>
    </w:p>
    <w:p>
      <w:pPr>
        <w:spacing w:before="60" w:after="60"/>
      </w:pPr>
      <w:r>
        <w:rPr>
          <w:rFonts w:ascii="Arial" w:cs="Arial" w:eastAsia="Arial" w:hAnsi="Arial"/>
          <w:color w:val="333333"/>
          <w:sz w:val="20"/>
          <w:szCs w:val="20"/>
        </w:rPr>
        <w:t xml:space="preserve">A non-risk-based backstop: Tier 1 capital must equal at least 3% of total leverage exposure (on- and off-balance-sheet, including derivatives and SFTs). Designed to constrain excessive balance sheet growth irrespective of risk-weight calculations, directly addressing the pre-crisis phenomenon of banks with high RWA-based capital ratios but dangerously high gross leverage.</w:t>
      </w:r>
      <w:r>
        <w:rPr>
          <w:rFonts w:ascii="Arial" w:cs="Arial" w:eastAsia="Arial" w:hAnsi="Arial"/>
          <w:color w:val="0E6B8A"/>
          <w:sz w:val="16"/>
          <w:szCs w:val="16"/>
          <w:vertAlign w:val="superscript"/>
        </w:rPr>
        <w:t xml:space="preserve"> [5]</w:t>
      </w:r>
    </w:p>
    <w:p>
      <w:pPr>
        <w:spacing w:before="40" w:after="0"/>
      </w:pPr>
      <w:r>
        <w:t xml:space="preserve"/>
      </w:r>
    </w:p>
    <w:p>
      <w:pPr>
        <w:spacing w:before="180" w:after="60"/>
      </w:pPr>
      <w:r>
        <w:rPr>
          <w:rFonts w:ascii="Arial" w:cs="Arial" w:eastAsia="Arial" w:hAnsi="Arial"/>
          <w:b/>
          <w:bCs/>
          <w:color w:val="0E6B8A"/>
          <w:sz w:val="22"/>
          <w:szCs w:val="22"/>
        </w:rPr>
        <w:t xml:space="preserve">Liquidity Coverage Ratio (LCR)</w:t>
      </w:r>
    </w:p>
    <w:p>
      <w:pPr>
        <w:spacing w:before="60" w:after="60"/>
      </w:pPr>
      <w:r>
        <w:rPr>
          <w:rFonts w:ascii="Arial" w:cs="Arial" w:eastAsia="Arial" w:hAnsi="Arial"/>
          <w:color w:val="333333"/>
          <w:sz w:val="20"/>
          <w:szCs w:val="20"/>
        </w:rPr>
        <w:t xml:space="preserve">Banks must hold sufficient High Quality Liquid Assets (HQLA — primarily Level 1: cash, central bank reserves, sovereign bonds) to cover net stressed cash outflows over a 30-day liquidity stress scenario. LCR = HQLA ÷ Net Cash Outflows(30d) ≥ 100%. Phased to 100% from January 2019.</w:t>
      </w:r>
      <w:r>
        <w:rPr>
          <w:rFonts w:ascii="Arial" w:cs="Arial" w:eastAsia="Arial" w:hAnsi="Arial"/>
          <w:color w:val="0E6B8A"/>
          <w:sz w:val="16"/>
          <w:szCs w:val="16"/>
          <w:vertAlign w:val="superscript"/>
        </w:rPr>
        <w:t xml:space="preserve"> [6]</w:t>
      </w:r>
    </w:p>
    <w:p>
      <w:pPr>
        <w:spacing w:before="40" w:after="0"/>
      </w:pPr>
      <w:r>
        <w:t xml:space="preserve"/>
      </w:r>
    </w:p>
    <w:p>
      <w:pPr>
        <w:spacing w:before="180" w:after="60"/>
      </w:pPr>
      <w:r>
        <w:rPr>
          <w:rFonts w:ascii="Arial" w:cs="Arial" w:eastAsia="Arial" w:hAnsi="Arial"/>
          <w:b/>
          <w:bCs/>
          <w:color w:val="0E6B8A"/>
          <w:sz w:val="22"/>
          <w:szCs w:val="22"/>
        </w:rPr>
        <w:t xml:space="preserve">Net Stable Funding Ratio (NSFR)</w:t>
      </w:r>
    </w:p>
    <w:p>
      <w:pPr>
        <w:spacing w:before="60" w:after="60"/>
      </w:pPr>
      <w:r>
        <w:rPr>
          <w:rFonts w:ascii="Arial" w:cs="Arial" w:eastAsia="Arial" w:hAnsi="Arial"/>
          <w:color w:val="333333"/>
          <w:sz w:val="20"/>
          <w:szCs w:val="20"/>
        </w:rPr>
        <w:t xml:space="preserve">Structural liquidity standard requiring Available Stable Funding (ASF — weighted liabilities with maturity &gt;1 year) to exceed Required Stable Funding (RSF — weighted assets by liquidity and maturity). NSFR ≥ 100%. Addresses maturity transformation risk where short-term wholesale funding supports long-term illiquid assets.</w:t>
      </w:r>
      <w:r>
        <w:rPr>
          <w:rFonts w:ascii="Arial" w:cs="Arial" w:eastAsia="Arial" w:hAnsi="Arial"/>
          <w:color w:val="0E6B8A"/>
          <w:sz w:val="16"/>
          <w:szCs w:val="16"/>
          <w:vertAlign w:val="superscript"/>
        </w:rPr>
        <w:t xml:space="preserve"> [7]</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MARKET RISK ENHANCEMENTS UNDER BASEL III</w:t>
      </w:r>
    </w:p>
    <w:p>
      <w:pPr>
        <w:spacing w:before="60" w:after="60"/>
      </w:pPr>
      <w:r>
        <w:rPr>
          <w:rFonts w:ascii="Arial" w:cs="Arial" w:eastAsia="Arial" w:hAnsi="Arial"/>
          <w:color w:val="333333"/>
          <w:sz w:val="20"/>
          <w:szCs w:val="20"/>
        </w:rPr>
        <w:t xml:space="preserve">Basel III introduced three significant market risk additions on top of the existing VaR framework:</w:t>
      </w:r>
      <w:r>
        <w:rPr>
          <w:rFonts w:ascii="Arial" w:cs="Arial" w:eastAsia="Arial" w:hAnsi="Arial"/>
          <w:color w:val="0E6B8A"/>
          <w:sz w:val="16"/>
          <w:szCs w:val="16"/>
          <w:vertAlign w:val="superscript"/>
        </w:rPr>
        <w:t xml:space="preserve"> [5,8]</w:t>
      </w:r>
    </w:p>
    <w:p>
      <w:pPr>
        <w:pStyle w:val="ListParagraph"/>
        <w:numPr>
          <w:ilvl w:val="0"/>
          <w:numId w:val="2"/>
        </w:numPr>
        <w:spacing w:before="40" w:after="40"/>
      </w:pPr>
      <w:r>
        <w:rPr>
          <w:rFonts w:ascii="Arial" w:cs="Arial" w:eastAsia="Arial" w:hAnsi="Arial"/>
          <w:color w:val="333333"/>
          <w:sz w:val="20"/>
          <w:szCs w:val="20"/>
        </w:rPr>
        <w:t xml:space="preserve">Stressed VaR (SVaR): A second VaR calculation using a continuous 12-month historical window identified as a period of significant financial stress (typically encompassing the 2007–2008 crisis). Market risk capital = max(VaR_{t-1}, mc_VaR × avg VaR) + max(SVaR_{t-1}, mc_sVaR × avg SVaR). SVaR effectively doubled market risk capital charges for most banks.</w:t>
      </w:r>
    </w:p>
    <w:p>
      <w:pPr>
        <w:pStyle w:val="ListParagraph"/>
        <w:numPr>
          <w:ilvl w:val="0"/>
          <w:numId w:val="2"/>
        </w:numPr>
        <w:spacing w:before="40" w:after="40"/>
      </w:pPr>
      <w:r>
        <w:rPr>
          <w:rFonts w:ascii="Arial" w:cs="Arial" w:eastAsia="Arial" w:hAnsi="Arial"/>
          <w:color w:val="333333"/>
          <w:sz w:val="20"/>
          <w:szCs w:val="20"/>
        </w:rPr>
        <w:t xml:space="preserve">Incremental Risk Charge (IRC): A 99.9% / one-year capital charge for default and ratings migration risk of trading book positions — addressing the pre-crisis gap where specific risk VaR severely underestimated jump-to-default losses on credit-sensitive instruments.</w:t>
      </w:r>
    </w:p>
    <w:p>
      <w:pPr>
        <w:pStyle w:val="ListParagraph"/>
        <w:numPr>
          <w:ilvl w:val="0"/>
          <w:numId w:val="2"/>
        </w:numPr>
        <w:spacing w:before="40" w:after="40"/>
      </w:pPr>
      <w:r>
        <w:rPr>
          <w:rFonts w:ascii="Arial" w:cs="Arial" w:eastAsia="Arial" w:hAnsi="Arial"/>
          <w:color w:val="333333"/>
          <w:sz w:val="20"/>
          <w:szCs w:val="20"/>
        </w:rPr>
        <w:t xml:space="preserve">Credit Valuation Adjustment (CVA) Capital Charge: A new standalone capital charge for the volatility of CVA mark-to-market losses — reflecting the finding that approximately two-thirds of counterparty credit losses during the crisis arose from CVA deterioration rather than actual defaults.</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COUNTERPARTY CREDIT RISK REFORMS</w:t>
      </w:r>
    </w:p>
    <w:p>
      <w:pPr>
        <w:spacing w:before="60" w:after="60"/>
      </w:pPr>
      <w:r>
        <w:rPr>
          <w:rFonts w:ascii="Arial" w:cs="Arial" w:eastAsia="Arial" w:hAnsi="Arial"/>
          <w:color w:val="333333"/>
          <w:sz w:val="20"/>
          <w:szCs w:val="20"/>
        </w:rPr>
        <w:t xml:space="preserve">Basel III retained CEM and IMM for CCR capital measurement but introduced stressed parameters and new requirements:</w:t>
      </w:r>
      <w:r>
        <w:rPr>
          <w:rFonts w:ascii="Arial" w:cs="Arial" w:eastAsia="Arial" w:hAnsi="Arial"/>
          <w:color w:val="0E6B8A"/>
          <w:sz w:val="16"/>
          <w:szCs w:val="16"/>
          <w:vertAlign w:val="superscript"/>
        </w:rPr>
        <w:t xml:space="preserve">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Stressed EPE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IMM banks must calculate Expected Positive Exposure (EPE) using stress-calibrated parameters in addition to current-calibrated EPE, taking the higher for capital purposes.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Wrong-Way Risk (WWR)</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Explicit identification and capital treatment where counterparty credit quality is adversely correlated with exposure value (e.g., long protection on an entity from a counterparty exposed to the same entity).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Central Clearing Incentive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CCR risk weight for qualifying CCP (QCCP) trade exposures reduced to 2% (vs 20–50%+ for bilateral). CVA charge exempted for cleared trades. Designed to drive OTC derivative flow to central counterparties.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Bilateral Margin Rules (BCBS-IOSCO)</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Phased mandatory exchange of variation margin (VM) and initial margin (IM) for non-centrally-cleared OTC derivatives, implemented 2016–2022 depending on entity threshold.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SHIFT</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Basel III adopted a 'belt-and-braces' philosophy: risk-sensitive internal models retained but supplemented by non-risk-based backstops (leverage ratio) and liquidity standards (LCR/NSFR). No single metric can be gamed in isolation.</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[5] BCBS (2010, rev. 2011), 'Basel III: A global regulatory framework for more resilient banks and banking systems', BIS. [6] BCBS (2013), 'Basel III: The Liquidity Coverage Ratio and liquidity risk monitoring tools', BIS. [7] BCBS (2014), 'Basel III: the net stable funding ratio', BIS. [8] BCBS (2011), 'Revisions to the Basel II market risk framework', BIS. [9] BCBS (2011), 'Basel III: A global regulatory framework — counterparty credit risk annex', BIS.</w:t>
      </w:r>
    </w:p>
    <w:p>
      <w:r>
        <w:br w:type="page"/>
      </w:r>
    </w:p>
    <w:p>
      <w:pPr>
        <w:spacing w:before="0" w:after="80"/>
      </w:pPr>
      <w:r>
        <w:rPr>
          <w:rFonts w:ascii="Arial" w:cs="Arial" w:eastAsia="Arial" w:hAnsi="Arial"/>
          <w:b/>
          <w:bCs/>
          <w:color w:val="1B3A6B"/>
          <w:sz w:val="40"/>
          <w:szCs w:val="40"/>
        </w:rPr>
        <w:t xml:space="preserve">Basel IV</w:t>
      </w:r>
    </w:p>
    <w:p>
      <w:pPr>
        <w:spacing w:before="0" w:after="200"/>
      </w:pPr>
      <w:r>
        <w:rPr>
          <w:rFonts w:ascii="Arial" w:cs="Arial" w:eastAsia="Arial" w:hAnsi="Arial"/>
          <w:i/>
          <w:iCs/>
          <w:color w:val="0E6B8A"/>
          <w:sz w:val="22"/>
          <w:szCs w:val="22"/>
        </w:rPr>
        <w:t xml:space="preserve">Finalisation of Basel III  —  2017 (Implementation 2025–2028)</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Officially titled 'Basel III: Finalising post-crisis reforms' by the BCBS (December 2017), the framework the industry calls 'Basel IV' was driven by a fundamental problem: excessive variability in RWA calculations across banks using internal models. BCBS analysis found that RWA for identical portfolios could differ by over 100% between institutions, rendering capital ratios incomparable. Basel IV's dual mission: constrain internal model freedom and introduce a credible floor based on standardised approaches.</w:t>
      </w:r>
      <w:r>
        <w:rPr>
          <w:rFonts w:ascii="Arial" w:cs="Arial" w:eastAsia="Arial" w:hAnsi="Arial"/>
          <w:color w:val="0E6B8A"/>
          <w:sz w:val="16"/>
          <w:szCs w:val="16"/>
          <w:vertAlign w:val="superscript"/>
        </w:rPr>
        <w:t xml:space="preserve"> [10]</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THE OUTPUT FLOOR — THE DEFINING CHANGE</w:t>
      </w:r>
    </w:p>
    <w:p>
      <w:pPr>
        <w:spacing w:before="60" w:after="60"/>
      </w:pPr>
      <w:r>
        <w:rPr>
          <w:rFonts w:ascii="Arial" w:cs="Arial" w:eastAsia="Arial" w:hAnsi="Arial"/>
          <w:color w:val="333333"/>
          <w:sz w:val="20"/>
          <w:szCs w:val="20"/>
        </w:rPr>
        <w:t xml:space="preserve">The output floor is the most structurally significant reform. Banks using internal models (IRB for credit risk, IMA for market risk) must also calculate RWA using the revised standardised approaches. If internal model RWA falls below 72.5% of standardised RWA, the floor binds — the higher (standardised-based) figure is used for capital purposes. The floor phases in from 50% in 2025 to 72.5% in 2028.</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OUTPUT FLOOR</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Effective RWA = max(Internal Model RWA,  72.5% × Standardised RWA). The floor caps the capital benefit of modelling sophistication and ensures no bank can fall below 72.5% of the standardised capital requirement.</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CREDIT RISK OVERHAUL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Reform Area</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Revised SA (Rev-SA)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More granular risk weights by counterparty type, rating band, and product. Reduced reliance on external ratings for jurisdictions implementing CRA-type restrictions. Includes specific tables for banks, corporates, retail, real estate, and specialised lending.</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IRB Restrictions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A-IRB removed for financial institutions, large corporates (revenue &gt; €500m), and equities. F-IRB or SA mandated for these exposures. LGD input floors introduced: 25% for unsecured corporate; 0% for covered bonds. PD floors: 5bps corporate, 10bps retail.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Specialised Lending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supervisory slotting criteria for project finance, object finance, commodities finance, income-producing real estate — replacing prior ad-hoc treatment.</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Equity Exposures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IRB approach for equity positions abolished. Standardised risk weights: 250% for listed equity (non-speculative), 400% for unlisted, 100% for certain regulatory equity holdings.</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MARKET RISK: FUNDAMENTAL REVIEW OF THE TRADING BOOK (FRTB)</w:t>
      </w:r>
    </w:p>
    <w:p>
      <w:pPr>
        <w:spacing w:before="60" w:after="60"/>
      </w:pPr>
      <w:r>
        <w:rPr>
          <w:rFonts w:ascii="Arial" w:cs="Arial" w:eastAsia="Arial" w:hAnsi="Arial"/>
          <w:color w:val="333333"/>
          <w:sz w:val="20"/>
          <w:szCs w:val="20"/>
        </w:rPr>
        <w:t xml:space="preserve">FRTB, finalised in January 2016 and revised in January 2019, replaces the Basel II/III VaR-based market risk framework in its entirety. It introduces a more risk-sensitive internal model approach, a comprehensively redesigned standardised approach, and a strict trading/banking book boundary.</w:t>
      </w:r>
      <w:r>
        <w:rPr>
          <w:rFonts w:ascii="Arial" w:cs="Arial" w:eastAsia="Arial" w:hAnsi="Arial"/>
          <w:color w:val="0E6B8A"/>
          <w:sz w:val="16"/>
          <w:szCs w:val="16"/>
          <w:vertAlign w:val="superscript"/>
        </w:rPr>
        <w:t xml:space="preserve"> [11]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FRTB Element</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Change from Prior Framework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Expected Shortfall (ES)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Replaces VaR at 99% with ES at 97.5% confidence. ES measures the expected loss given that the loss exceeds the 97.5th percentile — capturing tail severity that VaR ignores. Calibrated to a stress period.</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Liquidity Horizons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assigned to five liquidity horizon buckets (10, 20, 40, 60, 120 days) reflecting the time to exit or hedge the position under stress. Longer horizons carry proportionally higher capital.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P&amp;L Attribution Test (PLA)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Desks must demonstrate that their approved risk factors explain actual P&amp;L with sufficient fidelity (mean and variance tests). Persistent PLA failure revokes IMA approval for the desk — fallback to SA, typically at higher capital.</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Backtesting</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Dual requirement: real and hypothetical P&amp;L backtesting at desk and bank level. Three-zone traffic-light system determines IMA approval status and multiplier.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Non-Modellable Risk Factors (NMRF)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without at least 24 real price observations per year over 12 months classified as non-modellable. Each NMRF must be stressed separately using a stressed scenario — charge is additive and typically punitive.</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Trading/Banking Book Boundary</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Presumptive list assignment by instrument type. Reclassification requires supervisory approval; any capital benefit from reclassification is neutralised by recognising the difference immediately.</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OPERATIONAL RISK: STANDARDISED MEASUREMENT APPROACH (SMA)</w:t>
      </w:r>
    </w:p>
    <w:p>
      <w:pPr>
        <w:spacing w:before="60" w:after="60"/>
      </w:pPr>
      <w:r>
        <w:rPr>
          <w:rFonts w:ascii="Arial" w:cs="Arial" w:eastAsia="Arial" w:hAnsi="Arial"/>
          <w:color w:val="333333"/>
          <w:sz w:val="20"/>
          <w:szCs w:val="20"/>
        </w:rPr>
        <w:t xml:space="preserve">The AMA is abolished. All banks globally must use the new SMA, eliminating model diversity in operational risk capital and restoring comparability — at the cost of risk-sensitivity.</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SMA Component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Business Indicator (BI)</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more stable income proxy than gross income: BI = Interest, Leases &amp; Dividends Component + Services Component + Financial Component. Removes income statement volatility that distorted gross income-based measures.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BI Component (BIC)</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Marginal rates applied to BI bands: 12% (€0–1bn), 15% (€1–30bn), 18% (&gt;€30bn). BIC is the baseline OpRisk capital.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Internal Loss Multiplier (ILM)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banks with BI &gt;€1bn: ILM = ln(exp(1)-1 + (Loss Component / BIC)^0.8). Loss Component = 15× average annual OpRisk losses over 10 years. ILM scales BIC up or down based on loss history. Min ILM = 1 (cannot reduce below BIC). Controversial: banks with good loss histories cannot reduce capital below peers.</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FRTB reporting (not yet binding capital) commenced in EU and UK</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January 2025</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target implementation start date for Basel IV final rules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2025</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floor: 50% phase-in begins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January 2026</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EU CRR3 effective date; UK PRA final rules expected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2028</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floor fully phased to 72.5%</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TBC 2025–2026</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US Basel III Endgame — revised NPR after significant industry pushback on initial 2023 proposal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INDUSTRY IMPACT</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The EBA (2020 Basel III monitoring report) estimated aggregate RWA increase of approximately 24% for EU banks at full implementation. FRTB alone adds an estimated 40–60% to market risk RWA for trading-book-heavy institutions. The output floor is estimated to increase EU banking sector required capital by over €130bn at 72.5% calibration.</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[10] BCBS (2017), 'Basel III: Finalising post-crisis reforms', BIS. [11] BCBS (2019), 'Minimum capital requirements for market risk (revised FRTB)', BIS. [12] EBA (2020), 'Basel III monitoring exercise', European Banking Authority.</w:t>
      </w:r>
    </w:p>
    <w:p>
      <w:r>
        <w:br w:type="page"/>
      </w:r>
    </w:p>
    <w:p>
      <w:pPr>
        <w:spacing w:before="0" w:after="80"/>
      </w:pPr>
      <w:r>
        <w:rPr>
          <w:rFonts w:ascii="Arial" w:cs="Arial" w:eastAsia="Arial" w:hAnsi="Arial"/>
          <w:b/>
          <w:bCs/>
          <w:color w:val="1B3A6B"/>
          <w:sz w:val="40"/>
          <w:szCs w:val="40"/>
        </w:rPr>
        <w:t xml:space="preserve">Credit Risk Evolution</w:t>
      </w:r>
    </w:p>
    <w:p>
      <w:pPr>
        <w:spacing w:before="0" w:after="200"/>
      </w:pPr>
      <w:r>
        <w:rPr>
          <w:rFonts w:ascii="Arial" w:cs="Arial" w:eastAsia="Arial" w:hAnsi="Arial"/>
          <w:i/>
          <w:iCs/>
          <w:color w:val="0E6B8A"/>
          <w:sz w:val="22"/>
          <w:szCs w:val="22"/>
        </w:rPr>
        <w:t xml:space="preserve">From Fixed Buckets to Constrained Models  —  1988–2025</w:t>
      </w:r>
    </w:p>
    <w:p>
      <w:pPr>
        <w:pBdr>
          <w:bottom w:val="single" w:color="0E6B8A" w:sz="10" w:space="4"/>
        </w:pBdr>
        <w:spacing w:before="280" w:after="100"/>
      </w:pPr>
      <w:r>
        <w:rPr>
          <w:rFonts w:ascii="Arial" w:cs="Arial" w:eastAsia="Arial" w:hAnsi="Arial"/>
          <w:b/>
          <w:bCs/>
          <w:color w:val="1B3A6B"/>
          <w:sz w:val="26"/>
          <w:szCs w:val="26"/>
        </w:rPr>
        <w:t xml:space="preserve">THE CONCEPTUAL JOURNEY</w:t>
      </w:r>
    </w:p>
    <w:p>
      <w:pPr>
        <w:spacing w:before="60" w:after="60"/>
        <w:jc w:val="left"/>
      </w:pPr>
      <w:r>
        <w:rPr>
          <w:rFonts w:ascii="Arial" w:cs="Arial" w:eastAsia="Arial" w:hAnsi="Arial"/>
          <w:color w:val="333333"/>
          <w:sz w:val="20"/>
          <w:szCs w:val="20"/>
        </w:rPr>
        <w:t xml:space="preserve">Credit risk — the risk that a borrower or counterparty fails to fulfil its financial obligations — has always been the primary focus of banking regulation. Its treatment under Basel has traced a complete arc: from crude administrative buckets (Basel I), to risk-sensitive internal models (Basel II), to a constrained hybrid with standardised floors (Basel IV). This trajectory reflects an unresolved tension between risk-sensitivity (which demands complex internal models) and comparability/manipulation-resistance (which demands simpler standardised approaches).</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COMPARATIVE FRAMEWORK ACROSS ACCORDS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Dimension</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 (1988)</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II (2004)</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III (2010)</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IV (2017)</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Risk Weight Basis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5 fixed asset-class buckets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External rating or internal PD/LGD estimates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Refined IRB; SA enhanced; CVA added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Constrained IRB; output floor 72.5%; Rev-SA</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Internal Models</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permitted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F-IRB and A-IRB (supervisor approved)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Enhanced IRB; stressed EPE for CCR</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A-IRB restricted; LGD/PD floors; ILM for OpRisk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CCR Methodology</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 (notional add-on)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 or IMM (approved)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CEM/IMM + stressed EPE; CVA charge introduced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SA-CCR mandatory; FRTB-CVA</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Default Risk / Trading Book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addressed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Specific risk charge under SA or IMA</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Incremental Risk Charge (IRC) added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Default Risk Charge (DRC) under FRTB</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Securitisation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8% flat capital (enabling massive regulatory arbitrage)</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Ratings-based approach; IRB-based approach</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Revised hierarchy; look-through required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Higher floors; 1250% for unrated/opaque tranches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Concentration Risk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addressed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Pillar 2 only</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Large Exposures framework enhanced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Max single counterparty = 25% of Tier 1 capital</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COUNTERPARTY CREDIT RISK: METHODOLOGY EVOLUTION</w:t>
      </w:r>
    </w:p>
    <w:p>
      <w:pPr>
        <w:spacing w:before="180" w:after="60"/>
      </w:pPr>
      <w:r>
        <w:rPr>
          <w:rFonts w:ascii="Arial" w:cs="Arial" w:eastAsia="Arial" w:hAnsi="Arial"/>
          <w:b/>
          <w:bCs/>
          <w:color w:val="0E6B8A"/>
          <w:sz w:val="22"/>
          <w:szCs w:val="22"/>
        </w:rPr>
        <w:t xml:space="preserve">Current Exposure Method (CEM) — Basel I through Basel III</w:t>
      </w:r>
    </w:p>
    <w:p>
      <w:pPr>
        <w:spacing w:before="60" w:after="60"/>
      </w:pPr>
      <w:r>
        <w:rPr>
          <w:rFonts w:ascii="Arial" w:cs="Arial" w:eastAsia="Arial" w:hAnsi="Arial"/>
          <w:color w:val="333333"/>
          <w:sz w:val="20"/>
          <w:szCs w:val="20"/>
        </w:rPr>
        <w:t xml:space="preserve">CEM calculated CCR exposure as the sum of current replacement cost (positive MTM value) plus a fixed add-on based on notional × a supervisory factor by asset class and residual maturity. Widely criticised for ignoring netting agreements, margin collateral, and actual exposure volatility. CEM remained in use for non-IMM banks through Basel III.</w:t>
      </w:r>
      <w:r>
        <w:rPr>
          <w:rFonts w:ascii="Arial" w:cs="Arial" w:eastAsia="Arial" w:hAnsi="Arial"/>
          <w:color w:val="0E6B8A"/>
          <w:sz w:val="16"/>
          <w:szCs w:val="16"/>
          <w:vertAlign w:val="superscript"/>
        </w:rPr>
        <w:t xml:space="preserve"> [1,3]</w:t>
      </w:r>
    </w:p>
    <w:p>
      <w:pPr>
        <w:spacing w:before="40" w:after="0"/>
      </w:pPr>
      <w:r>
        <w:t xml:space="preserve"/>
      </w:r>
    </w:p>
    <w:p>
      <w:pPr>
        <w:spacing w:before="180" w:after="60"/>
      </w:pPr>
      <w:r>
        <w:rPr>
          <w:rFonts w:ascii="Arial" w:cs="Arial" w:eastAsia="Arial" w:hAnsi="Arial"/>
          <w:b/>
          <w:bCs/>
          <w:color w:val="0E6B8A"/>
          <w:sz w:val="22"/>
          <w:szCs w:val="22"/>
        </w:rPr>
        <w:t xml:space="preserve">Internal Model Method (IMM) — Basel II / III</w:t>
      </w:r>
    </w:p>
    <w:p>
      <w:pPr>
        <w:spacing w:before="60" w:after="60"/>
      </w:pPr>
      <w:r>
        <w:rPr>
          <w:rFonts w:ascii="Arial" w:cs="Arial" w:eastAsia="Arial" w:hAnsi="Arial"/>
          <w:color w:val="333333"/>
          <w:sz w:val="20"/>
          <w:szCs w:val="20"/>
        </w:rPr>
        <w:t xml:space="preserve">IMM-approved banks could model Expected Exposure (EE) profiles using Monte Carlo simulation, computing Effective EPE as the capital exposure base. Under Basel III, banks must additionally calculate Stressed EPE using stress-calibrated parameters. A supervisory alpha multiplier of 1.4 is applied unless the bank demonstrates a higher portfolio-specific alpha. IMM provided the best capital efficiency but required substantial model infrastructure and ongoing supervisory validation.</w:t>
      </w:r>
      <w:r>
        <w:rPr>
          <w:rFonts w:ascii="Arial" w:cs="Arial" w:eastAsia="Arial" w:hAnsi="Arial"/>
          <w:color w:val="0E6B8A"/>
          <w:sz w:val="16"/>
          <w:szCs w:val="16"/>
          <w:vertAlign w:val="superscript"/>
        </w:rPr>
        <w:t xml:space="preserve"> [5,9]</w:t>
      </w:r>
    </w:p>
    <w:p>
      <w:pPr>
        <w:spacing w:before="40" w:after="0"/>
      </w:pPr>
      <w:r>
        <w:t xml:space="preserve"/>
      </w:r>
    </w:p>
    <w:p>
      <w:pPr>
        <w:spacing w:before="180" w:after="60"/>
      </w:pPr>
      <w:r>
        <w:rPr>
          <w:rFonts w:ascii="Arial" w:cs="Arial" w:eastAsia="Arial" w:hAnsi="Arial"/>
          <w:b/>
          <w:bCs/>
          <w:color w:val="0E6B8A"/>
          <w:sz w:val="22"/>
          <w:szCs w:val="22"/>
        </w:rPr>
        <w:t xml:space="preserve">SA-CCR (Standardised Approach for CCR) — Basel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FROM PRIOR VERSION: SA-CCR was finalised by the BCBS in March 2014 and is a Basel IV element, not Basel III. It replaced CEM in the EU under CRR2 (effective June 2021) and in the US under NPR rules. Under Basel III, CEM and IMM remained the operative methods. SA-CCR is now mandatory for non-IMM banks and serves as the floor for IMM banks under Basel IV. [Source: BCBS, 'The standardised approach for measuring CCR exposures', March 2014]</w:t>
            </w:r>
          </w:p>
        </w:tc>
      </w:tr>
    </w:tbl>
    <w:p>
      <w:pPr>
        <w:spacing w:before="40" w:after="0"/>
      </w:pPr>
      <w:r>
        <w:t xml:space="preserve"/>
      </w:r>
    </w:p>
    <w:p>
      <w:pPr>
        <w:spacing w:before="60" w:after="60"/>
      </w:pPr>
      <w:r>
        <w:rPr>
          <w:rFonts w:ascii="Arial" w:cs="Arial" w:eastAsia="Arial" w:hAnsi="Arial"/>
          <w:color w:val="333333"/>
          <w:sz w:val="20"/>
          <w:szCs w:val="20"/>
        </w:rPr>
        <w:t xml:space="preserve">SA-CCR is substantially more risk-sensitive than CEM. It explicitly recognises: legal netting sets, collateral and margin agreements, delta-equivalent adjusted notionals for derivatives, and supervisory-calibrated add-on factors by asset class, maturity, and hedging set. The formula: EAD = alpha × (RC + PFE), where alpha=1.4, RC = replacement cost net of eligible collateral, and PFE = aggregate potential future exposure from hedging-set-level add-ons.</w:t>
      </w:r>
      <w:r>
        <w:rPr>
          <w:rFonts w:ascii="Arial" w:cs="Arial" w:eastAsia="Arial" w:hAnsi="Arial"/>
          <w:color w:val="0E6B8A"/>
          <w:sz w:val="16"/>
          <w:szCs w:val="16"/>
          <w:vertAlign w:val="superscript"/>
        </w:rPr>
        <w:t xml:space="preserve"> [13]</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CVA: FROM ACCOUNTING TO CENTRAL CAPITAL REQUIREMENT</w:t>
      </w:r>
    </w:p>
    <w:p>
      <w:pPr>
        <w:spacing w:before="60" w:after="60"/>
      </w:pPr>
      <w:r>
        <w:rPr>
          <w:rFonts w:ascii="Arial" w:cs="Arial" w:eastAsia="Arial" w:hAnsi="Arial"/>
          <w:color w:val="333333"/>
          <w:sz w:val="20"/>
          <w:szCs w:val="20"/>
        </w:rPr>
        <w:t xml:space="preserve">Prior to Basel III, CVA was an accounting concept (fair value of counterparty default risk) but carried no explicit regulatory capital requirement. The 2007–2009 crisis revealed that approximately two-thirds of counterparty credit losses were attributable to CVA mark-to-market deterioration rather than actual defaults — primarily in OTC derivative portfolios with financial institution counterparties.</w:t>
      </w:r>
      <w:r>
        <w:rPr>
          <w:rFonts w:ascii="Arial" w:cs="Arial" w:eastAsia="Arial" w:hAnsi="Arial"/>
          <w:color w:val="0E6B8A"/>
          <w:sz w:val="16"/>
          <w:szCs w:val="16"/>
          <w:vertAlign w:val="superscript"/>
        </w:rPr>
        <w:t xml:space="preserve"> [14]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CVA Approach</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Accord</w:t>
            </w:r>
          </w:p>
        </w:tc>
        <w:tc>
          <w:tcPr>
            <w:tcW w:type="dxa" w:w="5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capital charge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 / II</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CVA risk entirely unaddressed in regulatory capital framework</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CVA charge introduced (BA-CVA / SA-CVA)</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III</w:t>
            </w:r>
          </w:p>
        </w:tc>
        <w:tc>
          <w:tcPr>
            <w:tcW w:type="dxa" w:w="5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Capital charge for CVA P&amp;L volatility. BA-CVA: formula-based using EAD and supervisory credit spreads. SA-CVA: sensitivity-based for banks with approved CVA desks. Hedges partially recognised.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FRTB-CVA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IV</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Replaces Basel III CVA entirely. BA-CVA (enhanced) and SA-CVA (full sensitivity-based, consistent with FRTB SA). Hedging recognition more explicit and comprehensive.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TRAJECTORY</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Credit risk capital has moved: flat administrative rates (1988) → rating-sensitive risk weights (2004) → internal model PD/LGD estimates (2004) → constrained models with standardised floors (2017). Since 2017 the direction is: more standardisation, higher model input floors, less model discretion, mandatory SA floor on outputs.</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[13] BCBS (2014), 'The standardised approach for measuring counterparty credit risk exposures', BIS. [14] BCBS (2011), 'Application of own credit risk adjustments to derivatives', BIS. See also: Gregory, J. (2015), 'The xVA Challenge: Counterparty Credit Risk, Funding, Collateral and Capital', Wiley.</w:t>
      </w:r>
    </w:p>
    <w:p>
      <w:r>
        <w:br w:type="page"/>
      </w:r>
    </w:p>
    <w:p>
      <w:pPr>
        <w:spacing w:before="0" w:after="80"/>
      </w:pPr>
      <w:r>
        <w:rPr>
          <w:rFonts w:ascii="Arial" w:cs="Arial" w:eastAsia="Arial" w:hAnsi="Arial"/>
          <w:b/>
          <w:bCs/>
          <w:color w:val="1B3A6B"/>
          <w:sz w:val="40"/>
          <w:szCs w:val="40"/>
        </w:rPr>
        <w:t xml:space="preserve">Market &amp; Operational Risk Evolution</w:t>
      </w:r>
    </w:p>
    <w:p>
      <w:pPr>
        <w:spacing w:before="0" w:after="200"/>
      </w:pPr>
      <w:r>
        <w:rPr>
          <w:rFonts w:ascii="Arial" w:cs="Arial" w:eastAsia="Arial" w:hAnsi="Arial"/>
          <w:i/>
          <w:iCs/>
          <w:color w:val="0E6B8A"/>
          <w:sz w:val="22"/>
          <w:szCs w:val="22"/>
        </w:rPr>
        <w:t xml:space="preserve">From Absence to FRTB and SMA  —  1996–2025</w:t>
      </w:r>
    </w:p>
    <w:p>
      <w:pPr>
        <w:pBdr>
          <w:bottom w:val="single" w:color="0E6B8A" w:sz="10" w:space="4"/>
        </w:pBdr>
        <w:spacing w:before="280" w:after="100"/>
      </w:pPr>
      <w:r>
        <w:rPr>
          <w:rFonts w:ascii="Arial" w:cs="Arial" w:eastAsia="Arial" w:hAnsi="Arial"/>
          <w:b/>
          <w:bCs/>
          <w:color w:val="1B3A6B"/>
          <w:sz w:val="26"/>
          <w:szCs w:val="26"/>
        </w:rPr>
        <w:t xml:space="preserve">MARKET RISK: THE JOURNEY</w:t>
      </w:r>
    </w:p>
    <w:p>
      <w:pPr>
        <w:spacing w:before="180" w:after="60"/>
      </w:pPr>
      <w:r>
        <w:rPr>
          <w:rFonts w:ascii="Arial" w:cs="Arial" w:eastAsia="Arial" w:hAnsi="Arial"/>
          <w:b/>
          <w:bCs/>
          <w:color w:val="0E6B8A"/>
          <w:sz w:val="22"/>
          <w:szCs w:val="22"/>
        </w:rPr>
        <w:t xml:space="preserve">Pre-1996: Regulatory Blindspot</w:t>
      </w:r>
    </w:p>
    <w:p>
      <w:pPr>
        <w:spacing w:before="60" w:after="60"/>
        <w:jc w:val="left"/>
      </w:pPr>
      <w:r>
        <w:rPr>
          <w:rFonts w:ascii="Arial" w:cs="Arial" w:eastAsia="Arial" w:hAnsi="Arial"/>
          <w:color w:val="333333"/>
          <w:sz w:val="20"/>
          <w:szCs w:val="20"/>
        </w:rPr>
        <w:t xml:space="preserve">Basel I made no provision for market risk capital — a critical omission as banks' proprietary trading and market-making activities expanded rapidly through the late 1980s and early 1990s. Enormous interest rate, FX, and equity exposures were effectively capitalised only via the general credit risk framework, if at all.</w:t>
      </w:r>
    </w:p>
    <w:p>
      <w:pPr>
        <w:spacing w:before="40" w:after="0"/>
      </w:pPr>
      <w:r>
        <w:t xml:space="preserve"/>
      </w:r>
    </w:p>
    <w:p>
      <w:pPr>
        <w:spacing w:before="180" w:after="60"/>
      </w:pPr>
      <w:r>
        <w:rPr>
          <w:rFonts w:ascii="Arial" w:cs="Arial" w:eastAsia="Arial" w:hAnsi="Arial"/>
          <w:b/>
          <w:bCs/>
          <w:color w:val="0E6B8A"/>
          <w:sz w:val="22"/>
          <w:szCs w:val="22"/>
        </w:rPr>
        <w:t xml:space="preserve">1996 Market Risk Amendment: VaR Enters Regulation</w:t>
      </w:r>
    </w:p>
    <w:p>
      <w:pPr>
        <w:spacing w:before="60" w:after="60"/>
      </w:pPr>
      <w:r>
        <w:rPr>
          <w:rFonts w:ascii="Arial" w:cs="Arial" w:eastAsia="Arial" w:hAnsi="Arial"/>
          <w:color w:val="333333"/>
          <w:sz w:val="20"/>
          <w:szCs w:val="20"/>
        </w:rPr>
        <w:t xml:space="preserve">The Market Risk Amendment to Basel I (effective January 1997) was a landmark in financial regulation: the first time regulators permitted banks to use internal mathematical models — specifically Value-at-Risk — to determine regulatory capital. The Amendment also introduced the Standardised Measurement Method as an alternative, and created Tier 3 capital (short-term subordinated debt) solely for use as market risk capital.</w:t>
      </w:r>
      <w:r>
        <w:rPr>
          <w:rFonts w:ascii="Arial" w:cs="Arial" w:eastAsia="Arial" w:hAnsi="Arial"/>
          <w:color w:val="0E6B8A"/>
          <w:sz w:val="16"/>
          <w:szCs w:val="16"/>
          <w:vertAlign w:val="superscript"/>
        </w:rPr>
        <w:t xml:space="preserve"> [4]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1996 CAPITAL FORMULA</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Market Risk Capital = max(VaR_{t-1},  mc × (1/60) × ΣVaR_{t-i})  where VaR = 99%/10-day, mc ≥ 3.0 (increased by backtesting penalty up to +1.0)</w:t>
            </w:r>
          </w:p>
        </w:tc>
      </w:tr>
    </w:tbl>
    <w:p>
      <w:pPr>
        <w:spacing w:before="40" w:after="0"/>
      </w:pPr>
      <w:r>
        <w:t xml:space="preserve"/>
      </w:r>
    </w:p>
    <w:p>
      <w:pPr>
        <w:spacing w:before="60" w:after="60"/>
      </w:pPr>
      <w:r>
        <w:rPr>
          <w:rFonts w:ascii="Arial" w:cs="Arial" w:eastAsia="Arial" w:hAnsi="Arial"/>
          <w:color w:val="333333"/>
          <w:sz w:val="20"/>
          <w:szCs w:val="20"/>
        </w:rPr>
        <w:t xml:space="preserve">The 'traffic light' backtesting framework set mc at 3.0 (green zone: 0–4 exceptions), rising to 3.4–4.0 (yellow: 5–9) or 4.0+ (red: 10+), based on the number of days actual loss exceeded 99% VaR over 250 trading days. The Standardised Approach remained available for banks without internal model approval.</w:t>
      </w:r>
      <w:r>
        <w:rPr>
          <w:rFonts w:ascii="Arial" w:cs="Arial" w:eastAsia="Arial" w:hAnsi="Arial"/>
          <w:color w:val="0E6B8A"/>
          <w:sz w:val="16"/>
          <w:szCs w:val="16"/>
          <w:vertAlign w:val="superscript"/>
        </w:rPr>
        <w:t xml:space="preserve"> [4]</w:t>
      </w:r>
    </w:p>
    <w:p>
      <w:pPr>
        <w:spacing w:before="40" w:after="0"/>
      </w:pPr>
      <w:r>
        <w:t xml:space="preserve"/>
      </w:r>
    </w:p>
    <w:p>
      <w:pPr>
        <w:spacing w:before="180" w:after="60"/>
      </w:pPr>
      <w:r>
        <w:rPr>
          <w:rFonts w:ascii="Arial" w:cs="Arial" w:eastAsia="Arial" w:hAnsi="Arial"/>
          <w:b/>
          <w:bCs/>
          <w:color w:val="0E6B8A"/>
          <w:sz w:val="22"/>
          <w:szCs w:val="22"/>
        </w:rPr>
        <w:t xml:space="preserve">Basel II (2004): Framework Incorporated, Not Reformed</w:t>
      </w:r>
    </w:p>
    <w:p>
      <w:pPr>
        <w:spacing w:before="60" w:after="60"/>
      </w:pPr>
      <w:r>
        <w:rPr>
          <w:rFonts w:ascii="Arial" w:cs="Arial" w:eastAsia="Arial" w:hAnsi="Arial"/>
          <w:color w:val="333333"/>
          <w:sz w:val="20"/>
          <w:szCs w:val="20"/>
        </w:rPr>
        <w:t xml:space="preserve">Basel II formally incorporated the 1996 Amendment into the Pillar 1 framework. The VaR-based internal model approach and standardised approach were carried forward largely unchanged. Specific risk treatment for credit-sensitive trading book positions was tightened. The fundamental architecture — 99%/10-day VaR with a multiplication factor — remained intact.</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Basel III (2010): Stressed VaR, IRC, and CVA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Stressed VaR (SVaR)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Additional VaR calculation using a continuous 12-month stress window (typically 2007–2009). Total market risk capital = VaR component + SVaR component. Effectively doubled capital charges for most trading books. Addressed the criticism that VaR models calibrated to low-volatility periods systematically underestimated risk.</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Incremental Risk Charge (IRC)</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99.9% / one-year capital charge for default and credit migration risk of trading book positions (bonds, loans, CDS). Addressed the pre-crisis failure of specific risk VaR to capture jump-to-default losses and rating cliff effects.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Comprehensive Risk Measure (CRM)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correlation trading portfolios (structured credit, CDO tranches, nth-to-default products): a bespoke capital charge based on 99.9%/one-year comprehensive risk model, with a floor equal to 8% of the standardised specific risk charge.</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Charge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standalone charge for the volatility of CVA mark-to-market (see Credit Risk Evolution section). Cleared trades exempted.</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FRTB: Complete Architectural Replacement</w:t>
      </w:r>
    </w:p>
    <w:p>
      <w:pPr>
        <w:spacing w:before="60" w:after="60"/>
      </w:pPr>
      <w:r>
        <w:rPr>
          <w:rFonts w:ascii="Arial" w:cs="Arial" w:eastAsia="Arial" w:hAnsi="Arial"/>
          <w:color w:val="333333"/>
          <w:sz w:val="20"/>
          <w:szCs w:val="20"/>
        </w:rPr>
        <w:t xml:space="preserve">FRTB replaces the entire Basel II/III market risk framework. The shift from VaR to Expected Shortfall addresses VaR's fundamental blind spot — it measures the threshold of the loss distribution but not the severity of losses beyond it. FRTB also addresses the crisis-era practice of migrating positions between trading and banking books to minimise capital.</w:t>
      </w:r>
      <w:r>
        <w:rPr>
          <w:rFonts w:ascii="Arial" w:cs="Arial" w:eastAsia="Arial" w:hAnsi="Arial"/>
          <w:color w:val="0E6B8A"/>
          <w:sz w:val="16"/>
          <w:szCs w:val="16"/>
          <w:vertAlign w:val="superscript"/>
        </w:rPr>
        <w:t xml:space="preserve"> [11]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FRTB Component</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Change vs Prior Framework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Expected Shortfall (ES) at 97.5%</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 captures the conditional expected loss in the tail — the average loss given it exceeds the 97.5th percentile. Calibrated to a stress period. Conceptually superior to VaR for capital adequacy purposes.</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Liquidity-Adjusted Horizons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10, 20, 40, 60, 120-day horizons assigned by risk factor class and liquidity. Replaces the universal 10-day holding period — illiquid risk factors penalised proportionally.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P&amp;L Attribution Test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Requires model to explain actual daily P&amp;L to a statistical standard. Desks failing tests lose IMA approval — fall back to SA. Creates powerful model quality incentive.</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Dual Backtesting Requirement</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Backtesting on both real P&amp;L (including fees, reserves) and hypothetical P&amp;L (clean mark-to-market only). Identifies model errors not visible in single-test regime.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Non-Modellable Risk Factors (NMRF)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with fewer than 24 real observations/year cannot be modelled — additive stress scenario charge applied. Incentivises market data investment; disincentivises exotic illiquid risk.</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Strict TB/BB Boundary</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Presumptive classification by instrument type. Moving positions requires supervisor approval. Capital benefit of reclassification immediately neutralised.</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OPERATIONAL RISK: THE JOURNEY</w:t>
      </w:r>
    </w:p>
    <w:p>
      <w:pPr>
        <w:spacing w:before="180" w:after="60"/>
      </w:pPr>
      <w:r>
        <w:rPr>
          <w:rFonts w:ascii="Arial" w:cs="Arial" w:eastAsia="Arial" w:hAnsi="Arial"/>
          <w:b/>
          <w:bCs/>
          <w:color w:val="0E6B8A"/>
          <w:sz w:val="22"/>
          <w:szCs w:val="22"/>
        </w:rPr>
        <w:t xml:space="preserve">Basel I: Entirely Absent</w:t>
      </w:r>
    </w:p>
    <w:p>
      <w:pPr>
        <w:spacing w:before="60" w:after="60"/>
        <w:jc w:val="left"/>
      </w:pPr>
      <w:r>
        <w:rPr>
          <w:rFonts w:ascii="Arial" w:cs="Arial" w:eastAsia="Arial" w:hAnsi="Arial"/>
          <w:color w:val="333333"/>
          <w:sz w:val="20"/>
          <w:szCs w:val="20"/>
        </w:rPr>
        <w:t xml:space="preserve">Operational risk — losses from failed processes, systems, people, or external events — received no explicit capital treatment in Basel I. It was subsumed implicitly in the general capital cushion without any quantification or disclosure requirement.</w:t>
      </w:r>
    </w:p>
    <w:p>
      <w:pPr>
        <w:spacing w:before="40" w:after="0"/>
      </w:pPr>
      <w:r>
        <w:t xml:space="preserve"/>
      </w:r>
    </w:p>
    <w:p>
      <w:pPr>
        <w:spacing w:before="180" w:after="60"/>
      </w:pPr>
      <w:r>
        <w:rPr>
          <w:rFonts w:ascii="Arial" w:cs="Arial" w:eastAsia="Arial" w:hAnsi="Arial"/>
          <w:b/>
          <w:bCs/>
          <w:color w:val="0E6B8A"/>
          <w:sz w:val="22"/>
          <w:szCs w:val="22"/>
        </w:rPr>
        <w:t xml:space="preserve">Basel II: First Formal Capital Treatment</w:t>
      </w:r>
    </w:p>
    <w:p>
      <w:pPr>
        <w:spacing w:before="60" w:after="60"/>
      </w:pPr>
      <w:r>
        <w:rPr>
          <w:rFonts w:ascii="Arial" w:cs="Arial" w:eastAsia="Arial" w:hAnsi="Arial"/>
          <w:color w:val="333333"/>
          <w:sz w:val="20"/>
          <w:szCs w:val="20"/>
        </w:rPr>
        <w:t xml:space="preserve">Basel II's three-tier OpRisk framework introduced a formal, quantified capital charge for the first time. The AMA was the flagship innovation: banks could model OpRisk capital using four data elements (internal loss data, external loss data, scenario analysis, BEICFs). AMA charges were frequently 30–50% below TSA at sophisticated banks, creating strong adoption incentives. However, AMA models proved impossible to compare or validate across institutions.</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Basel IV: AMA Abolished — SMA Replaces All Approaches</w:t>
      </w:r>
    </w:p>
    <w:p>
      <w:pPr>
        <w:spacing w:before="60" w:after="60"/>
      </w:pPr>
      <w:r>
        <w:rPr>
          <w:rFonts w:ascii="Arial" w:cs="Arial" w:eastAsia="Arial" w:hAnsi="Arial"/>
          <w:color w:val="333333"/>
          <w:sz w:val="20"/>
          <w:szCs w:val="20"/>
        </w:rPr>
        <w:t xml:space="preserve">The BCBS concluded that AMA had failed on the central goal of comparability. The variation in AMA outputs across banks with similar profiles was too large to be explained by genuine risk differences. The SMA, by contrast, produces a single calculable figure for any bank with a known BI and loss history.</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 Range</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BIC Marginal Rate</w:t>
            </w:r>
          </w:p>
        </w:tc>
        <w:tc>
          <w:tcPr>
            <w:tcW w:type="dxa" w:w="3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Illustrative Capital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 – €1bn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12% on full BI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Up to €120m</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€1bn – €30bn</w:t>
            </w:r>
          </w:p>
        </w:tc>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15% on BI above €1bn</w:t>
            </w:r>
          </w:p>
        </w:tc>
        <w:tc>
          <w:tcPr>
            <w:tcW w:type="dxa" w:w="3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€120m + up to €4,350m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&gt;€30bn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18% on BI above €30bn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€4,470m + 18% on excess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OPERATIONAL RISK DEBATE</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The SMA has attracted sustained criticism: it provides no capital differentiation between banks with strong and weak operational risk cultures; it penalises high-revenue banks regardless of loss history; and the ILM floor of 1.0 means historically low-loss banks cannot reduce capital below BIC. Critics, including the Institute of International Finance (IIF), argued the abolition of AMA was a regulatory step backward from risk-sensitivity. The BCBS position: comparability and supervisor-verifiability outweigh model precision for OpRisk.</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[4] BCBS (1996), 'Amendment to the Capital Accord to Incorporate Market Risks', BIS. [11] BCBS (2019), 'Minimum capital requirements for market risk (revised FRTB)', BIS. [15] BCBS (2014/2016), 'Operational risk — Revisions to the simpler approaches / Standardised Measurement Approach', BIS. IIF (2016), 'Comments on the BCBS consultation on operational risk capital'. Roncalli, T. (2020), 'Handbook on Financial Risk Management', CRC Press.</w:t>
      </w:r>
    </w:p>
    <w:p>
      <w:r>
        <w:br w:type="page"/>
      </w:r>
    </w:p>
    <w:p>
      <w:pPr>
        <w:spacing w:before="0" w:after="80"/>
      </w:pPr>
      <w:r>
        <w:rPr>
          <w:rFonts w:ascii="Arial" w:cs="Arial" w:eastAsia="Arial" w:hAnsi="Arial"/>
          <w:b/>
          <w:bCs/>
          <w:color w:val="1B3A6B"/>
          <w:sz w:val="40"/>
          <w:szCs w:val="40"/>
        </w:rPr>
        <w:t xml:space="preserve">Worked Examples</w:t>
      </w:r>
    </w:p>
    <w:p>
      <w:pPr>
        <w:spacing w:before="0" w:after="200"/>
      </w:pPr>
      <w:r>
        <w:rPr>
          <w:rFonts w:ascii="Arial" w:cs="Arial" w:eastAsia="Arial" w:hAnsi="Arial"/>
          <w:i/>
          <w:iCs/>
          <w:color w:val="0E6B8A"/>
          <w:sz w:val="22"/>
          <w:szCs w:val="22"/>
        </w:rPr>
        <w:t xml:space="preserve">Risk Treatment Across Basel I → IV</w:t>
      </w:r>
    </w:p>
    <w:p>
      <w:pPr>
        <w:spacing w:before="60" w:after="80"/>
        <w:jc w:val="left"/>
      </w:pPr>
      <w:r>
        <w:rPr>
          <w:rFonts w:ascii="Arial" w:cs="Arial" w:eastAsia="Arial" w:hAnsi="Arial"/>
          <w:i/>
          <w:iCs/>
          <w:color w:val="888888"/>
          <w:sz w:val="20"/>
          <w:szCs w:val="20"/>
        </w:rPr>
        <w:t xml:space="preserve">The following examples trace identical illustrative trades through all four Basel frameworks. All capital figures are approximate, standalone single-trade calculations using simplified assumptions — they are pedagogically illustrative, not regulatory outputs. Actual calculations depend on netting set membership, collateral, portfolio-level correlations, model approval status, and jurisdictional implementation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IMPORTANT CAVEAT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Capital figures shown are standalone and therefore conservative estimates for a well-diversified portfolio. In practice: (a) netting agreements can reduce CCR EAD significantly; (b) VaR/ES models capture portfolio diversification; (c) Pillar 2 SREP add-ons not shown; (d) jurisdictional variations in implementation apply.</w:t>
            </w:r>
          </w:p>
        </w:tc>
      </w:tr>
    </w:tbl>
    <w:p>
      <w:pPr>
        <w:spacing w:before="80" w:after="0"/>
      </w:pPr>
      <w:r>
        <w:t xml:space="preserve"/>
      </w:r>
    </w:p>
    <w:p>
      <w:pPr>
        <w:pBdr>
          <w:bottom w:val="single" w:color="1B3A6B" w:sz="10" w:space="4"/>
        </w:pBdr>
        <w:spacing w:before="280" w:after="100"/>
      </w:pPr>
      <w:r>
        <w:rPr>
          <w:rFonts w:ascii="Arial" w:cs="Arial" w:eastAsia="Arial" w:hAnsi="Arial"/>
          <w:b/>
          <w:bCs/>
          <w:color w:val="1B3A6B"/>
          <w:sz w:val="26"/>
          <w:szCs w:val="26"/>
        </w:rPr>
        <w:t xml:space="preserve">EXAMPLE 1: FX FORWARD — USD/SGD</w:t>
      </w:r>
    </w:p>
    <w:p>
      <w:pPr>
        <w:spacing w:before="60" w:after="60"/>
        <w:jc w:val="left"/>
      </w:pPr>
      <w:r>
        <w:rPr>
          <w:rFonts w:ascii="Arial" w:cs="Arial" w:eastAsia="Arial" w:hAnsi="Arial"/>
          <w:color w:val="333333"/>
          <w:sz w:val="20"/>
          <w:szCs w:val="20"/>
        </w:rPr>
        <w:t xml:space="preserve">Trade: Bank A sells USD 10,000,000 / buys SGD 13,500,000 forward, 6-month maturity. Spot USD/SGD: 1.35. Counterparty: Singapore-incorporated corporate (BBB-rated). No margin agreement, no CCP. Bank A is currently in-the-money by USD 200,000.</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Add-on Factor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Basel I Annex 3: FX contracts ≤ 1 year: 1.0% of notional. Add-on = 1.0% × $10m = $100,000.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Equivalent (CRE)</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Replacement Cost ($200,000 positive MTM) + Add-on ($100,000) = $300,000.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Risk Weight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Non-bank corporate counterparty = 100%.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RWA and Capital</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$300,000 × 100% × 8% = $24,000 capital. Market risk: no charge (Basel I has no trading book market risk capital).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The 1% add-on is uniform across all FX forwards under 1 year regardless of volatility, remaining tenor, or counterparty. Market risk on the FX position is entirely unaddressed. The bluntness is the framework's defining weakness.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BBB corporate = 100% risk weight under SA. CRE = $300,000 (CEM unchanged). Capital = $24,000.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(A-IRB)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Internal model: PD = 0.35% (BBB-equivalent), LGD = 45%, EAD = $300,000. BCBS IRB formula produces RWA ≈ $175,000. Capital ≈ $14,000 — 42% below SA.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(if trading book)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VaR-based: 99%/10-day. Assume portfolio VaR capital allocation = $8,000. Or standardised FX: 8% × net open position. Either applies depending on book classification.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IRB delivers meaningful capital benefit. Market risk capital is now charged if position is in the trading book. The book classification decision creates a capital-minimisation incentive that FRTB later addresses.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 (with CEM still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(CEM)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CEM still operative under Basel III for non-IMM banks. EAD = $300,000 (same as Basel I/II). RWA = $300,000. Capital = $24,000.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Charge (new)</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using EAD and supervisory credit spread for BBB corporate (≈ 80bps at 5yr point; 6m maturity reduces this). CVA capital ≈ $9,000–$12,000 — a new and material charge on a trade that previously had none.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(Stressed 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 + SVaR: total market risk capital ≈ $14,000–$18,000 (approximately 2× the Basel II figure if 2008 stress period used).</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Total (banking book)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 $33,000–$36,000 (credit + CVA), up from $24,000 Basel II. Market risk adds further if trading book.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CVA is the key new charge under Basel III for short-dated FX. For investment-grade corporates, CVA can exceed the CCR capital charge. SA-CCR does not apply under Basel III — this is a common misconception corrected in this edition.</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2017 Framework (SA-CCR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SA-CCR is a Basel IV element (BCBS 2014, effective under CRR2/Basel IV). Under SA-CCR: Adjusted Notional = $10m. Supervisory delta for linear FX forward = 1.0. Maturity factor for margined = √(min(M,1)/1); for unmargined: MF = √(min(M,1y)/1y) for M≤1yr. For 6-month FX: MF = √(0.5) ≈ 0.707. Supervisory factor for FX = 4%. PFE add-on = 4% × $10m × 0.707 = $282,800. EAD = 1.4 × ($200,000 + $282,800) = $675,920. RWA = $675,920 × 100% = $675,920. Capital = $54,074. Significantly higher than CEM.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(SA-CCR, mandatory)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$675,000 (see correction box above). BBB corporate: 100% RW. Capital ≈ $54,000. Note: substantially higher than CEM due to alpha multiplier and maturity factor.</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Output Floor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IRB used for credit risk: floor = 72.5% × SA-based RWA. IRB RWA ≈ $400,000; floor = 72.5% × $675,000 = $489,375. Floor binds. Capital floored at ≈ $39,000.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CVA (FRTB-CVA)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or SA-CVA. With hedges, assume CVA capital ≈ $8,000–$10,000.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(FRTB)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FX risk: 10-day liquidity horizon (major pairs). ES-based. For a plain vanilla spot FX exposure: SA delta risk charge = 15% supervisory factor × $10m × delta = $150,000 before correlation netting. In isolation: ≈ $15,000–$20,000 for this position.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 (banking book)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$39,000–$54,000 (credit) + $8,000 (CVA) = $47,000–$62,000.</w:t>
            </w:r>
          </w:p>
        </w:tc>
      </w:tr>
    </w:tbl>
    <w:p>
      <w:r>
        <w:br w:type="page"/>
      </w:r>
    </w:p>
    <w:p>
      <w:pPr>
        <w:pBdr>
          <w:bottom w:val="single" w:color="1B3A6B" w:sz="10" w:space="4"/>
        </w:pBdr>
        <w:spacing w:before="280" w:after="100"/>
      </w:pPr>
      <w:r>
        <w:rPr>
          <w:rFonts w:ascii="Arial" w:cs="Arial" w:eastAsia="Arial" w:hAnsi="Arial"/>
          <w:b/>
          <w:bCs/>
          <w:color w:val="1B3A6B"/>
          <w:sz w:val="26"/>
          <w:szCs w:val="26"/>
        </w:rPr>
        <w:t xml:space="preserve">EXAMPLE 2: EQUITY DERIVATIVE — LONG EUROPEAN CALL ON FTSE 100</w:t>
      </w:r>
    </w:p>
    <w:p>
      <w:pPr>
        <w:spacing w:before="60" w:after="60"/>
        <w:jc w:val="left"/>
      </w:pPr>
      <w:r>
        <w:rPr>
          <w:rFonts w:ascii="Arial" w:cs="Arial" w:eastAsia="Arial" w:hAnsi="Arial"/>
          <w:color w:val="333333"/>
          <w:sz w:val="20"/>
          <w:szCs w:val="20"/>
        </w:rPr>
        <w:t xml:space="preserve">Trade: Bank A purchases a 1-year European call option on the FTSE 100 index. Notional: £5,000,000. Strike = Spot = 7,500 (at-the-money). Delta ≈ 0.52. Premium paid: £420,000 (settled upfront). Counterparty: UK investment bank (AA-rated). Bilateral, no CCP.</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(Counterparty)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Purchased option: premium paid upfront limits loss to premium amount plus any positive MTM. CRE = max(MTM, 0) = £420,000 (assume MTM = premium). OECD bank = 20% RW. RWA = £84,000. Capital = £6,720.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None. Basel I has no trading book market risk capital framework.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A £5m equity index exposure with material gamma and vega risk carries only £6,720 capital under Basel I. The 20% OECD bank discount reflects geographic membership, not actual credit quality of the bank counterparty.</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(Counterparty)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AA bank under SA = 20% RW. EAD = MTM ≈ £480,000 (option has appreciated). RWA = £96,000. Capital = £7,680.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 Standardised</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Delta-equivalent position = 0.52 × £5m = £2.6m. General market risk (equity): 8% × £2.6m = £208,000. Specific risk (FTSE 100 index, qualifying): 0% — index positions with diversified constituents attract no specific risk charge under the SA. Options add-ons for gamma and vega risk per simplified approach.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 IMA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99%/10-day VaR on options portfolio capturing delta, gamma, vega. Assume VaR capital = £180,000 (lower than SA due to portfolio diversification and model precision).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The prior version incorrectly applied an 8% specific risk charge to the FTSE 100 index option. Under Basel II SA (Annex 1), a diversified equity index qualifying under the rules attracts a 0% specific risk charge. Only the 8% general market risk charge applies to the delta-equivalent position. Individual equity names attract specific risk of 8% (or 4% for liquid and well-diversified portfolios). This correction reduces the total SA market risk capital from £416,000 to approximately £208,000 for this example.</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 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CVA charge for AA bank: low credit spread (≈ 20bps). BA-CVA on EAD £480,000. CVA capital ≈ £8,000–12,000.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(VaR + SVaR)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SVaR calibrated to 2008 crisis period: FTSE 100 fell ≈40% peak-to-trough. SVaR substantially exceeds normal VaR. Total market risk capital ≈ £300,000–£350,000 (approximately 1.7×2.0× Basel II VaR capital).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IRC</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 applicable to index options — no specific issuer default risk.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SVaR materially increases equity derivative capital. Banks' proprietary equity options books became significantly more capital-intensive post-2010, a direct structural driver of the contraction in sell-side market-making depth in equity derivatives.</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FRTB — 2017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 FRTB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Sensitivity-based: delta risk (equity general risk factor, 25% supervisory RW for listed index), vega risk (implied vol, 28% supervisory RW), curvature risk (revaluation shock applied to option). Total SA ≈ £350,000–£400,000.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 FRTB IMA</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ES at 97.5%, 20-day liquidity horizon for equity risk factors. NMRF assessment: if deep OTM strikes lack 24 obs/yr, NMRF stress scenario added. IMA ≈ £260,000–£300,000 + NMRF add-on. Output floor = 72.5% × SA: floor ≈ £254,000–£290,000. IMA applies if above floor.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(Equity exposures)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Under Basel IV, A-IRB for equity abolished. SA RW for listed equity: 250%. Applied to MTM or EAD of the counterparty exposure, not the underlying — counterparty is AA bank (20% RW). Equity underlying risk weight not directly applicable here.</w:t>
            </w:r>
          </w:p>
        </w:tc>
      </w:tr>
    </w:tbl>
    <w:p>
      <w:r>
        <w:br w:type="page"/>
      </w:r>
    </w:p>
    <w:p>
      <w:pPr>
        <w:pBdr>
          <w:bottom w:val="single" w:color="1B3A6B" w:sz="10" w:space="4"/>
        </w:pBdr>
        <w:spacing w:before="280" w:after="100"/>
      </w:pPr>
      <w:r>
        <w:rPr>
          <w:rFonts w:ascii="Arial" w:cs="Arial" w:eastAsia="Arial" w:hAnsi="Arial"/>
          <w:b/>
          <w:bCs/>
          <w:color w:val="1B3A6B"/>
          <w:sz w:val="26"/>
          <w:szCs w:val="26"/>
        </w:rPr>
        <w:t xml:space="preserve">EXAMPLE 3: INTEREST RATE SWAP (IRS) — FIXED/FLOATING</w:t>
      </w:r>
    </w:p>
    <w:p>
      <w:pPr>
        <w:spacing w:before="60" w:after="60"/>
        <w:jc w:val="left"/>
      </w:pPr>
      <w:r>
        <w:rPr>
          <w:rFonts w:ascii="Arial" w:cs="Arial" w:eastAsia="Arial" w:hAnsi="Arial"/>
          <w:color w:val="333333"/>
          <w:sz w:val="20"/>
          <w:szCs w:val="20"/>
        </w:rPr>
        <w:t xml:space="preserve">Trade: Bank A pays fixed 4.5% / receives 6M EURIBOR on €20,000,000 notional. Maturity: 5 years. Counterparty: French corporate (A-rated). Bilateral (no CCP, no margin agreement). Current MTM: Bank A in-the-money by €350,000 (rates have declined since trade inception).</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CEM Add-on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Basel I Annex 3: IR contracts, residual maturity 1–5 years: 0.5% of notional. Add-on = 0.5% × €20m = €100,000.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Replacement Cost (€350,000) + Add-on (€100,000) = €450,000.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Risk Weight &amp; Capital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Non-bank corporate = 100%. RWA = €450,000. Capital = €36,000. No market risk capital.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A 5-year IRS with €20m notional has DV01 ≈ €8,500/bp. A 100bp rate move could move MTM by €850,000. Basel I capital of €36,000 is a negligible fraction of this risk. The add-on factor (0.5%) reflects the historically lower volatility of IR vs FX, but ignores duration and curve risk entirely.</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A-rated corporate = 50% RW under SA. EAD = €450,000 (CEM). RWA = €225,000. Capital = €18,000.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(A-IRB)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PD = 0.10–0.20% (A-rated range), LGD = 45%, EAD = €450,000, maturity = 5yr. IRB formula capital ≈ €11,000–13,000 — approximately 35% below SA.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IR sensitivity: DV01 × rate scenarios. 99%/10-day VaR for isolated position ≈ €60,000–80,000. With mc=3: capital ≈ €180,000–250,000 — dominates CCR capital. Portfolio netting can reduce this substantially.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Market risk capital far exceeds CCR capital for a 5-year IRS. VaR captures genuine interest rate risk. The capital asymmetry between market risk and CCR capital reflects the dominance of rate risk over counterparty risk for plain vanilla IRS.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 (CEM still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(CEM)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€450,000. A-rated corporate: 50% RW. Capital = €18,000. Unchanged from Basel II SA.</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(new)</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EAD €450,000 × 5yr effective maturity × supervisory spread (A corporate ≈ 40–60bps). CVA capital ≈ €18,000–25,000 — now comparable to the CCR capital charge.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(VaR + SVaR)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SVaR using 2008–2009 stress (extreme rate movements in some markets). SVaR ≈ 1.5×2× normal VaR. Total market risk capital ≈ €250,000–€350,000.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CCP Incentive (critical)</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same trade cleared via LCH SwapClear: CCR RW = 2% ⇒ capital €720. CVA exempted for cleared trades. Total CCR + CVA capital: €720 vs €36,000–43,000 bilateral. 50× differential — the primary driver of the shift to central clearing of vanilla IRS.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The CCP incentive is the most structurally consequential regulatory outcome of Basel III for derivatives markets. LCH SwapClear clearing volumes in IRS grew from approximately $100tn notional in 2009 to over $400tn by 2020, driven substantially by this capital differential.</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2017 Framework (SA-CCR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SA-CCR FORMULA: For a 5-year vanilla IRS, supervisory duration (SD) = (exp(-0.05×0) - exp(-0.05×5)) / 0.05 = (1 - 0.7788) / 0.05 = 4.42 years. Adjusted Notional = €20m × 4.42 = €88.4m. Supervisory factor for IR = 0.5%. PFE add-on = 0.5% × €88.4m × maturity factor (for unmargined, end date = 5yr: MF = √(5/1) if &gt;1yr, use min(M,1)/1 = 1.0... actually MF for unmargined = √(min(M,1)) = 1.0 for multi-year trades) = €442,000. RC = €350,000. EAD = 1.4 × (€350,000 + €442,000) = €1,108,800. This is notably higher than CEM due to the supervisory duration factor amplifying the notional.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(SA-CCR)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€1,109,000 (see correction box). A corporate: 50% RW. RWA = €554,500. Capital = €44,360.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Output Floor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IRB capital using own models vs SA floor. 72.5% × SA RWA = 72.5% × €554,500 = €401,900. If IRB gives lower, floor binds. Capital ≥ €32,150.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FRTB Market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Delta to IR curve: supervisory RW ≈ 1.5% for 5yr EURIBOR bucket. Delta risk charge on adjusted notional. IR curvature risk. Approx SA market risk ≈ €80,000–95,000 for this swap.</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FRTB Market Risk (IMA)</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ES 97.5%, 20-day LH for IR. Portfolio ES ≈ €55,000–75,000 in isolation. Floor: 72.5% × SA. IMA applies if above floor.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CVA (FRTB-CVA)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SA-CVA with CDS hedge: delta to credit spread + FX exposure. Net CVA capital ≈ €12,000–18,000.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Total Capital (bilateral, banking book)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 €44,000 (CCR) + €15,000 (CVA) = €59,000. If trading book: add ≈€65,000 market risk = €124,000 total.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SUMMARY COMPARISON — IRS</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Bilateral, uncleared, A-rated corporate counterparty, banking book treatment: Basel I: €36,000  →  Basel II (SA): €18,000  →  Basel III: €36,000–43,000 (credit + CVA)  →  Basel IV: €59,000+. The apparent dip in Basel II reflects SA credit risk sensitivity for A-rated corporates. The surge from Basel III onward is driven by CVA (new charge), then SA-CCR's duration-adjusted notional (Basel IV). Central clearing collapses this to near-zero CCR + CVA capital under all Basel III/IV variants.</w:t>
            </w:r>
          </w:p>
        </w:tc>
      </w:tr>
    </w:tbl>
    <w:p>
      <w:r>
        <w:br w:type="page"/>
      </w:r>
    </w:p>
    <w:p>
      <w:pPr>
        <w:spacing w:before="0" w:after="80"/>
      </w:pPr>
      <w:r>
        <w:rPr>
          <w:rFonts w:ascii="Arial" w:cs="Arial" w:eastAsia="Arial" w:hAnsi="Arial"/>
          <w:b/>
          <w:bCs/>
          <w:color w:val="1B3A6B"/>
          <w:sz w:val="40"/>
          <w:szCs w:val="40"/>
        </w:rPr>
        <w:t xml:space="preserve">Summary Reference</w:t>
      </w:r>
    </w:p>
    <w:p>
      <w:pPr>
        <w:spacing w:before="0" w:after="200"/>
      </w:pPr>
      <w:r>
        <w:rPr>
          <w:rFonts w:ascii="Arial" w:cs="Arial" w:eastAsia="Arial" w:hAnsi="Arial"/>
          <w:i/>
          <w:iCs/>
          <w:color w:val="0E6B8A"/>
          <w:sz w:val="22"/>
          <w:szCs w:val="22"/>
        </w:rPr>
        <w:t xml:space="preserve">Basel I → IV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  (1988)</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  (2004)</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III  (2010)</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IV  (2017)</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Min CET1 / Core Capital</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 Tier 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 Tier 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 CET1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 CET1 + buffers to 13%+</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Min Total Capital</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 + buffers (to ∼13%)</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 + buffers + output floor</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Credit Risk Method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5 fixed buckets (OECD basis)</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SA (external ratings) / F-IRB / A-IRB</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Refined IRB; enhanced SA</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Constrained IRB; Rev-SA; 72.5% floor</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CCR Method</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or IMM (approved)</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 IMM + stressed EPE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SA-CCR mandatory (Basel IV); IMM floor</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CVA Capital</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BA-CVA / SA-CVA 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FRTB-CVA (BA-CVA / SA-CVA revised)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Market Risk</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 (pre-1997)</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VaR 99%/10d (1996 Amdt.)</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VaR + Stressed VaR + IRC + CRM</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FRTB: ES 97.5% + liq. horizons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Operational Risk</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 (implicit)</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BIA / TSA / AMA</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 change to Pillar 1 methodology</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SMA only (AMA abolished)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Leverage Ratio</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3% Tier 1 / Total Exposure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3% Tier 1 (G-SIB: 3.5%+)</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Liquidity</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LCR + NSFR 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LCR + NSFR refined / embedded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Output Floor</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72.5% of SA RWA (phased 2025–2028)</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Pillar 2 / Pillar 3</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Introduced (ICAAP / disclosure)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Enhanced (stress testing, IRRBB)</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Strengthened (IRRBB standard; Pillar 3 reform)</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Key Driver</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International convergence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Risk sensitivity</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Capital quality + liquidity</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Comparability + model constraint</w:t>
            </w:r>
          </w:p>
        </w:tc>
      </w:tr>
    </w:tbl>
    <w:p>
      <w:pPr>
        <w:spacing w:before="120" w:after="0"/>
      </w:pPr>
      <w:r>
        <w:t xml:space="preserve"/>
      </w:r>
    </w:p>
    <w:p>
      <w:r>
        <w:br w:type="page"/>
      </w:r>
    </w:p>
    <w:p>
      <w:pPr>
        <w:spacing w:before="0" w:after="80"/>
      </w:pPr>
      <w:r>
        <w:rPr>
          <w:rFonts w:ascii="Arial" w:cs="Arial" w:eastAsia="Arial" w:hAnsi="Arial"/>
          <w:b/>
          <w:bCs/>
          <w:color w:val="1B3A6B"/>
          <w:sz w:val="40"/>
          <w:szCs w:val="40"/>
        </w:rPr>
        <w:t xml:space="preserve">References &amp; Further Reading</w:t>
      </w:r>
    </w:p>
    <w:p>
      <w:pPr>
        <w:spacing w:before="0" w:after="200"/>
      </w:pPr>
      <w:r>
        <w:rPr>
          <w:rFonts w:ascii="Arial" w:cs="Arial" w:eastAsia="Arial" w:hAnsi="Arial"/>
          <w:i/>
          <w:iCs/>
          <w:color w:val="0E6B8A"/>
          <w:sz w:val="22"/>
          <w:szCs w:val="22"/>
        </w:rPr>
        <w:t xml:space="preserve">Primary Sources and Practitioner Literature</w:t>
      </w:r>
    </w:p>
    <w:p>
      <w:pPr>
        <w:pBdr>
          <w:bottom w:val="single" w:color="0E6B8A" w:sz="10" w:space="4"/>
        </w:pBdr>
        <w:spacing w:before="280" w:after="100"/>
      </w:pPr>
      <w:r>
        <w:rPr>
          <w:rFonts w:ascii="Arial" w:cs="Arial" w:eastAsia="Arial" w:hAnsi="Arial"/>
          <w:b/>
          <w:bCs/>
          <w:color w:val="1B3A6B"/>
          <w:sz w:val="26"/>
          <w:szCs w:val="26"/>
        </w:rPr>
        <w:t xml:space="preserve">PRIMARY REGULATORY SOURCES (BCBS / 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8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Citation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(1988). 'International Convergence of Capital Measurement and Capital Standards.' Basel: BIS. (Revised 1998.)</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[2]</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BIS. 'History of the Basel Committee.' Available at: bis.org/bcbs/history.htm</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(2004, rev. 2006). 'International Convergence of Capital Measurement and Capital Standards: A Revised Framework — Comprehensive Version.'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[4]</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(1996). 'Amendment to the Capital Accord to Incorporate Market Risks.' Basel: BIS. (Updated 2005.)</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(2010, rev. 2011). 'Basel III: A global regulatory framework for more resilient banks and banking systems.'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[6]</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(2013). 'Basel III: The Liquidity Coverage Ratio and liquidity risk monitoring tools.'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[7]</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(2014). 'Basel III: the net stable funding ratio.'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[8]</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'Revisions to the Basel II market risk framework — updated version.'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[9]</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'Basel III: A global regulatory framework — counterparty credit risk annex.'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[10]</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(2017). 'Basel III: Finalising post-crisis reforms.' Basel: BIS. (Dec 2017.)</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(2019). 'Minimum capital requirements for market risk.' Basel: BIS. (Revised Jan 2019 — Final FRTB.)</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[12]</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EBA (2020). 'Basel III monitoring exercise — results based on data as of 31 December 2019.' Luxembourg: EBA.</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(2014). 'The standardised approach for measuring counterparty credit risk exposures.' Basel: BIS. (March 2014.)</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[14]</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'Application of own credit risk adjustments to derivatives.'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(2016). 'Standardised Measurement Approach for operational risk.' Basel: BIS. (March 2016.)</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PRACTITIONER AND ACADEMIC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 xVA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Gregory, J. (2020). 'The xVA Challenge: Counterparty Credit Risk, Funding, Collateral, Capital and Initial Margin.' 4th ed. Wiley.</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Roncalli, T. (2020). 'Handbook on Financial Risk Management.' CRC Press / Chapman &amp; Hall.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Basel III Practical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Blundell-Wignall, A. &amp; Atkinson, P. (2010). 'Thinking Beyond Basel III.' OECD Journal: Financial Market Trends, 2010(1).</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FRTB</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Farahvash, P. (2020). 'Asset-Liability and Liquidity Management.' Wiley. Chapter on FRTB implementation.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OpRisk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Cruz, M., Peters, G. &amp; Shevchenko, P. (2015). 'Fundamental Aspects of Operational Risk and Insurance Analytics.' Wiley.</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Basel IV Comprehensive</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Duponcheele, G., Perraudin, W. &amp; Totouom-Tangho, D. (2017). 'Basel IV: What's Next for Banks?' Risk.net analysis series.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IIF Critique of SMA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IIF (2016). 'Comments on BCBS Consultative Document: Standardised Measurement Approach for Operational Risk.' Institute of International Finance.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Regulatory Capital Broadly</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Tarullo, D.K. (2008). 'Banking on Basel: The Future of International Financial Regulation.' Peterson Institute for International Economics.</w:t>
            </w:r>
          </w:p>
        </w:tc>
      </w:tr>
    </w:tbl>
    <w:p>
      <w:pPr>
        <w:spacing w:before="80" w:after="0"/>
      </w:pPr>
      <w:r>
        <w:t xml:space="preserve"/>
      </w:r>
    </w:p>
    <w:p>
      <w:pPr>
        <w:spacing w:before="60" w:after="60"/>
        <w:jc w:val="left"/>
      </w:pPr>
      <w:r>
        <w:rPr>
          <w:rFonts w:ascii="Arial" w:cs="Arial" w:eastAsia="Arial" w:hAnsi="Arial"/>
          <w:i/>
          <w:iCs/>
          <w:color w:val="888888"/>
          <w:sz w:val="17"/>
          <w:szCs w:val="17"/>
        </w:rPr>
        <w:t xml:space="preserve">All BCBS documents cited above are freely available at bis.org/bcbs/publ.htm. The BCBS maintains a complete publication archive and FAQ pages for each accord. Readers implementing these frameworks should refer to local jurisdictional rules (EU: CRR/CRR2/CRR3; UK: PRA Rulebook; US: Federal Reserve/OCC/FDIC capital rules; APAC: MAS Notice 637, HKMA SPM, JFSA Guidelines) as these may differ materially from BCBS standards.</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color w:val="888888"/>
        <w:sz w:val="16"/>
        <w:szCs w:val="16"/>
      </w:rPr>
      <w:t xml:space="preserve">Basel Accord Evolution: Credit, Market &amp; Operational Risk</w:t>
    </w:r>
    <w:r>
      <w:rPr>
        <w:rFonts w:ascii="Arial" w:cs="Arial" w:eastAsia="Arial" w:hAnsi="Arial"/>
      </w:rPr>
      <w:t xml:space="preserv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2026-03-04T08:46:54.651Z</dcterms:created>
  <dcterms:modified xsi:type="dcterms:W3CDTF">2026-03-04T08:46:54.652Z</dcterms:modified>
</cp:coreProperties>
</file>

<file path=docProps/custom.xml><?xml version="1.0" encoding="utf-8"?>
<Properties xmlns="http://schemas.openxmlformats.org/officeDocument/2006/custom-properties" xmlns:vt="http://schemas.openxmlformats.org/officeDocument/2006/docPropsVTypes"/>
</file>