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0"/>
              <w:left w:type="dxa" w:w="720"/>
              <w:bottom w:type="dxa" w:w="1000"/>
              <w:right w:type="dxa" w:w="720"/>
            </w:tcMar>
          </w:tcPr>
          <w:p>
            <w:pPr>
              <w:spacing w:before="800" w:after="120"/>
              <w:jc w:val="center"/>
            </w:pPr>
            <w:r>
              <w:rPr>
                <w:rFonts w:ascii="Arial" w:cs="Arial" w:eastAsia="Arial" w:hAnsi="Arial"/>
                <w:b/>
                <w:bCs/>
                <w:color w:val="7799BB"/>
                <w:sz w:val="22"/>
                <w:szCs w:val="22"/>
              </w:rPr>
              <w:t xml:space="preserve">THE BASEL ACCORDS</w:t>
            </w:r>
          </w:p>
          <w:p>
            <w:pPr>
              <w:pStyle w:val="Heading1"/>
              <w:spacing w:before="0" w:after="160"/>
              <w:jc w:val="center"/>
              <w:outlineLvl w:val="0"/>
            </w:pPr>
            <w:r>
              <w:rPr>
                <w:rFonts w:ascii="Arial" w:cs="Arial" w:eastAsia="Arial" w:hAnsi="Arial"/>
                <w:b/>
                <w:bCs/>
                <w:color w:val="FFFFFF"/>
                <w:sz w:val="72"/>
                <w:szCs w:val="72"/>
              </w:rPr>
              <w:t xml:space="preserve">From Basel I to Basel IV</w:t>
            </w:r>
          </w:p>
          <w:p>
            <w:pPr>
              <w:spacing w:before="40" w:after="80"/>
              <w:jc w:val="center"/>
            </w:pPr>
            <w:r>
              <w:rPr>
                <w:rFonts w:ascii="Arial" w:cs="Arial" w:eastAsia="Arial" w:hAnsi="Arial"/>
                <w:color w:val="AACCEE"/>
                <w:sz w:val="28"/>
                <w:szCs w:val="28"/>
              </w:rPr>
              <w:t xml:space="preserve">A Practitioner's Reference Guide</w:t>
            </w:r>
          </w:p>
          <w:p>
            <w:pPr>
              <w:pStyle w:val="Heading2"/>
              <w:spacing w:before="200" w:after="80"/>
              <w:jc w:val="center"/>
              <w:outlineLvl w:val="1"/>
            </w:pPr>
            <w:r>
              <w:rPr>
                <w:rFonts w:ascii="Arial" w:cs="Arial" w:eastAsia="Arial" w:hAnsi="Arial"/>
                <w:color w:val="7799BB"/>
                <w:sz w:val="22"/>
                <w:szCs w:val="22"/>
              </w:rPr>
              <w:t xml:space="preserve">Credit Risk  •  Market Risk  •  Operational Risk</w:t>
            </w:r>
          </w:p>
          <w:p>
            <w:pPr>
              <w:spacing w:before="40" w:after="80"/>
              <w:jc w:val="center"/>
            </w:pPr>
            <w:r>
              <w:rPr>
                <w:rFonts w:ascii="Arial" w:cs="Arial" w:eastAsia="Arial" w:hAnsi="Arial"/>
                <w:i/>
                <w:iCs/>
                <w:color w:val="7799BB"/>
                <w:sz w:val="19"/>
                <w:szCs w:val="19"/>
              </w:rPr>
              <w:t xml:space="preserve">Including worked examples: FX Forward | Equity Derivative | Interest Rate Swap | Credit Derivative | Precious Metal Forward</w:t>
            </w:r>
          </w:p>
          <w:p>
            <w:pPr>
              <w:spacing w:before="80" w:after="800"/>
              <w:jc w:val="center"/>
            </w:pPr>
            <w:r>
              <w:rPr>
                <w:rFonts w:ascii="Arial" w:cs="Arial" w:eastAsia="Arial" w:hAnsi="Arial"/>
                <w:i/>
                <w:iCs/>
                <w:color w:val="5577AA"/>
                <w:sz w:val="17"/>
                <w:szCs w:val="17"/>
              </w:rPr>
              <w:t xml:space="preserve">Revised Edition — includes critical self-review and corrections</w:t>
            </w:r>
          </w:p>
          <w:p>
            <w:pPr>
              <w:spacing w:before="160" w:after="200"/>
              <w:pBdr>
                <w:top w:val="single" w:sz="4" w:color="2255AA" w:space="4"/>
              </w:pBdr>
              <w:jc w:val="center"/>
            </w:pPr>
            <w:r>
              <w:rPr>
                <w:rFonts w:ascii="Arial" w:cs="Arial" w:eastAsia="Arial" w:hAnsi="Arial"/>
                <w:b/>
                <w:bCs/>
                <w:color w:val="C9A84C"/>
                <w:sz w:val="18"/>
                <w:szCs w:val="18"/>
              </w:rPr>
              <w:t xml:space="preserve">Authors</w:t>
            </w:r>
          </w:p>
          <w:p>
            <w:pPr>
              <w:spacing w:before="40" w:after="40"/>
              <w:jc w:val="center"/>
            </w:pPr>
            <w:r>
              <w:rPr>
                <w:rFonts w:ascii="Arial" w:cs="Arial" w:eastAsia="Arial" w:hAnsi="Arial"/>
                <w:b/>
                <w:bCs/>
                <w:color w:val="FFFFFF"/>
                <w:sz w:val="20"/>
                <w:szCs w:val="20"/>
              </w:rPr>
              <w:t xml:space="preserve">Sarthaka Nanda</w:t>
            </w:r>
            <w:r>
              <w:rPr>
                <w:rFonts w:ascii="Arial" w:cs="Arial" w:eastAsia="Arial" w:hAnsi="Arial"/>
                <w:color w:val="7799BB"/>
                <w:sz w:val="20"/>
                <w:szCs w:val="20"/>
              </w:rPr>
              <w:t xml:space="preserve">  |  Claude (Anthropic)</w:t>
            </w:r>
          </w:p>
          <w:p>
            <w:pPr>
              <w:spacing w:before="20" w:after="500"/>
              <w:jc w:val="center"/>
            </w:pPr>
            <w:r>
              <w:rPr>
                <w:rFonts w:ascii="Arial" w:cs="Arial" w:eastAsia="Arial" w:hAnsi="Arial"/>
                <w:i/>
                <w:iCs/>
                <w:color w:val="5577AA"/>
                <w:sz w:val="16"/>
                <w:szCs w:val="16"/>
              </w:rPr>
              <w:t xml:space="preserve">Practitioner expertise: Sarthaka Nanda  |  Structure, drafting &amp; formatting: Claude (Anthropic)</w:t>
            </w:r>
          </w:p>
        </w:tc>
      </w:tr>
    </w:tbl>
    <w:p>
      <w:r>
        <w:br w:type="page"/>
      </w:r>
    </w:p>
    <w:p>
      <w:pPr>
        <w:spacing w:before="0" w:after="240"/>
      </w:pPr>
      <w:r>
        <w:rPr>
          <w:rFonts w:ascii="Arial" w:cs="Arial" w:eastAsia="Arial" w:hAnsi="Arial"/>
          <w:b/>
          <w:bCs/>
          <w:color w:val="1B3A6B"/>
          <w:sz w:val="36"/>
          <w:szCs w:val="36"/>
        </w:rPr>
        <w:t xml:space="preserve">Table of Contents</w:t>
      </w:r>
    </w:p>
    <w:p>
      <w:pPr>
        <w:spacing w:before="0" w:after="80"/>
        <w:pBdr>
          <w:bottom w:val="single" w:sz="6" w:color="1B3A6B" w:space="1"/>
        </w:pBdr>
      </w:pPr>
    </w:p>
    <w:sdt>
      <w:sdtPr>
        <w:docPartObj>
          <w:docPartGallery w:val="Table of Contents"/>
          <w:docPartUnique/>
        </w:docPartObj>
      </w:sdtPr>
      <w:sdtContent>
        <w:p>
          <w:pPr>
            <w:spacing w:before="0" w:after="0"/>
          </w:pPr>
          <w:r>
            <w:rPr>
              <w:rFonts w:ascii="Arial" w:cs="Arial" w:eastAsia="Arial" w:hAnsi="Arial"/>
              <w:color w:val="888888"/>
              <w:sz w:val="18"/>
              <w:szCs w:val="18"/>
            </w:rPr>
            <w:fldChar w:fldCharType="begin" w:dirty="true"/>
            <w:instrText xml:space="preserve"> TOC \o "1-2" \h \z \u </w:instrText>
            <w:fldChar w:fldCharType="separate"/>
          </w:r>
        </w:p>
        <w:p>
          <w:r>
            <w:rPr>
              <w:rFonts w:ascii="Arial" w:cs="Arial" w:eastAsia="Arial" w:hAnsi="Arial"/>
              <w:i/>
              <w:iCs/>
              <w:color w:val="888888"/>
              <w:sz w:val="18"/>
              <w:szCs w:val="18"/>
            </w:rPr>
            <w:t xml:space="preserve">[ Open in Word and right-click → Update Field to generate contents ]</w:t>
          </w:r>
        </w:p>
        <w:p>
          <w:r>
            <w:rPr>
              <w:sz w:val="18"/>
            </w:rPr>
            <w:fldChar w:fldCharType="end"/>
          </w:r>
        </w:p>
      </w:sdtContent>
    </w:sdt>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pPr>
              <w:pStyle w:val="Heading1"/>
              <w:outlineLvl w:val="0"/>
            </w:pPr>
            <w:r>
              <w:rPr>
                <w:rFonts w:ascii="Arial" w:cs="Arial" w:eastAsia="Arial" w:hAnsi="Arial"/>
                <w:b/>
                <w:bCs/>
                <w:color w:val="FFFFFF"/>
                <w:sz w:val="32"/>
                <w:szCs w:val="32"/>
              </w:rPr>
              <w:t xml:space="preserve">What is the BCBS — and How Does It Work?</w:t>
            </w:r>
          </w:p>
        </w:tc>
      </w:tr>
    </w:tbl>
    <w:p>
      <w:pPr>
        <w:spacing w:before="100" w:after="60"/>
        <w:jc w:val="left"/>
      </w:pPr>
      <w:r>
        <w:rPr>
          <w:rFonts w:ascii="Arial" w:cs="Arial" w:eastAsia="Arial" w:hAnsi="Arial"/>
          <w:color w:val="444444"/>
          <w:sz w:val="20"/>
          <w:szCs w:val="20"/>
        </w:rPr>
        <w:t xml:space="preserve">This section introduces the body responsible for creating Basel standards. Understanding the BCBS — what it is, how it functions, and why its standards are not automatically law — is essential context before studying any Basel framework.</w:t>
      </w:r>
    </w:p>
    <w:p>
      <w:pPr>
        <w:pStyle w:val="Heading2"/>
        <w:spacing w:before="240" w:after="80"/>
        <w:pBdr>
          <w:bottom w:val="single" w:sz="6" w:color="1B3A6B" w:space="1"/>
        </w:pBdr>
        <w:outlineLvl w:val="1"/>
      </w:pPr>
      <w:r>
        <w:rPr>
          <w:rFonts w:ascii="Arial" w:cs="Arial" w:eastAsia="Arial" w:hAnsi="Arial"/>
          <w:b/>
          <w:bCs/>
          <w:color w:val="1B3A6B"/>
          <w:sz w:val="26"/>
          <w:szCs w:val="26"/>
        </w:rPr>
        <w:t xml:space="preserve">The Basel Committee on Banking Supervision</w:t>
      </w:r>
    </w:p>
    <w:p>
      <w:pPr>
        <w:spacing w:before="60" w:after="60"/>
        <w:jc w:val="left"/>
      </w:pPr>
      <w:r>
        <w:rPr>
          <w:rFonts w:ascii="Arial" w:cs="Arial" w:eastAsia="Arial" w:hAnsi="Arial"/>
          <w:color w:val="444444"/>
          <w:sz w:val="20"/>
          <w:szCs w:val="20"/>
        </w:rPr>
        <w:t xml:space="preserve">The Basel Committee on Banking Supervision (BCBS) is the primary global standard-setter for the prudential regulation of banks. It was founded in 1974 by the G10 central bank governors following the failure of Bankhaus Herstatt, which left counterparties with unrecoverable foreign exchange settlements. The Committee is hosted by the Bank for International Settlements (BIS) in Basel, Switzerland — which is why the capital accords bear the city's name.</w:t>
      </w:r>
    </w:p>
    <w:p>
      <w:pPr>
        <w:spacing w:before="60" w:after="60"/>
        <w:jc w:val="left"/>
      </w:pPr>
      <w:r>
        <w:rPr>
          <w:rFonts w:ascii="Arial" w:cs="Arial" w:eastAsia="Arial" w:hAnsi="Arial"/>
          <w:color w:val="444444"/>
          <w:sz w:val="20"/>
          <w:szCs w:val="20"/>
        </w:rPr>
        <w:t xml:space="preserve">The BCBS currently has 45 members comprising central banks and bank supervisory authorities from 28 jurisdictions. Major members include:</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US Federal Reserve System and Office of the Comptroller of the Currency (OCC)</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European Central Bank (ECB) and European Banking Authority (EBA)</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Bank of England and Prudential Regulation Authority (PRA)</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Monetary Authority of Singapore (MAS)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People's Bank of China and China Banking and Insurance Regulatory Commission</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Bank of Japan and Financial Services Agency (FSA)</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Swiss Financial Market Supervisory Authority (FINMA)</w:t>
      </w:r>
    </w:p>
    <w:p>
      <w:pPr>
        <w:pStyle w:val="Heading2"/>
        <w:spacing w:before="240" w:after="80"/>
        <w:pBdr>
          <w:bottom w:val="single" w:sz="6" w:color="0E6B8A" w:space="1"/>
        </w:pBdr>
        <w:outlineLvl w:val="1"/>
      </w:pPr>
      <w:r>
        <w:rPr>
          <w:rFonts w:ascii="Arial" w:cs="Arial" w:eastAsia="Arial" w:hAnsi="Arial"/>
          <w:b/>
          <w:bCs/>
          <w:color w:val="0E6B8A"/>
          <w:sz w:val="26"/>
          <w:szCs w:val="26"/>
        </w:rPr>
        <w:t xml:space="preserve">How a Basel Standard is Made</w:t>
      </w:r>
    </w:p>
    <w:p>
      <w:pPr>
        <w:spacing w:before="60" w:after="60"/>
        <w:jc w:val="left"/>
      </w:pPr>
      <w:r>
        <w:rPr>
          <w:rFonts w:ascii="Arial" w:cs="Arial" w:eastAsia="Arial" w:hAnsi="Arial"/>
          <w:color w:val="444444"/>
          <w:sz w:val="20"/>
          <w:szCs w:val="20"/>
        </w:rPr>
        <w:t xml:space="preserve">BCBS standards do not emerge overnight. The process typically spans 5–10 years from initial observation to binding national implementation:</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760"/>
      </w:tblGrid>
      <w:tr>
        <w:tc>
          <w:tcPr>
            <w:tcW w:type="dxa" w:w="2600"/>
            <w:shd w:fill="1B3A6B" w:val="clear"/>
            <w:tcMar>
              <w:top w:type="dxa" w:w="100"/>
              <w:left w:type="dxa" w:w="180"/>
              <w:bottom w:type="dxa" w:w="100"/>
              <w:right w:type="dxa" w:w="180"/>
            </w:tcMar>
          </w:tcPr>
          <w:p>
            <w:r>
              <w:rPr>
                <w:rFonts w:ascii="Arial" w:cs="Arial" w:eastAsia="Arial" w:hAnsi="Arial"/>
                <w:b/>
                <w:bCs/>
                <w:color w:val="FFFFFF"/>
                <w:sz w:val="19"/>
                <w:szCs w:val="19"/>
              </w:rPr>
              <w:t xml:space="preserve">Stage</w:t>
            </w:r>
          </w:p>
        </w:tc>
        <w:tc>
          <w:tcPr>
            <w:tcW w:type="dxa" w:w="6760"/>
            <w:shd w:fill="1B3A6B" w:val="clear"/>
            <w:tcMar>
              <w:top w:type="dxa" w:w="100"/>
              <w:left w:type="dxa" w:w="180"/>
              <w:bottom w:type="dxa" w:w="100"/>
              <w:right w:type="dxa" w:w="180"/>
            </w:tcMar>
          </w:tcPr>
          <w:p>
            <w:r>
              <w:rPr>
                <w:rFonts w:ascii="Arial" w:cs="Arial" w:eastAsia="Arial" w:hAnsi="Arial"/>
                <w:b/>
                <w:bCs/>
                <w:color w:val="FFFFFF"/>
                <w:sz w:val="19"/>
                <w:szCs w:val="19"/>
              </w:rPr>
              <w:t xml:space="preserve">Description</w:t>
            </w:r>
          </w:p>
        </w:tc>
      </w:tr>
      <w:tr>
        <w:tc>
          <w:tcPr>
            <w:tcW w:type="dxa" w:w="2600"/>
            <w:tcBorders>
              <w:top w:val="single" w:color="CCCCCC" w:sz="4"/>
              <w:left w:val="single" w:color="CCCCCC" w:sz="4"/>
              <w:bottom w:val="single" w:color="CCCCCC" w:sz="4"/>
              <w:right w:val="single" w:color="CCCCCC" w:sz="4"/>
            </w:tcBorders>
            <w:shd w:fill="E8F4FD" w:val="clear"/>
            <w:tcMar>
              <w:top w:type="dxa" w:w="100"/>
              <w:left w:type="dxa" w:w="180"/>
              <w:bottom w:type="dxa" w:w="100"/>
              <w:right w:type="dxa" w:w="180"/>
            </w:tcMar>
          </w:tcPr>
          <w:p>
            <w:r>
              <w:rPr>
                <w:rFonts w:ascii="Arial" w:cs="Arial" w:eastAsia="Arial" w:hAnsi="Arial"/>
                <w:b/>
                <w:bCs/>
                <w:color w:val="1B3A6B"/>
                <w:sz w:val="19"/>
                <w:szCs w:val="19"/>
              </w:rPr>
              <w:t xml:space="preserve">Step 1 — Identify the Problem</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A crisis, supervisory observation, or research paper reveals a gap or failure in existing regulation. Basel I followed the Latin American debt crisis; Basel III followed the 2007–09 GFC; FRTB followed the discovery that trading book capital was massively understated.</w:t>
            </w:r>
          </w:p>
        </w:tc>
      </w:tr>
      <w:tr>
        <w:tc>
          <w:tcPr>
            <w:tcW w:type="dxa" w:w="2600"/>
            <w:tcBorders>
              <w:top w:val="single" w:color="CCCCCC" w:sz="4"/>
              <w:left w:val="single" w:color="CCCCCC" w:sz="4"/>
              <w:bottom w:val="single" w:color="CCCCCC" w:sz="4"/>
              <w:right w:val="single" w:color="CCCCCC" w:sz="4"/>
            </w:tcBorders>
            <w:shd w:fill="D6EAF8" w:val="clear"/>
            <w:tcMar>
              <w:top w:type="dxa" w:w="100"/>
              <w:left w:type="dxa" w:w="180"/>
              <w:bottom w:type="dxa" w:w="100"/>
              <w:right w:type="dxa" w:w="180"/>
            </w:tcMar>
          </w:tcPr>
          <w:p>
            <w:r>
              <w:rPr>
                <w:rFonts w:ascii="Arial" w:cs="Arial" w:eastAsia="Arial" w:hAnsi="Arial"/>
                <w:b/>
                <w:bCs/>
                <w:color w:val="1B3A6B"/>
                <w:sz w:val="19"/>
                <w:szCs w:val="19"/>
              </w:rPr>
              <w:t xml:space="preserve">Step 2 — Consultative Paper</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The BCBS publishes a discussion paper and invites comment from banks, trade bodies, academics, and the public. This is the primary channel through which the industry can influence outcomes.</w:t>
            </w:r>
          </w:p>
        </w:tc>
      </w:tr>
      <w:tr>
        <w:tc>
          <w:tcPr>
            <w:tcW w:type="dxa" w:w="2600"/>
            <w:tcBorders>
              <w:top w:val="single" w:color="CCCCCC" w:sz="4"/>
              <w:left w:val="single" w:color="CCCCCC" w:sz="4"/>
              <w:bottom w:val="single" w:color="CCCCCC" w:sz="4"/>
              <w:right w:val="single" w:color="CCCCCC" w:sz="4"/>
            </w:tcBorders>
            <w:shd w:fill="E8F4FD" w:val="clear"/>
            <w:tcMar>
              <w:top w:type="dxa" w:w="100"/>
              <w:left w:type="dxa" w:w="180"/>
              <w:bottom w:type="dxa" w:w="100"/>
              <w:right w:type="dxa" w:w="180"/>
            </w:tcMar>
          </w:tcPr>
          <w:p>
            <w:r>
              <w:rPr>
                <w:rFonts w:ascii="Arial" w:cs="Arial" w:eastAsia="Arial" w:hAnsi="Arial"/>
                <w:b/>
                <w:bCs/>
                <w:color w:val="1B3A6B"/>
                <w:sz w:val="19"/>
                <w:szCs w:val="19"/>
              </w:rPr>
              <w:t xml:space="preserve">Step 3 — Quantitative Impact Study (QIS)</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Proposed rules are tested on real bank data. Banks participate voluntarily, submitting anonymised portfolio data so BCBS can measure the capital impact before finalising the standard.</w:t>
            </w:r>
          </w:p>
        </w:tc>
      </w:tr>
      <w:tr>
        <w:tc>
          <w:tcPr>
            <w:tcW w:type="dxa" w:w="2600"/>
            <w:tcBorders>
              <w:top w:val="single" w:color="CCCCCC" w:sz="4"/>
              <w:left w:val="single" w:color="CCCCCC" w:sz="4"/>
              <w:bottom w:val="single" w:color="CCCCCC" w:sz="4"/>
              <w:right w:val="single" w:color="CCCCCC" w:sz="4"/>
            </w:tcBorders>
            <w:shd w:fill="D6EAF8" w:val="clear"/>
            <w:tcMar>
              <w:top w:type="dxa" w:w="100"/>
              <w:left w:type="dxa" w:w="180"/>
              <w:bottom w:type="dxa" w:w="100"/>
              <w:right w:type="dxa" w:w="180"/>
            </w:tcMar>
          </w:tcPr>
          <w:p>
            <w:r>
              <w:rPr>
                <w:rFonts w:ascii="Arial" w:cs="Arial" w:eastAsia="Arial" w:hAnsi="Arial"/>
                <w:b/>
                <w:bCs/>
                <w:color w:val="1B3A6B"/>
                <w:sz w:val="19"/>
                <w:szCs w:val="19"/>
              </w:rPr>
              <w:t xml:space="preserve">Step 4 — Final Standard Published</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BCBS publishes the final rule with an implementation timeline — typically 3–5 years to allow systems, models, and processes to be rebuilt.</w:t>
            </w:r>
          </w:p>
        </w:tc>
      </w:tr>
      <w:tr>
        <w:tc>
          <w:tcPr>
            <w:tcW w:type="dxa" w:w="2600"/>
            <w:tcBorders>
              <w:top w:val="single" w:color="CCCCCC" w:sz="4"/>
              <w:left w:val="single" w:color="CCCCCC" w:sz="4"/>
              <w:bottom w:val="single" w:color="CCCCCC" w:sz="4"/>
              <w:right w:val="single" w:color="CCCCCC" w:sz="4"/>
            </w:tcBorders>
            <w:shd w:fill="E8F4FD" w:val="clear"/>
            <w:tcMar>
              <w:top w:type="dxa" w:w="100"/>
              <w:left w:type="dxa" w:w="180"/>
              <w:bottom w:type="dxa" w:w="100"/>
              <w:right w:type="dxa" w:w="180"/>
            </w:tcMar>
          </w:tcPr>
          <w:p>
            <w:r>
              <w:rPr>
                <w:rFonts w:ascii="Arial" w:cs="Arial" w:eastAsia="Arial" w:hAnsi="Arial"/>
                <w:b/>
                <w:bCs/>
                <w:color w:val="1B3A6B"/>
                <w:sz w:val="19"/>
                <w:szCs w:val="19"/>
              </w:rPr>
              <w:t xml:space="preserve">Step 5 — National Implementation</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Each member jurisdiction translates the standard into local law or regulation. This is where rules become binding. The EU uses the Capital Requirements Regulation (CRR); the UK uses the PRA Rulebook; the US uses Federal Reserve/OCC/FDIC rules; Singapore uses MAS Notice 637.</w:t>
            </w:r>
          </w:p>
        </w:tc>
      </w:tr>
      <w:tr>
        <w:tc>
          <w:tcPr>
            <w:tcW w:type="dxa" w:w="2600"/>
            <w:tcBorders>
              <w:top w:val="single" w:color="CCCCCC" w:sz="4"/>
              <w:left w:val="single" w:color="CCCCCC" w:sz="4"/>
              <w:bottom w:val="single" w:color="CCCCCC" w:sz="4"/>
              <w:right w:val="single" w:color="CCCCCC" w:sz="4"/>
            </w:tcBorders>
            <w:shd w:fill="D6EAF8" w:val="clear"/>
            <w:tcMar>
              <w:top w:type="dxa" w:w="100"/>
              <w:left w:type="dxa" w:w="180"/>
              <w:bottom w:type="dxa" w:w="100"/>
              <w:right w:type="dxa" w:w="180"/>
            </w:tcMar>
          </w:tcPr>
          <w:p>
            <w:r>
              <w:rPr>
                <w:rFonts w:ascii="Arial" w:cs="Arial" w:eastAsia="Arial" w:hAnsi="Arial"/>
                <w:b/>
                <w:bCs/>
                <w:color w:val="1B3A6B"/>
                <w:sz w:val="19"/>
                <w:szCs w:val="19"/>
              </w:rPr>
              <w:t xml:space="preserve">Step 6 — Supervisory Review</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National supervisors assess compliance and may impose Pillar 2 add-ons where a bank's risk profile warrants capital above the Pillar 1 minimum.</w:t>
            </w:r>
          </w:p>
        </w:tc>
      </w:tr>
    </w:tbl>
    <w:p>
      <w:pPr>
        <w:pStyle w:val="Heading2"/>
        <w:spacing w:before="240" w:after="80"/>
        <w:pBdr>
          <w:bottom w:val="single" w:sz="6" w:color="C9A84C" w:space="1"/>
        </w:pBdr>
        <w:outlineLvl w:val="1"/>
      </w:pPr>
      <w:r>
        <w:rPr>
          <w:rFonts w:ascii="Arial" w:cs="Arial" w:eastAsia="Arial" w:hAnsi="Arial"/>
          <w:b/>
          <w:bCs/>
          <w:color w:val="C9A84C"/>
          <w:sz w:val="26"/>
          <w:szCs w:val="26"/>
        </w:rPr>
        <w:t xml:space="preserve">Why BCBS Standards Are Not Automatically Law</w:t>
      </w:r>
    </w:p>
    <w:p>
      <w:pPr>
        <w:spacing w:before="60" w:after="60"/>
        <w:jc w:val="left"/>
      </w:pPr>
      <w:r>
        <w:rPr>
          <w:rFonts w:ascii="Arial" w:cs="Arial" w:eastAsia="Arial" w:hAnsi="Arial"/>
          <w:color w:val="444444"/>
          <w:sz w:val="20"/>
          <w:szCs w:val="20"/>
        </w:rPr>
        <w:t xml:space="preserve">This distinction is fundamental. The BCBS does not make law. It issues standards, guidelines, and recommendations. Each member jurisdiction then decides how and when to implement them into domestic law or regulation. This has important practical consequences: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Basel IV may be implemented differently in the EU (via CRR3) versus the UK (PRA Rulebook) versus the US (Federal Reserve/OCC NPR) — with different phase-in timelines, transitional provisions, and national discretions.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The BCBS standard is the common baseline — local implementation may be stricter (the EU and UK often go beyond minimum requirements) or follow different phase-in schedules.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non-BCBS-member jurisdiction (e.g. many developing economies) may adopt Basel standards voluntarily but is not bound to do so.</w:t>
      </w: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1B3A6B" w:val="clear"/>
          </w:tcPr>
          <w:p>
            <w:pPr>
              <w:jc w:val="center"/>
            </w:pPr>
            <w:r>
              <w:rPr>
                <w:rFonts w:ascii="Arial" w:cs="Arial" w:eastAsia="Arial" w:hAnsi="Arial"/>
                <w:b/>
                <w:bCs/>
                <w:color w:val="FFFFFF"/>
                <w:sz w:val="18"/>
                <w:szCs w:val="18"/>
              </w:rPr>
              <w:t xml:space="preserve">KEY POINT</w:t>
            </w:r>
          </w:p>
        </w:tc>
        <w:tc>
          <w:tcPr>
            <w:tcW w:type="dxa" w:w="7960"/>
            <w:shd w:fill="D6EAF8" w:val="clear"/>
          </w:tcPr>
          <w:p>
            <w:r>
              <w:rPr>
                <w:rFonts w:ascii="Arial" w:cs="Arial" w:eastAsia="Arial" w:hAnsi="Arial"/>
                <w:color w:val="333333"/>
                <w:sz w:val="19"/>
                <w:szCs w:val="19"/>
              </w:rPr>
              <w:t xml:space="preserve">When you hear 'Basel IV requires...', the precise obligation depends on which jurisdiction's rulebook you are operating under. Always check local implementation rules alongside the BCBS source text.</w:t>
            </w:r>
          </w:p>
        </w:tc>
      </w:tr>
    </w:tbl>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pPr>
              <w:pStyle w:val="Heading1"/>
              <w:outlineLvl w:val="0"/>
            </w:pPr>
            <w:r>
              <w:rPr>
                <w:rFonts w:ascii="Arial" w:cs="Arial" w:eastAsia="Arial" w:hAnsi="Arial"/>
                <w:b/>
                <w:bCs/>
                <w:color w:val="FFFFFF"/>
                <w:sz w:val="32"/>
                <w:szCs w:val="32"/>
              </w:rPr>
              <w:t xml:space="preserve">What is Risk? — The Three Basel Risk Types</w:t>
            </w:r>
          </w:p>
        </w:tc>
      </w:tr>
    </w:tbl>
    <w:p>
      <w:pPr>
        <w:spacing w:before="100" w:after="60"/>
        <w:jc w:val="left"/>
      </w:pPr>
      <w:r>
        <w:rPr>
          <w:rFonts w:ascii="Arial" w:cs="Arial" w:eastAsia="Arial" w:hAnsi="Arial"/>
          <w:color w:val="444444"/>
          <w:sz w:val="20"/>
          <w:szCs w:val="20"/>
        </w:rPr>
        <w:t xml:space="preserve">Before studying how Basel calculates capital, it is essential to understand what Basel is protecting against. The BCBS framework is built around three formally recognised risk types under Pillar 1. Each is measured differently, attracts different capital methodologies, and has evolved through successive accords.</w:t>
      </w: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C9A84C" w:val="clear"/>
          </w:tcPr>
          <w:p>
            <w:pPr>
              <w:jc w:val="center"/>
            </w:pPr>
            <w:r>
              <w:rPr>
                <w:rFonts w:ascii="Arial" w:cs="Arial" w:eastAsia="Arial" w:hAnsi="Arial"/>
                <w:b/>
                <w:bCs/>
                <w:color w:val="FFFFFF"/>
                <w:sz w:val="18"/>
                <w:szCs w:val="18"/>
              </w:rPr>
              <w:t xml:space="preserve">DEFINITION</w:t>
            </w:r>
          </w:p>
        </w:tc>
        <w:tc>
          <w:tcPr>
            <w:tcW w:type="dxa" w:w="7960"/>
            <w:shd w:fill="FFF8E1" w:val="clear"/>
          </w:tcPr>
          <w:p>
            <w:r>
              <w:rPr>
                <w:rFonts w:ascii="Arial" w:cs="Arial" w:eastAsia="Arial" w:hAnsi="Arial"/>
                <w:color w:val="333333"/>
                <w:sz w:val="19"/>
                <w:szCs w:val="19"/>
              </w:rPr>
              <w:t xml:space="preserve">Total Risk (in the Basel sense) = the possibility that a bank suffers unexpected losses large enough to threaten its solvency. Capital is the buffer that absorbs these losses before depositors and creditors are affected. Expected losses are covered by loan loss provisions in the accounts — capital covers the unexpected portion.</w:t>
            </w:r>
          </w:p>
        </w:tc>
      </w:tr>
    </w:tbl>
    <w:p>
      <w:pPr>
        <w:spacing w:before="240" w:after="80"/>
        <w:pBdr>
          <w:bottom w:val="single" w:sz="6" w:color="1B3A6B" w:space="1"/>
        </w:pBdr>
      </w:pPr>
      <w:r>
        <w:rPr>
          <w:rFonts w:ascii="Arial" w:cs="Arial" w:eastAsia="Arial" w:hAnsi="Arial"/>
          <w:b/>
          <w:bCs/>
          <w:color w:val="1B3A6B"/>
          <w:sz w:val="26"/>
          <w:szCs w:val="26"/>
        </w:rPr>
        <w:t xml:space="preserve">Credit Risk</w:t>
      </w:r>
    </w:p>
    <w:p>
      <w:pPr>
        <w:spacing w:before="60" w:after="60"/>
        <w:jc w:val="left"/>
      </w:pPr>
      <w:r>
        <w:rPr>
          <w:rFonts w:ascii="Arial" w:cs="Arial" w:eastAsia="Arial" w:hAnsi="Arial"/>
          <w:color w:val="444444"/>
          <w:sz w:val="20"/>
          <w:szCs w:val="20"/>
        </w:rPr>
        <w:t xml:space="preserve">Credit risk is the risk that a borrower, issuer, or counterparty fails to meet its financial obligations in full and on time. It is the oldest and largest risk type for most banks, and the primary focus of Basel I and Basel II.</w:t>
      </w:r>
    </w:p>
    <w:p>
      <w:pPr>
        <w:spacing w:before="60" w:after="60"/>
        <w:jc w:val="left"/>
      </w:pPr>
      <w:r>
        <w:rPr>
          <w:rFonts w:ascii="Arial" w:cs="Arial" w:eastAsia="Arial" w:hAnsi="Arial"/>
          <w:color w:val="444444"/>
          <w:sz w:val="20"/>
          <w:szCs w:val="20"/>
        </w:rPr>
        <w:t xml:space="preserve">Examples of credit risk events: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corporate borrower defaults on a bank loan</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bond issuer fails to make coupon payments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derivatives counterparty cannot pay what it owes on settlement</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mortgage borrower stops making payments</w:t>
      </w:r>
    </w:p>
    <w:p>
      <w:pPr>
        <w:spacing w:before="60" w:after="60"/>
        <w:jc w:val="left"/>
      </w:pPr>
      <w:r>
        <w:rPr>
          <w:rFonts w:ascii="Arial" w:cs="Arial" w:eastAsia="Arial" w:hAnsi="Arial"/>
          <w:color w:val="444444"/>
          <w:sz w:val="20"/>
          <w:szCs w:val="20"/>
        </w:rPr>
        <w:t xml:space="preserve">Capital covers the unexpected portion of these losses. The expected loss (EL = PD × LGD × EAD) is covered by loan loss provisions already held in the accounts. The job of credit risk capital is to cover the distribution of losses above the expected level.</w:t>
      </w:r>
    </w:p>
    <w:p>
      <w:pPr>
        <w:spacing w:before="240" w:after="80"/>
        <w:pBdr>
          <w:bottom w:val="single" w:sz="6" w:color="0E6B8A" w:space="1"/>
        </w:pBdr>
      </w:pPr>
      <w:r>
        <w:rPr>
          <w:rFonts w:ascii="Arial" w:cs="Arial" w:eastAsia="Arial" w:hAnsi="Arial"/>
          <w:b/>
          <w:bCs/>
          <w:color w:val="0E6B8A"/>
          <w:sz w:val="26"/>
          <w:szCs w:val="26"/>
        </w:rPr>
        <w:t xml:space="preserve">Market Risk</w:t>
      </w:r>
    </w:p>
    <w:p>
      <w:pPr>
        <w:spacing w:before="60" w:after="60"/>
        <w:jc w:val="left"/>
      </w:pPr>
      <w:r>
        <w:rPr>
          <w:rFonts w:ascii="Arial" w:cs="Arial" w:eastAsia="Arial" w:hAnsi="Arial"/>
          <w:color w:val="444444"/>
          <w:sz w:val="20"/>
          <w:szCs w:val="20"/>
        </w:rPr>
        <w:t xml:space="preserve">Market risk is the risk of losses arising from adverse movements in market prices — interest rates, foreign exchange rates, equity prices, and commodity prices. It was not formally addressed by Basel until the 1996 Market Risk Amendment to Basel I, and was entirely absent from the 1988 accord.</w:t>
      </w:r>
    </w:p>
    <w:p>
      <w:pPr>
        <w:spacing w:before="60" w:after="60"/>
        <w:jc w:val="left"/>
      </w:pPr>
      <w:r>
        <w:rPr>
          <w:rFonts w:ascii="Arial" w:cs="Arial" w:eastAsia="Arial" w:hAnsi="Arial"/>
          <w:color w:val="444444"/>
          <w:sz w:val="20"/>
          <w:szCs w:val="20"/>
        </w:rPr>
        <w:t xml:space="preserve">Market risk primarily affects the trading book — positions held for short-term profit rather than held to maturity. Examples: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Interest rates rise and the value of a fixed-rate bond portfolio falls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currency depreciates against the bank's home currency, creating FX losses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An equity market falls sharply, reducing the value of equity holdings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Gold price drops, creating a loss on a precious metals forward position</w:t>
      </w:r>
    </w:p>
    <w:p>
      <w:pPr>
        <w:spacing w:before="60" w:after="60"/>
        <w:jc w:val="left"/>
      </w:pPr>
      <w:r>
        <w:rPr>
          <w:rFonts w:ascii="Arial" w:cs="Arial" w:eastAsia="Arial" w:hAnsi="Arial"/>
          <w:color w:val="444444"/>
          <w:sz w:val="20"/>
          <w:szCs w:val="20"/>
        </w:rPr>
        <w:t xml:space="preserve">FRTB (Fundamental Review of the Trading Book), finalised under Basel IV, is the current framework for market risk capital.</w:t>
      </w:r>
    </w:p>
    <w:p>
      <w:pPr>
        <w:spacing w:before="240" w:after="80"/>
        <w:pBdr>
          <w:bottom w:val="single" w:sz="6" w:color="8B0000" w:space="1"/>
        </w:pBdr>
      </w:pPr>
      <w:r>
        <w:rPr>
          <w:rFonts w:ascii="Arial" w:cs="Arial" w:eastAsia="Arial" w:hAnsi="Arial"/>
          <w:b/>
          <w:bCs/>
          <w:color w:val="8B0000"/>
          <w:sz w:val="26"/>
          <w:szCs w:val="26"/>
        </w:rPr>
        <w:t xml:space="preserve">Operational Risk</w:t>
      </w:r>
    </w:p>
    <w:p>
      <w:pPr>
        <w:spacing w:before="60" w:after="60"/>
        <w:jc w:val="left"/>
      </w:pPr>
      <w:r>
        <w:rPr>
          <w:rFonts w:ascii="Arial" w:cs="Arial" w:eastAsia="Arial" w:hAnsi="Arial"/>
          <w:color w:val="444444"/>
          <w:sz w:val="20"/>
          <w:szCs w:val="20"/>
        </w:rPr>
        <w:t xml:space="preserve">Operational risk is the risk of loss resulting from inadequate or failed internal processes, people, systems, or from external events. It was first formally captured in Basel II and remains the hardest risk type to model — unlike credit or market risk, there is no clean financial model for 'process failure'.</w:t>
      </w:r>
    </w:p>
    <w:p>
      <w:pPr>
        <w:spacing w:before="60" w:after="60"/>
        <w:jc w:val="left"/>
      </w:pPr>
      <w:r>
        <w:rPr>
          <w:rFonts w:ascii="Arial" w:cs="Arial" w:eastAsia="Arial" w:hAnsi="Arial"/>
          <w:color w:val="444444"/>
          <w:sz w:val="20"/>
          <w:szCs w:val="20"/>
        </w:rPr>
        <w:t xml:space="preserve">The Basel definition is deliberately broad. Examples: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rogue trader circumvents controls, creating large unauthorised losses (Barings Bank 1995, Société Générale 2008)</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system failure causes incorrect trade settlements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Fraud committed by an employee or external party</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cyber attack disrupts bank operations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Legal penalties arising from mis-selling of products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natural disaster disrupts business continuity</w:t>
      </w:r>
    </w:p>
    <w:p>
      <w:pPr>
        <w:spacing w:before="60" w:after="60"/>
        <w:jc w:val="left"/>
      </w:pPr>
      <w:r>
        <w:rPr>
          <w:rFonts w:ascii="Arial" w:cs="Arial" w:eastAsia="Arial" w:hAnsi="Arial"/>
          <w:color w:val="444444"/>
          <w:sz w:val="20"/>
          <w:szCs w:val="20"/>
        </w:rPr>
        <w:t xml:space="preserve">The Standardised Measurement Approach (SMA), introduced under Basel IV, replaced all prior operational risk models (BIA, TSA, AMA) due to excessive variability between banks.</w:t>
      </w:r>
    </w:p>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pPr>
              <w:pStyle w:val="Heading1"/>
              <w:outlineLvl w:val="0"/>
            </w:pPr>
            <w:r>
              <w:rPr>
                <w:rFonts w:ascii="Arial" w:cs="Arial" w:eastAsia="Arial" w:hAnsi="Arial"/>
                <w:b/>
                <w:bCs/>
                <w:color w:val="FFFFFF"/>
                <w:sz w:val="32"/>
                <w:szCs w:val="32"/>
              </w:rPr>
              <w:t xml:space="preserve">What is Not Covered Here — Scope &amp; Future Modules</w:t>
            </w:r>
          </w:p>
        </w:tc>
      </w:tr>
    </w:tbl>
    <w:p>
      <w:pPr>
        <w:spacing w:before="100" w:after="60"/>
        <w:jc w:val="left"/>
      </w:pPr>
      <w:r>
        <w:rPr>
          <w:rFonts w:ascii="Arial" w:cs="Arial" w:eastAsia="Arial" w:hAnsi="Arial"/>
          <w:color w:val="444444"/>
          <w:sz w:val="20"/>
          <w:szCs w:val="20"/>
        </w:rPr>
        <w:t xml:space="preserve">This document focuses on the three Basel Pillar 1 risk types: Credit Risk, Market Risk, and Operational Risk. Banking involves several other material risk types that are addressed by Basel under Pillar 2 (supervisory review) rather than Pillar 1 minimum capital. These are important in practice and will each receive a dedicated module in this knowledge repository.</w:t>
      </w:r>
    </w:p>
    <w:p>
      <w:pPr>
        <w:pStyle w:val="Heading2"/>
        <w:spacing w:before="240" w:after="80"/>
        <w:pBdr>
          <w:bottom w:val="single" w:sz="6" w:color="0E6B8A" w:space="1"/>
        </w:pBdr>
        <w:outlineLvl w:val="1"/>
      </w:pPr>
      <w:r>
        <w:rPr>
          <w:rFonts w:ascii="Arial" w:cs="Arial" w:eastAsia="Arial" w:hAnsi="Arial"/>
          <w:b/>
          <w:bCs/>
          <w:color w:val="0E6B8A"/>
          <w:sz w:val="26"/>
          <w:szCs w:val="26"/>
        </w:rPr>
        <w:t xml:space="preserve">Liquidity Risk (Future Module 2)</w:t>
      </w:r>
    </w:p>
    <w:p>
      <w:pPr>
        <w:spacing w:before="60" w:after="60"/>
        <w:jc w:val="left"/>
      </w:pPr>
      <w:r>
        <w:rPr>
          <w:rFonts w:ascii="Arial" w:cs="Arial" w:eastAsia="Arial" w:hAnsi="Arial"/>
          <w:color w:val="444444"/>
          <w:sz w:val="20"/>
          <w:szCs w:val="20"/>
        </w:rPr>
        <w:t xml:space="preserve">The risk that a bank cannot meet its financial obligations as they fall due — either because it cannot sell assets quickly enough (market liquidity) or cannot fund itself at acceptable cost (funding liquidity).</w:t>
      </w:r>
    </w:p>
    <w:p>
      <w:pPr>
        <w:spacing w:before="60" w:after="60"/>
        <w:jc w:val="left"/>
      </w:pPr>
      <w:r>
        <w:rPr>
          <w:rFonts w:ascii="Arial" w:cs="Arial" w:eastAsia="Arial" w:hAnsi="Arial"/>
          <w:color w:val="444444"/>
          <w:sz w:val="20"/>
          <w:szCs w:val="20"/>
        </w:rPr>
        <w:t xml:space="preserve">Basel III introduced two quantitative liquidity standards: the Liquidity Coverage Ratio (LCR: HQLA / Net Stressed Outflows over 30 days ≥ 100%) and the Net Stable Funding Ratio (NSFR: Available Stable Funding / Required Stable Funding over 1 year ≥ 100%). Liquidity risk was arguably the primary cause of the 2007–09 crisis — not credit losses alone.</w:t>
      </w:r>
    </w:p>
    <w:p>
      <w:pPr>
        <w:pStyle w:val="Heading2"/>
        <w:spacing w:before="240" w:after="80"/>
        <w:pBdr>
          <w:bottom w:val="single" w:sz="6" w:color="1B3A6B" w:space="1"/>
        </w:pBdr>
        <w:outlineLvl w:val="1"/>
      </w:pPr>
      <w:r>
        <w:rPr>
          <w:rFonts w:ascii="Arial" w:cs="Arial" w:eastAsia="Arial" w:hAnsi="Arial"/>
          <w:b/>
          <w:bCs/>
          <w:color w:val="1B3A6B"/>
          <w:sz w:val="26"/>
          <w:szCs w:val="26"/>
        </w:rPr>
        <w:t xml:space="preserve">Concentration Risk (Future Module 3)</w:t>
      </w:r>
    </w:p>
    <w:p>
      <w:pPr>
        <w:spacing w:before="60" w:after="60"/>
        <w:jc w:val="left"/>
      </w:pPr>
      <w:r>
        <w:rPr>
          <w:rFonts w:ascii="Arial" w:cs="Arial" w:eastAsia="Arial" w:hAnsi="Arial"/>
          <w:color w:val="444444"/>
          <w:sz w:val="20"/>
          <w:szCs w:val="20"/>
        </w:rPr>
        <w:t xml:space="preserve">The risk of excessive exposure to a single counterparty, sector, geography, or product. A bank with 40% of its loan book in one industry is acutely vulnerable to a downturn in that sector.</w:t>
      </w:r>
    </w:p>
    <w:p>
      <w:pPr>
        <w:spacing w:before="60" w:after="60"/>
        <w:jc w:val="left"/>
      </w:pPr>
      <w:r>
        <w:rPr>
          <w:rFonts w:ascii="Arial" w:cs="Arial" w:eastAsia="Arial" w:hAnsi="Arial"/>
          <w:color w:val="444444"/>
          <w:sz w:val="20"/>
          <w:szCs w:val="20"/>
        </w:rPr>
        <w:t xml:space="preserve">Addressed under Pillar 2 and the Basel Large Exposures framework. The Large Exposures standard (BCBS 2014) limits exposure to any single counterparty to 25% of Tier 1 capital (15% for G-SIB to G-SIB exposures).</w:t>
      </w:r>
    </w:p>
    <w:p>
      <w:pPr>
        <w:pStyle w:val="Heading2"/>
        <w:spacing w:before="240" w:after="80"/>
        <w:pBdr>
          <w:bottom w:val="single" w:sz="6" w:color="C9A84C" w:space="1"/>
        </w:pBdr>
        <w:outlineLvl w:val="1"/>
      </w:pPr>
      <w:r>
        <w:rPr>
          <w:rFonts w:ascii="Arial" w:cs="Arial" w:eastAsia="Arial" w:hAnsi="Arial"/>
          <w:b/>
          <w:bCs/>
          <w:color w:val="C9A84C"/>
          <w:sz w:val="26"/>
          <w:szCs w:val="26"/>
        </w:rPr>
        <w:t xml:space="preserve">Interest Rate Risk in the Banking Book — IRRBB (Future Module 4)</w:t>
      </w:r>
    </w:p>
    <w:p>
      <w:pPr>
        <w:spacing w:before="60" w:after="60"/>
        <w:jc w:val="left"/>
      </w:pPr>
      <w:r>
        <w:rPr>
          <w:rFonts w:ascii="Arial" w:cs="Arial" w:eastAsia="Arial" w:hAnsi="Arial"/>
          <w:color w:val="444444"/>
          <w:sz w:val="20"/>
          <w:szCs w:val="20"/>
        </w:rPr>
        <w:t xml:space="preserve">The risk that changes in interest rates adversely affect the economic value or net interest income of the banking book — loans, deposits, and other instruments held to maturity rather than for trading.</w:t>
      </w:r>
    </w:p>
    <w:p>
      <w:pPr>
        <w:spacing w:before="60" w:after="60"/>
        <w:jc w:val="left"/>
      </w:pPr>
      <w:r>
        <w:rPr>
          <w:rFonts w:ascii="Arial" w:cs="Arial" w:eastAsia="Arial" w:hAnsi="Arial"/>
          <w:color w:val="444444"/>
          <w:sz w:val="20"/>
          <w:szCs w:val="20"/>
        </w:rPr>
        <w:t xml:space="preserve">The BCBS published a dedicated IRRBB standard in 2016. Banks self-assess under ICAAP (Pillar 2 SREP). Became highly topical during 2022–23 as rapid rate rises exposed mismatches in many banks' balance sheets, contributing to the Silicon Valley Bank and Credit Suisse events.</w:t>
      </w:r>
    </w:p>
    <w:p>
      <w:pPr>
        <w:pStyle w:val="Heading2"/>
        <w:spacing w:before="240" w:after="80"/>
        <w:pBdr>
          <w:bottom w:val="single" w:sz="6" w:color="D4770A" w:space="1"/>
        </w:pBdr>
        <w:outlineLvl w:val="1"/>
      </w:pPr>
      <w:r>
        <w:rPr>
          <w:rFonts w:ascii="Arial" w:cs="Arial" w:eastAsia="Arial" w:hAnsi="Arial"/>
          <w:b/>
          <w:bCs/>
          <w:color w:val="D4770A"/>
          <w:sz w:val="26"/>
          <w:szCs w:val="26"/>
        </w:rPr>
        <w:t xml:space="preserve">Reputational &amp; Conduct Risk (Future Module 5)</w:t>
      </w:r>
    </w:p>
    <w:p>
      <w:pPr>
        <w:spacing w:before="60" w:after="60"/>
        <w:jc w:val="left"/>
      </w:pPr>
      <w:r>
        <w:rPr>
          <w:rFonts w:ascii="Arial" w:cs="Arial" w:eastAsia="Arial" w:hAnsi="Arial"/>
          <w:color w:val="444444"/>
          <w:sz w:val="20"/>
          <w:szCs w:val="20"/>
        </w:rPr>
        <w:t xml:space="preserve">The risk of loss arising from damage to a bank's reputation — including mis-selling, market manipulation, sanctions violations, benchmark manipulation, and ESG failures.</w:t>
      </w:r>
    </w:p>
    <w:p>
      <w:pPr>
        <w:spacing w:before="60" w:after="60"/>
        <w:jc w:val="left"/>
      </w:pPr>
      <w:r>
        <w:rPr>
          <w:rFonts w:ascii="Arial" w:cs="Arial" w:eastAsia="Arial" w:hAnsi="Arial"/>
          <w:color w:val="444444"/>
          <w:sz w:val="20"/>
          <w:szCs w:val="20"/>
        </w:rPr>
        <w:t xml:space="preserve">Not formally quantified in Pillar 1. Managed through governance, compliance frameworks, legal risk management, and culture. In practice, conduct fines and reputational damage have exceeded Pillar 1 capital charges for major institutions in specific periods (e.g., PPI mis-selling in the UK, LIBOR manipulation globally).</w:t>
      </w:r>
    </w:p>
    <w:p>
      <w:r>
        <w:br w:type="page"/>
      </w:r>
    </w:p>
    <w:p>
      <w:pPr>
        <w:spacing w:before="0" w:after="80"/>
      </w:pPr>
      <w:r>
        <w:rPr>
          <w:rFonts w:ascii="Arial" w:cs="Arial" w:eastAsia="Arial" w:hAnsi="Arial"/>
          <w:b/>
          <w:bCs/>
          <w:color w:val="1B3A6B"/>
          <w:sz w:val="40"/>
          <w:szCs w:val="40"/>
        </w:rPr>
        <w:t xml:space="preserve">Basel I</w:t>
      </w:r>
    </w:p>
    <w:p>
      <w:pPr>
        <w:spacing w:before="0" w:after="200"/>
      </w:pPr>
      <w:r>
        <w:rPr>
          <w:rFonts w:ascii="Arial" w:cs="Arial" w:eastAsia="Arial" w:hAnsi="Arial"/>
          <w:i/>
          <w:iCs/>
          <w:color w:val="0E6B8A"/>
          <w:sz w:val="22"/>
          <w:szCs w:val="22"/>
        </w:rPr>
        <w:t xml:space="preserve">The Foundation Framework  —  1988</w:t>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CONTEXT &amp; ORIGINS</w:t>
      </w:r>
    </w:p>
    <w:p>
      <w:pPr>
        <w:spacing w:before="60" w:after="60"/>
      </w:pPr>
      <w:r>
        <w:rPr>
          <w:rFonts w:ascii="Arial" w:cs="Arial" w:eastAsia="Arial" w:hAnsi="Arial"/>
          <w:color w:val="333333"/>
          <w:sz w:val="20"/>
          <w:szCs w:val="20"/>
        </w:rPr>
        <w:t xml:space="preserve">The Basel I Accord — formally the International Convergence of Capital Measurement and Capital Standards — was published by the Basel Committee on Banking Supervision (BCBS) in July 1988. It emerged from growing alarm through the 1980s about the deteriorating capital adequacy of international banks, amplified by the Latin American sovereign debt crisis and the failure of several significant institutions including Continental Illinois (1984) and Johnson Matthey Bankers (1984).</w:t>
      </w:r>
      <w:r>
        <w:rPr>
          <w:rFonts w:ascii="Arial" w:cs="Arial" w:eastAsia="Arial" w:hAnsi="Arial"/>
          <w:color w:val="0E6B8A"/>
          <w:sz w:val="16"/>
          <w:szCs w:val="16"/>
          <w:vertAlign w:val="superscript"/>
        </w:rPr>
        <w:t xml:space="preserve"> [1]</w:t>
      </w:r>
    </w:p>
    <w:p>
      <w:pPr>
        <w:spacing w:before="60" w:after="60"/>
      </w:pPr>
      <w:r>
        <w:rPr>
          <w:rFonts w:ascii="Arial" w:cs="Arial" w:eastAsia="Arial" w:hAnsi="Arial"/>
          <w:color w:val="333333"/>
          <w:sz w:val="20"/>
          <w:szCs w:val="20"/>
        </w:rPr>
        <w:t xml:space="preserve">The Accord was developed by the G10 central bank governors' BCBS, comprising 12 member jurisdictions (Belgium, Canada, France, Germany, Italy, Japan, Luxembourg, Netherlands, Sweden, Switzerland, United Kingdom, and the United States). Implementation was required by the end of 1992. Its primary goal: ensure internationally active banks held sufficient capital to absorb unexpected losses without triggering systemic failure.</w:t>
      </w:r>
      <w:r>
        <w:rPr>
          <w:rFonts w:ascii="Arial" w:cs="Arial" w:eastAsia="Arial" w:hAnsi="Arial"/>
          <w:color w:val="0E6B8A"/>
          <w:sz w:val="16"/>
          <w:szCs w:val="16"/>
          <w:vertAlign w:val="superscript"/>
        </w:rPr>
        <w:t xml:space="preserve"> [1,2]</w:t>
      </w:r>
    </w:p>
    <w:p>
      <w:pPr>
        <w:spacing w:before="6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CORE ARCHITECTURE</w:t>
      </w:r>
    </w:p>
    <w:p>
      <w:pPr>
        <w:spacing w:before="180" w:after="60"/>
      </w:pPr>
      <w:r>
        <w:rPr>
          <w:rFonts w:ascii="Arial" w:cs="Arial" w:eastAsia="Arial" w:hAnsi="Arial"/>
          <w:b/>
          <w:bCs/>
          <w:color w:val="0E6B8A"/>
          <w:sz w:val="22"/>
          <w:szCs w:val="22"/>
        </w:rPr>
        <w:t xml:space="preserve">The 8% Capital Requirement</w:t>
      </w:r>
    </w:p>
    <w:p>
      <w:pPr>
        <w:spacing w:before="60" w:after="60"/>
      </w:pPr>
      <w:r>
        <w:rPr>
          <w:rFonts w:ascii="Arial" w:cs="Arial" w:eastAsia="Arial" w:hAnsi="Arial"/>
          <w:color w:val="333333"/>
          <w:sz w:val="20"/>
          <w:szCs w:val="20"/>
        </w:rPr>
        <w:t xml:space="preserve">Basel I established that internationally active banks must maintain a minimum ratio of capital to risk-weighted assets (RWA) of 8%, with at least 4% in Tier 1 (core) capital. This became the defining metric of bank capital adequacy for the following decade.</w:t>
      </w:r>
      <w:r>
        <w:rPr>
          <w:rFonts w:ascii="Arial" w:cs="Arial" w:eastAsia="Arial" w:hAnsi="Arial"/>
          <w:color w:val="0E6B8A"/>
          <w:sz w:val="16"/>
          <w:szCs w:val="16"/>
          <w:vertAlign w:val="superscript"/>
        </w:rPr>
        <w:t xml:space="preserve"> [1]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Composition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Tier 1 (Core Capital)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Common equity, disclosed reserves. Minimum 4% of RWA. The primary loss-absorbing layer.</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Tier 2 (Supplementary)</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Undisclosed reserves, revaluation reserves, hybrid instruments, subordinated long-term debt (capped at 50% of Tier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Tier 3</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Short-term subordinated debt — introduced via the 1996 Market Risk Amendment exclusively for market risk capital. Not part of the original 1988 Accord.</w:t>
            </w:r>
          </w:p>
        </w:tc>
      </w:tr>
    </w:tbl>
    <w:p>
      <w:pPr>
        <w:spacing w:before="80" w:after="0"/>
      </w:pPr>
      <w:r>
        <w:t xml:space="preserve"/>
      </w:r>
    </w:p>
    <w:p>
      <w:pPr>
        <w:spacing w:before="180" w:after="60"/>
      </w:pPr>
      <w:r>
        <w:rPr>
          <w:rFonts w:ascii="Arial" w:cs="Arial" w:eastAsia="Arial" w:hAnsi="Arial"/>
          <w:b/>
          <w:bCs/>
          <w:color w:val="0E6B8A"/>
          <w:sz w:val="22"/>
          <w:szCs w:val="22"/>
        </w:rPr>
        <w:t xml:space="preserve">Risk Weight Categories</w:t>
      </w:r>
    </w:p>
    <w:p>
      <w:pPr>
        <w:spacing w:before="60" w:after="60"/>
      </w:pPr>
      <w:r>
        <w:rPr>
          <w:rFonts w:ascii="Arial" w:cs="Arial" w:eastAsia="Arial" w:hAnsi="Arial"/>
          <w:color w:val="333333"/>
          <w:sz w:val="20"/>
          <w:szCs w:val="20"/>
        </w:rPr>
        <w:t xml:space="preserve">Basel I applied five risk weight buckets exclusively to on-balance-sheet credit exposures. All assets were assigned to one of the following categories:</w:t>
      </w:r>
      <w:r>
        <w:rPr>
          <w:rFonts w:ascii="Arial" w:cs="Arial" w:eastAsia="Arial" w:hAnsi="Arial"/>
          <w:color w:val="0E6B8A"/>
          <w:sz w:val="16"/>
          <w:szCs w:val="16"/>
          <w:vertAlign w:val="superscript"/>
        </w:rPr>
        <w:t xml:space="preserve"> [1]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Risk Weight</w:t>
            </w:r>
          </w:p>
        </w:tc>
        <w:tc>
          <w:tcPr>
            <w:tcW w:type="dxa" w:w="7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Asset Category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Cash, claims on OECD central governments and central banks denominated in national currency</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10%</w:t>
            </w:r>
          </w:p>
        </w:tc>
        <w:tc>
          <w:tcPr>
            <w:tcW w:type="dxa" w:w="7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Claims on domestic public-sector entities (national discretion)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20%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Claims on multilateral development banks; claims on OECD-incorporated banks with residual maturity ≤ 1 year</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50%</w:t>
            </w:r>
          </w:p>
        </w:tc>
        <w:tc>
          <w:tcPr>
            <w:tcW w:type="dxa" w:w="7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Loans fully secured by mortgage on residential property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100%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Claims on private sector, non-OECD bank claims, all other assets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KEY FORMULA</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Capital Ratio = (Tier 1 + Tier 2 Capital) ÷ Risk-Weighted Assets ≥ 8%  |  Tier 1 ≥ 4% of RWA</w:t>
            </w:r>
          </w:p>
        </w:tc>
      </w:tr>
    </w:tbl>
    <w:p>
      <w:pPr>
        <w:spacing w:before="8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STRENGTHS &amp;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6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Strengths</w:t>
            </w:r>
          </w:p>
        </w:tc>
        <w:tc>
          <w:tcPr>
            <w:tcW w:type="dxa" w:w="36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Limitations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Simplicity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Easy to understand; consistent international baseline for the first time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One-size-fits-all; no sensitivity to actual borrower creditworthiness</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Scope</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Established credible international convergence</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Covered credit risk only — market and operational risk entirely absent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Capital Quality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Distinguished Tier 1 vs Tier 2 capital layers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Tier 2 admitted instruments with questionable loss-absorption quality</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Risk Measurement</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Clear, transparent, auditable risk weights</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Weights not calibrated to empirical default probability data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Regulatory Arbitrage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Fixed risk weights enabled systematic gaming via securitisation and off-balance-sheet structures</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Geography</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OECD membership determined risk weights, not credit quality — a crude and politically driven distinction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KEY LEGACY</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Basel I was never designed as a permanent solution, but its 8% minimum capital ratio and Tier 1/Tier 2 architecture persisted — in modified form — through every subsequent accord. It gave regulators a shared vocabulary.</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[1] BCBS (1988), 'International Convergence of Capital Measurement and Capital Standards', BIS. [2] BCBS History, BIS.org.</w:t>
      </w:r>
    </w:p>
    <w:p>
      <w:r>
        <w:br w:type="page"/>
      </w:r>
    </w:p>
    <w:p>
      <w:pPr>
        <w:pStyle w:val="Heading1"/>
        <w:spacing w:before="0" w:after="80"/>
        <w:outlineLvl w:val="0"/>
      </w:pPr>
      <w:r>
        <w:rPr>
          <w:rFonts w:ascii="Arial" w:cs="Arial" w:eastAsia="Arial" w:hAnsi="Arial"/>
          <w:b/>
          <w:bCs/>
          <w:color w:val="1B3A6B"/>
          <w:sz w:val="40"/>
          <w:szCs w:val="40"/>
        </w:rPr>
        <w:t xml:space="preserve">Basel II</w:t>
      </w:r>
    </w:p>
    <w:p>
      <w:pPr>
        <w:spacing w:before="0" w:after="200"/>
      </w:pPr>
      <w:r>
        <w:rPr>
          <w:rFonts w:ascii="Arial" w:cs="Arial" w:eastAsia="Arial" w:hAnsi="Arial"/>
          <w:i/>
          <w:iCs/>
          <w:color w:val="0E6B8A"/>
          <w:sz w:val="22"/>
          <w:szCs w:val="22"/>
        </w:rPr>
        <w:t xml:space="preserve">The Three Pillars Framework  —  2004 (Implementation 2008)</w:t>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CONTEXT &amp; MOTIVATION</w:t>
      </w:r>
    </w:p>
    <w:p>
      <w:pPr>
        <w:spacing w:before="60" w:after="60"/>
      </w:pPr>
      <w:r>
        <w:rPr>
          <w:rFonts w:ascii="Arial" w:cs="Arial" w:eastAsia="Arial" w:hAnsi="Arial"/>
          <w:color w:val="333333"/>
          <w:sz w:val="20"/>
          <w:szCs w:val="20"/>
        </w:rPr>
        <w:t xml:space="preserve">Basel II was published in June 2004 after six years of consultation and three quantitative impact studies (QIS). It replaced a framework widely criticised as gameable: banks had exploited Basel I's fixed risk weights through securitisation and off-balance-sheet special purpose vehicles to artificially reduce RWA without genuinely reducing risk. Basel II sought to align regulatory capital requirements more closely with actual economic risk.</w:t>
      </w:r>
      <w:r>
        <w:rPr>
          <w:rFonts w:ascii="Arial" w:cs="Arial" w:eastAsia="Arial" w:hAnsi="Arial"/>
          <w:color w:val="0E6B8A"/>
          <w:sz w:val="16"/>
          <w:szCs w:val="16"/>
          <w:vertAlign w:val="superscript"/>
        </w:rPr>
        <w:t xml:space="preserve"> [3]</w:t>
      </w:r>
    </w:p>
    <w:p>
      <w:pPr>
        <w:spacing w:before="6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THE THREE PILLARS</w:t>
      </w:r>
    </w:p>
    <w:p>
      <w:pPr>
        <w:spacing w:before="180" w:after="60"/>
      </w:pPr>
      <w:r>
        <w:rPr>
          <w:rFonts w:ascii="Arial" w:cs="Arial" w:eastAsia="Arial" w:hAnsi="Arial"/>
          <w:b/>
          <w:bCs/>
          <w:color w:val="0E6B8A"/>
          <w:sz w:val="22"/>
          <w:szCs w:val="22"/>
        </w:rPr>
        <w:t xml:space="preserve">Pillar 1 — Minimum Capital Requirements</w:t>
      </w:r>
    </w:p>
    <w:p>
      <w:pPr>
        <w:spacing w:before="60" w:after="60"/>
      </w:pPr>
      <w:r>
        <w:rPr>
          <w:rFonts w:ascii="Arial" w:cs="Arial" w:eastAsia="Arial" w:hAnsi="Arial"/>
          <w:color w:val="333333"/>
          <w:sz w:val="20"/>
          <w:szCs w:val="20"/>
        </w:rPr>
        <w:t xml:space="preserve">Basel II retained the 8% total capital minimum but fundamentally reformed how RWA was calculated, extending coverage from credit risk alone to also encompass market risk (via the 1996 Amendment, now formally incorporated) and — for the first time — operational risk.</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Credit Risk —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69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Standardised Approach (SA)</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External credit ratings (S&amp;P, Moody's, Fitch) drive risk weights. More granular than Basel I: e.g., AAA-rated corporate = 20%, BBB = 100%, below BB = 150%.</w:t>
            </w:r>
          </w:p>
        </w:tc>
      </w:tr>
      <w:t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Foundation IRB (F-IRB)</w:t>
            </w:r>
          </w:p>
        </w:tc>
        <w:tc>
          <w:tcPr>
            <w:tcW w:type="dxa" w:w="6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estimate Probability of Default (PD) using internal models validated by supervisor. Loss Given Default (LGD) and Exposure at Default (EAD) set by supervisory parameters.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Advanced IRB (A-IRB)</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estimate PD, LGD, and EAD using approved internal models. Requires extensive historical data, independent validation, and explicit supervisory approval. Offers greatest capital sensitivity.</w:t>
            </w:r>
          </w:p>
        </w:tc>
      </w:tr>
    </w:tbl>
    <w:p>
      <w:pPr>
        <w:spacing w:before="60" w:after="0"/>
      </w:pPr>
      <w:r>
        <w:t xml:space="preserve"/>
      </w:r>
    </w:p>
    <w:p>
      <w:pPr>
        <w:spacing w:before="180" w:after="60"/>
      </w:pPr>
      <w:r>
        <w:rPr>
          <w:rFonts w:ascii="Arial" w:cs="Arial" w:eastAsia="Arial" w:hAnsi="Arial"/>
          <w:b/>
          <w:bCs/>
          <w:color w:val="0E6B8A"/>
          <w:sz w:val="22"/>
          <w:szCs w:val="22"/>
        </w:rPr>
        <w:t xml:space="preserve">Market Risk — Internal Models Approach</w:t>
      </w:r>
    </w:p>
    <w:p>
      <w:pPr>
        <w:spacing w:before="60" w:after="60"/>
      </w:pPr>
      <w:r>
        <w:rPr>
          <w:rFonts w:ascii="Arial" w:cs="Arial" w:eastAsia="Arial" w:hAnsi="Arial"/>
          <w:color w:val="333333"/>
          <w:sz w:val="20"/>
          <w:szCs w:val="20"/>
        </w:rPr>
        <w:t xml:space="preserve">Basel II formally incorporated the 1996 Market Risk Amendment, permitting approved banks to use Value-at-Risk (VaR) models to determine market risk capital. VaR parameters: 99% one-tailed confidence interval, 10-day holding period, minimum one-year observation period. Capital charge: max(VaR_{t-1}, mc × (1/60 × ΣVaR_{t-i}, i=1..60)), where the multiplication factor mc ≥ 3 and is increased by a backtesting penalty (up to +1) based on the number of daily VaR exceptions in the prior 250 trading days.</w:t>
      </w:r>
      <w:r>
        <w:rPr>
          <w:rFonts w:ascii="Arial" w:cs="Arial" w:eastAsia="Arial" w:hAnsi="Arial"/>
          <w:color w:val="0E6B8A"/>
          <w:sz w:val="16"/>
          <w:szCs w:val="16"/>
          <w:vertAlign w:val="superscript"/>
        </w:rPr>
        <w:t xml:space="preserve"> [4]</w:t>
      </w:r>
    </w:p>
    <w:p>
      <w:pPr>
        <w:spacing w:before="40" w:after="0"/>
      </w:pPr>
      <w:r>
        <w:t xml:space="preserve"/>
      </w:r>
    </w:p>
    <w:p>
      <w:pPr>
        <w:spacing w:before="180" w:after="60"/>
      </w:pPr>
      <w:r>
        <w:rPr>
          <w:rFonts w:ascii="Arial" w:cs="Arial" w:eastAsia="Arial" w:hAnsi="Arial"/>
          <w:b/>
          <w:bCs/>
          <w:color w:val="0E6B8A"/>
          <w:sz w:val="22"/>
          <w:szCs w:val="22"/>
        </w:rPr>
        <w:t xml:space="preserve">Operational Risk —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Basic Indicator Approach (BIA)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OpRisk capital = 15% × average of positive annual gross income over the preceding three years. Simple proxy with no risk differentiation.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Standardised Approach (TSA)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Gross income split across 8 business lines, each multiplied by a supervisory beta factor ranging from 12% (retail brokerage, asset management) to 18% (trading, payment &amp; settlement).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Advanced Measurement Approach (AMA)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model OpRisk capital using internal loss data, external loss data (e.g., ORX consortium), scenario analysis, and business environment/internal control factors (BEICFs). Methodology flexible subject to supervisory approval.</w:t>
            </w:r>
          </w:p>
        </w:tc>
      </w:tr>
    </w:tbl>
    <w:p>
      <w:pPr>
        <w:spacing w:before="60" w:after="0"/>
      </w:pPr>
      <w:r>
        <w:t xml:space="preserve"/>
      </w:r>
    </w:p>
    <w:p>
      <w:pPr>
        <w:spacing w:before="180" w:after="60"/>
      </w:pPr>
      <w:r>
        <w:rPr>
          <w:rFonts w:ascii="Arial" w:cs="Arial" w:eastAsia="Arial" w:hAnsi="Arial"/>
          <w:b/>
          <w:bCs/>
          <w:color w:val="0E6B8A"/>
          <w:sz w:val="22"/>
          <w:szCs w:val="22"/>
        </w:rPr>
        <w:t xml:space="preserve">Pillar 2 — Supervisory Review Process (SREP)</w:t>
      </w:r>
    </w:p>
    <w:p>
      <w:pPr>
        <w:spacing w:before="60" w:after="60"/>
      </w:pPr>
      <w:r>
        <w:rPr>
          <w:rFonts w:ascii="Arial" w:cs="Arial" w:eastAsia="Arial" w:hAnsi="Arial"/>
          <w:color w:val="333333"/>
          <w:sz w:val="20"/>
          <w:szCs w:val="20"/>
        </w:rPr>
        <w:t xml:space="preserve">Pillar 2 introduced the requirement for banks to maintain an Internal Capital Adequacy Assessment Process (ICAAP) — a self-assessment covering all material risks, including those not captured under Pillar 1: concentration risk, interest rate risk in the banking book (IRRBB), liquidity risk, reputational risk. Supervisors could require capital above the Pillar 1 minimum.</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Pillar 3 — Market Discipline</w:t>
      </w:r>
    </w:p>
    <w:p>
      <w:pPr>
        <w:spacing w:before="60" w:after="60"/>
      </w:pPr>
      <w:r>
        <w:rPr>
          <w:rFonts w:ascii="Arial" w:cs="Arial" w:eastAsia="Arial" w:hAnsi="Arial"/>
          <w:color w:val="333333"/>
          <w:sz w:val="20"/>
          <w:szCs w:val="20"/>
        </w:rPr>
        <w:t xml:space="preserve">Pillar 3 mandated public disclosure of capital structure, risk exposures, risk measurement processes, and capital adequacy — enabling market participants and counterparties to assess a bank's risk profile. The logic: transparency creates market-based incentives for prudent risk management supplementing regulatory oversight.</w:t>
      </w:r>
      <w:r>
        <w:rPr>
          <w:rFonts w:ascii="Arial" w:cs="Arial" w:eastAsia="Arial" w:hAnsi="Arial"/>
          <w:color w:val="0E6B8A"/>
          <w:sz w:val="16"/>
          <w:szCs w:val="16"/>
          <w:vertAlign w:val="superscript"/>
        </w:rPr>
        <w:t xml:space="preserve"> [3]</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CRITICAL FLAW</w:t>
            </w:r>
          </w:p>
        </w:tc>
        <w:tc>
          <w:tcPr>
            <w:tcW w:type="dxa" w:w="7860"/>
            <w:tcBorders>
              <w:top w:val="single" w:color="0E6B8A" w:sz="6"/>
              <w:left w:val="none" w:color="FFFFFF" w:sz="0"/>
              <w:bottom w:val="single" w:color="0E6B8A" w:sz="6"/>
              <w:right w:val="single" w:color="0E6B8A" w:sz="6"/>
            </w:tcBorders>
            <w:shd w:fill="FFF0E0" w:val="clear"/>
            <w:tcMar>
              <w:top w:type="dxa" w:w="120"/>
              <w:left w:type="dxa" w:w="160"/>
              <w:bottom w:type="dxa" w:w="120"/>
              <w:right w:type="dxa" w:w="160"/>
            </w:tcMar>
          </w:tcPr>
          <w:p>
            <w:r>
              <w:rPr>
                <w:rFonts w:ascii="Arial" w:cs="Arial" w:eastAsia="Arial" w:hAnsi="Arial"/>
                <w:color w:val="333333"/>
                <w:sz w:val="19"/>
                <w:szCs w:val="19"/>
              </w:rPr>
              <w:t xml:space="preserve">Basel II's reliance on procyclical external ratings and VaR models that systematically understated tail correlations contributed to the 2007–2009 Global Financial Crisis. Capital ratios appeared robust until concentrated exposures to structured credit products unravelled simultaneously. The FSB's 2009 report noted that some major banks entered the crisis with Tier 1 ratios above 8% but held instruments now recognised as having near-zero loss-absorption capacity.</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[3] BCBS (2004, rev. 2006), 'International Convergence of Capital Measurement and Capital Standards: A Revised Framework', BIS. [4] BCBS (1996), 'Amendment to the Capital Accord to Incorporate Market Risks', BIS.</w:t>
      </w:r>
    </w:p>
    <w:p>
      <w:r>
        <w:br w:type="page"/>
      </w:r>
    </w:p>
    <w:p>
      <w:pPr>
        <w:pStyle w:val="Heading1"/>
        <w:spacing w:before="0" w:after="80"/>
        <w:outlineLvl w:val="0"/>
      </w:pPr>
      <w:r>
        <w:rPr>
          <w:rFonts w:ascii="Arial" w:cs="Arial" w:eastAsia="Arial" w:hAnsi="Arial"/>
          <w:b/>
          <w:bCs/>
          <w:color w:val="1B3A6B"/>
          <w:sz w:val="40"/>
          <w:szCs w:val="40"/>
        </w:rPr>
        <w:t xml:space="preserve">Basel III</w:t>
      </w:r>
    </w:p>
    <w:p>
      <w:pPr>
        <w:spacing w:before="0" w:after="200"/>
      </w:pPr>
      <w:r>
        <w:rPr>
          <w:rFonts w:ascii="Arial" w:cs="Arial" w:eastAsia="Arial" w:hAnsi="Arial"/>
          <w:i/>
          <w:iCs/>
          <w:color w:val="0E6B8A"/>
          <w:sz w:val="22"/>
          <w:szCs w:val="22"/>
        </w:rPr>
        <w:t xml:space="preserve">Post-Crisis Strengthening  —  2010–2019</w:t>
      </w:r>
    </w:p>
    <w:p>
      <w:pPr>
        <w:pBdr>
          <w:bottom w:val="single" w:color="0E6B8A" w:sz="10" w:space="4"/>
        </w:pBdr>
        <w:spacing w:before="280" w:after="100"/>
      </w:pPr>
      <w:r>
        <w:rPr>
          <w:rFonts w:ascii="Arial" w:cs="Arial" w:eastAsia="Arial" w:hAnsi="Arial"/>
          <w:b/>
          <w:bCs/>
          <w:color w:val="1B3A6B"/>
          <w:sz w:val="26"/>
          <w:szCs w:val="26"/>
        </w:rPr>
        <w:t xml:space="preserve">CONTEXT &amp; MOTIVATION</w:t>
      </w:r>
    </w:p>
    <w:p>
      <w:pPr>
        <w:spacing w:before="60" w:after="60"/>
      </w:pPr>
      <w:r>
        <w:rPr>
          <w:rFonts w:ascii="Arial" w:cs="Arial" w:eastAsia="Arial" w:hAnsi="Arial"/>
          <w:color w:val="333333"/>
          <w:sz w:val="20"/>
          <w:szCs w:val="20"/>
        </w:rPr>
        <w:t xml:space="preserve">The 2007–2009 Global Financial Crisis exposed systemic failures in Basel II: banks held insufficient high-quality capital, operated at excessive leverage, relied on short-term wholesale funding, and had accumulated severe liquidity mismatches. The FSF (later FSB) and BCBS identified that Tier 1 capital included instruments that failed to absorb losses on a going-concern basis. Basel III was published in December 2010 with a phased implementation schedule to January 2019.</w:t>
      </w:r>
      <w:r>
        <w:rPr>
          <w:rFonts w:ascii="Arial" w:cs="Arial" w:eastAsia="Arial" w:hAnsi="Arial"/>
          <w:color w:val="0E6B8A"/>
          <w:sz w:val="16"/>
          <w:szCs w:val="16"/>
          <w:vertAlign w:val="superscript"/>
        </w:rPr>
        <w:t xml:space="preserve"> [5]</w:t>
      </w:r>
    </w:p>
    <w:p>
      <w:pPr>
        <w:spacing w:before="6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CAPITAL QUALITY &amp; QUANTITY REFORMS</w:t>
      </w:r>
    </w:p>
    <w:p>
      <w:pPr>
        <w:spacing w:before="60" w:after="60"/>
      </w:pPr>
      <w:r>
        <w:rPr>
          <w:rFonts w:ascii="Arial" w:cs="Arial" w:eastAsia="Arial" w:hAnsi="Arial"/>
          <w:color w:val="333333"/>
          <w:sz w:val="20"/>
          <w:szCs w:val="20"/>
        </w:rPr>
        <w:t xml:space="preserve">The core innovation was the creation of Common Equity Tier 1 (CET1) as a narrowly defined, highest-quality capital layer — common shares plus retained earnings only. Additional Tier 1 (AT1) instruments (including contingent convertible bonds — CoCos) were introduced as a secondary Tier 1 layer. Capital buffers above minimums were added as a macro-prudential overlay:</w:t>
      </w:r>
      <w:r>
        <w:rPr>
          <w:rFonts w:ascii="Arial" w:cs="Arial" w:eastAsia="Arial" w:hAnsi="Arial"/>
          <w:color w:val="0E6B8A"/>
          <w:sz w:val="16"/>
          <w:szCs w:val="16"/>
          <w:vertAlign w:val="superscript"/>
        </w:rPr>
        <w:t xml:space="preserve"> [5]</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6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Basel III Standard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Common Equity Tier 1 (CET1)</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4.5% of RWA. Narrowly defined: common shares + retained earnings. Strictly no hybrid instruments.</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Tier 1 Capital</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6% of RWA = CET1 (4.5%) + Additional Tier 1 instruments (e.g., CoCos with loss-absorption triggers).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Total Capital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8% of RWA. Maintained from prior accords, but capital quality substantially higher.</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Capital Conservation Buffer (CCoB)</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+2.5% CET1 above the 4.5% minimum. Dividends, buybacks, and discretionary bonuses restricted if buffer is breached, on a sliding scale.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Countercyclical Capital Buffer (CCyB)</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0–2.5% additional CET1, set by national regulators when credit growth is deemed excessive. Designed to be released rapidly during downturns to support lending capacity — the release mechanism is as important as the build-up.</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G-SIB Surcharge</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1–3.5% additional CET1 for Global Systemically Important Banks based on BCBS indicator-based scoring methodology. A 3.5% 'empty bucket' acts as a further disincentive against systemic footprint growth.</w:t>
            </w:r>
          </w:p>
        </w:tc>
      </w:tr>
    </w:tbl>
    <w:p>
      <w:pPr>
        <w:spacing w:before="6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NEW STRUCTURAL REQUIREMENTS</w:t>
      </w:r>
    </w:p>
    <w:p>
      <w:pPr>
        <w:spacing w:before="180" w:after="60"/>
      </w:pPr>
      <w:r>
        <w:rPr>
          <w:rFonts w:ascii="Arial" w:cs="Arial" w:eastAsia="Arial" w:hAnsi="Arial"/>
          <w:b/>
          <w:bCs/>
          <w:color w:val="0E6B8A"/>
          <w:sz w:val="22"/>
          <w:szCs w:val="22"/>
        </w:rPr>
        <w:t xml:space="preserve">Leverage Ratio</w:t>
      </w:r>
    </w:p>
    <w:p>
      <w:pPr>
        <w:spacing w:before="60" w:after="60"/>
      </w:pPr>
      <w:r>
        <w:rPr>
          <w:rFonts w:ascii="Arial" w:cs="Arial" w:eastAsia="Arial" w:hAnsi="Arial"/>
          <w:color w:val="333333"/>
          <w:sz w:val="20"/>
          <w:szCs w:val="20"/>
        </w:rPr>
        <w:t xml:space="preserve">A non-risk-based backstop: Tier 1 capital must equal at least 3% of total leverage exposure (on- and off-balance-sheet, including derivatives and SFTs). Designed to constrain excessive balance sheet growth irrespective of risk-weight calculations, directly addressing the pre-crisis phenomenon of banks with high RWA-based capital ratios but dangerously high gross leverage.</w:t>
      </w:r>
      <w:r>
        <w:rPr>
          <w:rFonts w:ascii="Arial" w:cs="Arial" w:eastAsia="Arial" w:hAnsi="Arial"/>
          <w:color w:val="0E6B8A"/>
          <w:sz w:val="16"/>
          <w:szCs w:val="16"/>
          <w:vertAlign w:val="superscript"/>
        </w:rPr>
        <w:t xml:space="preserve"> [5]</w:t>
      </w:r>
    </w:p>
    <w:p>
      <w:pPr>
        <w:spacing w:before="40" w:after="0"/>
      </w:pPr>
      <w:r>
        <w:t xml:space="preserve"/>
      </w:r>
    </w:p>
    <w:p>
      <w:pPr>
        <w:spacing w:before="180" w:after="60"/>
      </w:pPr>
      <w:r>
        <w:rPr>
          <w:rFonts w:ascii="Arial" w:cs="Arial" w:eastAsia="Arial" w:hAnsi="Arial"/>
          <w:b/>
          <w:bCs/>
          <w:color w:val="0E6B8A"/>
          <w:sz w:val="22"/>
          <w:szCs w:val="22"/>
        </w:rPr>
        <w:t xml:space="preserve">Liquidity Coverage Ratio (LCR)</w:t>
      </w:r>
    </w:p>
    <w:p>
      <w:pPr>
        <w:spacing w:before="60" w:after="60"/>
      </w:pPr>
      <w:r>
        <w:rPr>
          <w:rFonts w:ascii="Arial" w:cs="Arial" w:eastAsia="Arial" w:hAnsi="Arial"/>
          <w:color w:val="333333"/>
          <w:sz w:val="20"/>
          <w:szCs w:val="20"/>
        </w:rPr>
        <w:t xml:space="preserve">Banks must hold sufficient High Quality Liquid Assets (HQLA — primarily Level 1: cash, central bank reserves, sovereign bonds) to cover net stressed cash outflows over a 30-day liquidity stress scenario. LCR = HQLA ÷ Net Cash Outflows(30d) ≥ 100%. Phased to 100% from January 2019.</w:t>
      </w:r>
      <w:r>
        <w:rPr>
          <w:rFonts w:ascii="Arial" w:cs="Arial" w:eastAsia="Arial" w:hAnsi="Arial"/>
          <w:color w:val="0E6B8A"/>
          <w:sz w:val="16"/>
          <w:szCs w:val="16"/>
          <w:vertAlign w:val="superscript"/>
        </w:rPr>
        <w:t xml:space="preserve"> [6]</w:t>
      </w:r>
    </w:p>
    <w:p>
      <w:pPr>
        <w:spacing w:before="40" w:after="0"/>
      </w:pPr>
      <w:r>
        <w:t xml:space="preserve"/>
      </w:r>
    </w:p>
    <w:p>
      <w:pPr>
        <w:spacing w:before="180" w:after="60"/>
      </w:pPr>
      <w:r>
        <w:rPr>
          <w:rFonts w:ascii="Arial" w:cs="Arial" w:eastAsia="Arial" w:hAnsi="Arial"/>
          <w:b/>
          <w:bCs/>
          <w:color w:val="0E6B8A"/>
          <w:sz w:val="22"/>
          <w:szCs w:val="22"/>
        </w:rPr>
        <w:t xml:space="preserve">Net Stable Funding Ratio (NSFR)</w:t>
      </w:r>
    </w:p>
    <w:p>
      <w:pPr>
        <w:spacing w:before="60" w:after="60"/>
      </w:pPr>
      <w:r>
        <w:rPr>
          <w:rFonts w:ascii="Arial" w:cs="Arial" w:eastAsia="Arial" w:hAnsi="Arial"/>
          <w:color w:val="333333"/>
          <w:sz w:val="20"/>
          <w:szCs w:val="20"/>
        </w:rPr>
        <w:t xml:space="preserve">Structural liquidity standard requiring Available Stable Funding (ASF — weighted liabilities with maturity &gt;1 year) to exceed Required Stable Funding (RSF — weighted assets by liquidity and maturity). NSFR ≥ 100%. Addresses maturity transformation risk where short-term wholesale funding supports long-term illiquid assets.</w:t>
      </w:r>
      <w:r>
        <w:rPr>
          <w:rFonts w:ascii="Arial" w:cs="Arial" w:eastAsia="Arial" w:hAnsi="Arial"/>
          <w:color w:val="0E6B8A"/>
          <w:sz w:val="16"/>
          <w:szCs w:val="16"/>
          <w:vertAlign w:val="superscript"/>
        </w:rPr>
        <w:t xml:space="preserve"> [7]</w:t>
      </w:r>
    </w:p>
    <w:p>
      <w:pPr>
        <w:spacing w:before="6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MARKET RISK ENHANCEMENTS UNDER BASEL III</w:t>
      </w:r>
    </w:p>
    <w:p>
      <w:pPr>
        <w:spacing w:before="60" w:after="60"/>
      </w:pPr>
      <w:r>
        <w:rPr>
          <w:rFonts w:ascii="Arial" w:cs="Arial" w:eastAsia="Arial" w:hAnsi="Arial"/>
          <w:color w:val="333333"/>
          <w:sz w:val="20"/>
          <w:szCs w:val="20"/>
        </w:rPr>
        <w:t xml:space="preserve">Basel III introduced three significant market risk additions on top of the existing VaR framework:</w:t>
      </w:r>
      <w:r>
        <w:rPr>
          <w:rFonts w:ascii="Arial" w:cs="Arial" w:eastAsia="Arial" w:hAnsi="Arial"/>
          <w:color w:val="0E6B8A"/>
          <w:sz w:val="16"/>
          <w:szCs w:val="16"/>
          <w:vertAlign w:val="superscript"/>
        </w:rPr>
        <w:t xml:space="preserve"> [5,8]</w:t>
      </w:r>
    </w:p>
    <w:p>
      <w:pPr>
        <w:pStyle w:val="ListParagraph"/>
        <w:numPr>
          <w:ilvl w:val="0"/>
          <w:numId w:val="2"/>
        </w:numPr>
        <w:spacing w:before="40" w:after="40"/>
      </w:pPr>
      <w:r>
        <w:rPr>
          <w:rFonts w:ascii="Arial" w:cs="Arial" w:eastAsia="Arial" w:hAnsi="Arial"/>
          <w:color w:val="333333"/>
          <w:sz w:val="20"/>
          <w:szCs w:val="20"/>
        </w:rPr>
        <w:t xml:space="preserve">Stressed VaR (SVaR): A second VaR calculation using a continuous 12-month historical window identified as a period of significant financial stress (typically encompassing the 2007–2008 crisis). Market risk capital = max(VaR_{t-1}, mc_VaR × avg VaR) + max(SVaR_{t-1}, mc_sVaR × avg SVaR). SVaR effectively doubled market risk capital charges for most banks.</w:t>
      </w:r>
    </w:p>
    <w:p>
      <w:pPr>
        <w:pStyle w:val="ListParagraph"/>
        <w:numPr>
          <w:ilvl w:val="0"/>
          <w:numId w:val="2"/>
        </w:numPr>
        <w:spacing w:before="40" w:after="40"/>
      </w:pPr>
      <w:r>
        <w:rPr>
          <w:rFonts w:ascii="Arial" w:cs="Arial" w:eastAsia="Arial" w:hAnsi="Arial"/>
          <w:color w:val="333333"/>
          <w:sz w:val="20"/>
          <w:szCs w:val="20"/>
        </w:rPr>
        <w:t xml:space="preserve">Incremental Risk Charge (IRC): A 99.9% / one-year capital charge for default and ratings migration risk of trading book positions — addressing the pre-crisis gap where specific risk VaR severely underestimated jump-to-default losses on credit-sensitive instruments.</w:t>
      </w:r>
    </w:p>
    <w:p>
      <w:pPr>
        <w:pStyle w:val="ListParagraph"/>
        <w:numPr>
          <w:ilvl w:val="0"/>
          <w:numId w:val="2"/>
        </w:numPr>
        <w:spacing w:before="40" w:after="40"/>
      </w:pPr>
      <w:r>
        <w:rPr>
          <w:rFonts w:ascii="Arial" w:cs="Arial" w:eastAsia="Arial" w:hAnsi="Arial"/>
          <w:color w:val="333333"/>
          <w:sz w:val="20"/>
          <w:szCs w:val="20"/>
        </w:rPr>
        <w:t xml:space="preserve">Credit Valuation Adjustment (CVA) Capital Charge: A new standalone capital charge for the volatility of CVA mark-to-market losses — reflecting the finding that approximately two-thirds of counterparty credit losses during the crisis arose from CVA deterioration rather than actual defaults.</w:t>
      </w:r>
    </w:p>
    <w:p>
      <w:pPr>
        <w:spacing w:before="6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COUNTERPARTY CREDIT RISK REFORMS</w:t>
      </w:r>
    </w:p>
    <w:p>
      <w:pPr>
        <w:spacing w:before="60" w:after="60"/>
      </w:pPr>
      <w:r>
        <w:rPr>
          <w:rFonts w:ascii="Arial" w:cs="Arial" w:eastAsia="Arial" w:hAnsi="Arial"/>
          <w:color w:val="333333"/>
          <w:sz w:val="20"/>
          <w:szCs w:val="20"/>
        </w:rPr>
        <w:t xml:space="preserve">Basel III retained CEM and IMM for CCR capital measurement but introduced stressed parameters and new requirements:</w:t>
      </w:r>
      <w:r>
        <w:rPr>
          <w:rFonts w:ascii="Arial" w:cs="Arial" w:eastAsia="Arial" w:hAnsi="Arial"/>
          <w:color w:val="0E6B8A"/>
          <w:sz w:val="16"/>
          <w:szCs w:val="16"/>
          <w:vertAlign w:val="superscript"/>
        </w:rPr>
        <w:t xml:space="preserve">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Enhancement</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Stressed EPE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IMM banks must calculate Expected Positive Exposure (EPE) using stress-calibrated parameters in addition to current-calibrated EPE, taking the higher for capital purposes.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Wrong-Way Risk (WWR)</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Explicit identification and capital treatment where counterparty credit quality is adversely correlated with exposure value (e.g., long protection on an entity from a counterparty exposed to the same entity).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Central Clearing Incentive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CCR risk weight for qualifying CCP (QCCP) trade exposures reduced to 2% (vs 20–50%+ for bilateral). CVA charge exempted for cleared trades. Designed to drive OTC derivative flow to central counterparties.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Bilateral Margin Rules (BCBS-IOSCO)</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Phased mandatory exchange of variation margin (VM) and initial margin (IM) for non-centrally-cleared OTC derivatives, implemented 2016–2022 depending on entity threshold.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KEY SHIFT</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Basel III adopted a 'belt-and-braces' philosophy: risk-sensitive internal models retained but supplemented by non-risk-based backstops (leverage ratio) and liquidity standards (LCR/NSFR). No single metric can be gamed in isolation.</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[5] BCBS (2010, rev. 2011), 'Basel III: A global regulatory framework for more resilient banks and banking systems', BIS. [6] BCBS (2013), 'Basel III: The Liquidity Coverage Ratio and liquidity risk monitoring tools', BIS. [7] BCBS (2014), 'Basel III: the net stable funding ratio', BIS. [8] BCBS (2011), 'Revisions to the Basel II market risk framework', BIS. [9] BCBS (2011), 'Basel III: A global regulatory framework — counterparty credit risk annex', BIS.</w:t>
      </w:r>
    </w:p>
    <w:p>
      <w:r>
        <w:br w:type="page"/>
      </w:r>
    </w:p>
    <w:p>
      <w:pPr>
        <w:spacing w:before="0" w:after="80"/>
      </w:pPr>
      <w:r>
        <w:rPr>
          <w:rFonts w:ascii="Arial" w:cs="Arial" w:eastAsia="Arial" w:hAnsi="Arial"/>
          <w:b/>
          <w:bCs/>
          <w:color w:val="1B3A6B"/>
          <w:sz w:val="40"/>
          <w:szCs w:val="40"/>
        </w:rPr>
        <w:t xml:space="preserve">Basel IV</w:t>
      </w:r>
    </w:p>
    <w:p>
      <w:pPr>
        <w:spacing w:before="0" w:after="200"/>
      </w:pPr>
      <w:r>
        <w:rPr>
          <w:rFonts w:ascii="Arial" w:cs="Arial" w:eastAsia="Arial" w:hAnsi="Arial"/>
          <w:i/>
          <w:iCs/>
          <w:color w:val="0E6B8A"/>
          <w:sz w:val="22"/>
          <w:szCs w:val="22"/>
        </w:rPr>
        <w:t xml:space="preserve">Finalisation of Basel III  —  2017 (Implementation 2025–2028)</w:t>
      </w:r>
    </w:p>
    <w:p>
      <w:pPr>
        <w:pBdr>
          <w:bottom w:val="single" w:color="0E6B8A" w:sz="10" w:space="4"/>
        </w:pBdr>
        <w:spacing w:before="280" w:after="100"/>
      </w:pPr>
      <w:r>
        <w:rPr>
          <w:rFonts w:ascii="Arial" w:cs="Arial" w:eastAsia="Arial" w:hAnsi="Arial"/>
          <w:b/>
          <w:bCs/>
          <w:color w:val="1B3A6B"/>
          <w:sz w:val="26"/>
          <w:szCs w:val="26"/>
        </w:rPr>
        <w:t xml:space="preserve">CONTEXT &amp; MOTIVATION</w:t>
      </w:r>
    </w:p>
    <w:p>
      <w:pPr>
        <w:spacing w:before="60" w:after="60"/>
      </w:pPr>
      <w:r>
        <w:rPr>
          <w:rFonts w:ascii="Arial" w:cs="Arial" w:eastAsia="Arial" w:hAnsi="Arial"/>
          <w:color w:val="333333"/>
          <w:sz w:val="20"/>
          <w:szCs w:val="20"/>
        </w:rPr>
        <w:t xml:space="preserve">Officially titled 'Basel III: Finalising post-crisis reforms' by the BCBS (December 2017), the framework the industry calls 'Basel IV' was driven by a fundamental problem: excessive variability in RWA calculations across banks using internal models. BCBS analysis found that RWA for identical portfolios could differ by over 100% between institutions, rendering capital ratios incomparable. Basel IV's dual mission: constrain internal model freedom and introduce a credible floor based on standardised approaches.</w:t>
      </w:r>
      <w:r>
        <w:rPr>
          <w:rFonts w:ascii="Arial" w:cs="Arial" w:eastAsia="Arial" w:hAnsi="Arial"/>
          <w:color w:val="0E6B8A"/>
          <w:sz w:val="16"/>
          <w:szCs w:val="16"/>
          <w:vertAlign w:val="superscript"/>
        </w:rPr>
        <w:t xml:space="preserve"> [10]</w:t>
      </w:r>
    </w:p>
    <w:p>
      <w:pPr>
        <w:spacing w:before="6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THE OUTPUT FLOOR — THE DEFINING CHANGE</w:t>
      </w:r>
    </w:p>
    <w:p>
      <w:pPr>
        <w:spacing w:before="60" w:after="60"/>
      </w:pPr>
      <w:r>
        <w:rPr>
          <w:rFonts w:ascii="Arial" w:cs="Arial" w:eastAsia="Arial" w:hAnsi="Arial"/>
          <w:color w:val="333333"/>
          <w:sz w:val="20"/>
          <w:szCs w:val="20"/>
        </w:rPr>
        <w:t xml:space="preserve">The output floor is the most structurally significant reform. Banks using internal models (IRB for credit risk, IMA for market risk) must also calculate RWA using the revised standardised approaches. If internal model RWA falls below 72.5% of standardised RWA, the floor binds — the higher (standardised-based) figure is used for capital purposes. The floor phases in from 50% in 2025 to 72.5% in 2028.</w:t>
      </w:r>
      <w:r>
        <w:rPr>
          <w:rFonts w:ascii="Arial" w:cs="Arial" w:eastAsia="Arial" w:hAnsi="Arial"/>
          <w:color w:val="0E6B8A"/>
          <w:sz w:val="16"/>
          <w:szCs w:val="16"/>
          <w:vertAlign w:val="superscript"/>
        </w:rPr>
        <w:t xml:space="preserve"> [10]</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OUTPUT FLOOR</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Effective RWA = max(Internal Model RWA,  72.5% × Standardised RWA). The floor caps the capital benefit of modelling sophistication and ensures no bank can fall below 72.5% of the standardised capital requirement.</w:t>
            </w:r>
          </w:p>
        </w:tc>
      </w:tr>
    </w:tbl>
    <w:p>
      <w:pPr>
        <w:spacing w:before="8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CREDIT RISK OVERHAUL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Reform Area</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Revised SA (Rev-SA)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More granular risk weights by counterparty type, rating band, and product. Reduced reliance on external ratings for jurisdictions implementing CRA-type restrictions. Includes specific tables for banks, corporates, retail, real estate, and specialised lending.</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IRB Restrictions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A-IRB removed for financial institutions, large corporates (revenue &gt; €500m), and equities. F-IRB or SA mandated for these exposures. LGD input floors introduced: 25% for unsecured corporate; 0% for covered bonds. PD floors: 5bps corporate, 10bps retail.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Specialised Lending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New supervisory slotting criteria for project finance, object finance, commodities finance, income-producing real estate — replacing prior ad-hoc treatment.</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Equity Exposures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IRB approach for equity positions abolished. Standardised risk weights: 250% for listed equity (non-speculative), 400% for unlisted, 100% for certain regulatory equity holdings.</w:t>
            </w:r>
          </w:p>
        </w:tc>
      </w:tr>
    </w:tbl>
    <w:p>
      <w:pPr>
        <w:spacing w:before="6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MARKET RISK: FUNDAMENTAL REVIEW OF THE TRADING BOOK (FRTB)</w:t>
      </w:r>
    </w:p>
    <w:p>
      <w:pPr>
        <w:spacing w:before="60" w:after="60"/>
      </w:pPr>
      <w:r>
        <w:rPr>
          <w:rFonts w:ascii="Arial" w:cs="Arial" w:eastAsia="Arial" w:hAnsi="Arial"/>
          <w:color w:val="333333"/>
          <w:sz w:val="20"/>
          <w:szCs w:val="20"/>
        </w:rPr>
        <w:t xml:space="preserve">FRTB, finalised in January 2016 and revised in January 2019, replaces the Basel II/III VaR-based market risk framework in its entirety. It introduces a more risk-sensitive internal model approach, a comprehensively redesigned standardised approach, and a strict trading/banking book boundary.</w:t>
      </w:r>
      <w:r>
        <w:rPr>
          <w:rFonts w:ascii="Arial" w:cs="Arial" w:eastAsia="Arial" w:hAnsi="Arial"/>
          <w:color w:val="0E6B8A"/>
          <w:sz w:val="16"/>
          <w:szCs w:val="16"/>
          <w:vertAlign w:val="superscript"/>
        </w:rPr>
        <w:t xml:space="preserve"> [11]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FRTB Element</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Change from Prior Framework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Expected Shortfall (ES)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Replaces VaR at 99% with ES at 97.5% confidence. ES measures the expected loss given that the loss exceeds the 97.5th percentile — capturing tail severity that VaR ignores. Calibrated to a stress period.</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Liquidity Horizons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factors assigned to five liquidity horizon buckets (10, 20, 40, 60, 120 days) reflecting the time to exit or hedge the position under stress. Longer horizons carry proportionally higher capital.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P&amp;L Attribution Test (PLA)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Desks must demonstrate that their approved risk factors explain actual P&amp;L with sufficient fidelity (mean and variance tests). Persistent PLA failure revokes IMA approval for the desk — fallback to SA, typically at higher capital.</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Backtesting</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Dual requirement: real and hypothetical P&amp;L backtesting at desk and bank level. Three-zone traffic-light system determines IMA approval status and multiplier.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Non-Modellable Risk Factors (NMRF)</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factors without at least 24 real price observations per year over 12 months classified as non-modellable. Each NMRF must be stressed separately using a stressed scenario — charge is additive and typically punitive.</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Trading/Banking Book Boundary</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Presumptive list assignment by instrument type. Reclassification requires supervisory approval; any capital benefit from reclassification is neutralised by recognising the difference immediately.</w:t>
            </w:r>
          </w:p>
        </w:tc>
      </w:tr>
    </w:tbl>
    <w:p>
      <w:pPr>
        <w:spacing w:before="6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OPERATIONAL RISK: STANDARDISED MEASUREMENT APPROACH (SMA)</w:t>
      </w:r>
    </w:p>
    <w:p>
      <w:pPr>
        <w:spacing w:before="60" w:after="60"/>
      </w:pPr>
      <w:r>
        <w:rPr>
          <w:rFonts w:ascii="Arial" w:cs="Arial" w:eastAsia="Arial" w:hAnsi="Arial"/>
          <w:color w:val="333333"/>
          <w:sz w:val="20"/>
          <w:szCs w:val="20"/>
        </w:rPr>
        <w:t xml:space="preserve">The AMA is abolished. All banks globally must use the new SMA, eliminating model diversity in operational risk capital and restoring comparability — at the cost of risk-sensitivity.</w:t>
      </w:r>
      <w:r>
        <w:rPr>
          <w:rFonts w:ascii="Arial" w:cs="Arial" w:eastAsia="Arial" w:hAnsi="Arial"/>
          <w:color w:val="0E6B8A"/>
          <w:sz w:val="16"/>
          <w:szCs w:val="16"/>
          <w:vertAlign w:val="superscript"/>
        </w:rPr>
        <w:t xml:space="preserve"> [10]</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SMA Component</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Business Indicator (BI)</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more stable income proxy than gross income: BI = Interest, Leases &amp; Dividends Component + Services Component + Financial Component. Removes income statement volatility that distorted gross income-based measures.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BI Component (BIC)</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Marginal rates applied to BI bands: 12% (€0–1bn), 15% (€1–30bn), 18% (&gt;€30bn). BIC is the baseline OpRisk capital.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Internal Loss Multiplier (ILM)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 banks with BI &gt;€1bn: ILM = ln(exp(1)-1 + (Loss Component / BIC)^0.8). Loss Component = 15× average annual OpRisk losses over 10 years. ILM scales BIC up or down based on loss history. Min ILM = 1 (cannot reduce below BIC). Controversial: banks with good loss histories cannot reduce capital below peers.</w:t>
            </w:r>
          </w:p>
        </w:tc>
      </w:tr>
    </w:tbl>
    <w:p>
      <w:pPr>
        <w:spacing w:before="6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2023</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FRTB reporting (not yet binding capital) commenced in EU and UK</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January 2025</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target implementation start date for Basel IV final rules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2025</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 floor: 50% phase-in begins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January 2026</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EU CRR3 effective date; UK PRA final rules expected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2028</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 floor fully phased to 72.5%</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TBC 2025–2026</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US Basel III Endgame — revised NPR after significant industry pushback on initial 2023 proposal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INDUSTRY IMPACT</w:t>
            </w:r>
          </w:p>
        </w:tc>
        <w:tc>
          <w:tcPr>
            <w:tcW w:type="dxa" w:w="7860"/>
            <w:tcBorders>
              <w:top w:val="single" w:color="0E6B8A" w:sz="6"/>
              <w:left w:val="none" w:color="FFFFFF" w:sz="0"/>
              <w:bottom w:val="single" w:color="0E6B8A" w:sz="6"/>
              <w:right w:val="single" w:color="0E6B8A" w:sz="6"/>
            </w:tcBorders>
            <w:shd w:fill="FFF0E0" w:val="clear"/>
            <w:tcMar>
              <w:top w:type="dxa" w:w="120"/>
              <w:left w:type="dxa" w:w="160"/>
              <w:bottom w:type="dxa" w:w="120"/>
              <w:right w:type="dxa" w:w="160"/>
            </w:tcMar>
          </w:tcPr>
          <w:p>
            <w:r>
              <w:rPr>
                <w:rFonts w:ascii="Arial" w:cs="Arial" w:eastAsia="Arial" w:hAnsi="Arial"/>
                <w:color w:val="333333"/>
                <w:sz w:val="19"/>
                <w:szCs w:val="19"/>
              </w:rPr>
              <w:t xml:space="preserve">The EBA (2020 Basel III monitoring report) estimated aggregate RWA increase of approximately 24% for EU banks at full implementation. FRTB alone adds an estimated 40–60% to market risk RWA for trading-book-heavy institutions. The output floor is estimated to increase EU banking sector required capital by over €130bn at 72.5% calibration.</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[10] BCBS (2017), 'Basel III: Finalising post-crisis reforms', BIS. [11] BCBS (2019), 'Minimum capital requirements for market risk (revised FRTB)', BIS. [12] EBA (2020), 'Basel III monitoring exercise', European Banking Authority.</w:t>
      </w:r>
    </w:p>
    <w:p>
      <w:r>
        <w:br w:type="page"/>
      </w:r>
    </w:p>
    <w:p>
      <w:pPr>
        <w:pStyle w:val="Heading1"/>
        <w:spacing w:before="0" w:after="80"/>
        <w:outlineLvl w:val="0"/>
      </w:pPr>
      <w:r>
        <w:rPr>
          <w:rFonts w:ascii="Arial" w:cs="Arial" w:eastAsia="Arial" w:hAnsi="Arial"/>
          <w:b/>
          <w:bCs/>
          <w:color w:val="1B3A6B"/>
          <w:sz w:val="40"/>
          <w:szCs w:val="40"/>
        </w:rPr>
        <w:t xml:space="preserve">Credit Risk Evolution</w:t>
      </w:r>
    </w:p>
    <w:p>
      <w:pPr>
        <w:spacing w:before="0" w:after="200"/>
      </w:pPr>
      <w:r>
        <w:rPr>
          <w:rFonts w:ascii="Arial" w:cs="Arial" w:eastAsia="Arial" w:hAnsi="Arial"/>
          <w:i/>
          <w:iCs/>
          <w:color w:val="0E6B8A"/>
          <w:sz w:val="22"/>
          <w:szCs w:val="22"/>
        </w:rPr>
        <w:t xml:space="preserve">From Fixed Buckets to Constrained Models  —  1988–2025</w:t>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THE CONCEPTUAL JOURNEY</w:t>
      </w:r>
    </w:p>
    <w:p>
      <w:pPr>
        <w:spacing w:before="60" w:after="60"/>
        <w:jc w:val="left"/>
      </w:pPr>
      <w:r>
        <w:rPr>
          <w:rFonts w:ascii="Arial" w:cs="Arial" w:eastAsia="Arial" w:hAnsi="Arial"/>
          <w:color w:val="333333"/>
          <w:sz w:val="20"/>
          <w:szCs w:val="20"/>
        </w:rPr>
        <w:t xml:space="preserve">Credit risk — the risk that a borrower or counterparty fails to fulfil its financial obligations — has always been the primary focus of banking regulation. Its treatment under Basel has traced a complete arc: from crude administrative buckets (Basel I), to risk-sensitive internal models (Basel II), to a constrained hybrid with standardised floors (Basel IV). This trajectory reflects an unresolved tension between risk-sensitivity (which demands complex internal models) and comparability/manipulation-resistance (which demands simpler standardised approaches).</w:t>
      </w:r>
    </w:p>
    <w:p>
      <w:pPr>
        <w:spacing w:before="6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COMPARATIVE FRAMEWORK ACROSS ACCORDS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Dimension</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 (1988)</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II (2004)</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III (2010)</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IV (2017)</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Risk Weight Basis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5 fixed asset-class buckets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External rating or internal PD/LGD estimates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Refined IRB; SA enhanced; CVA added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Constrained IRB; output floor 72.5%; Rev-SA</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Internal Models</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Not permitted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F-IRB and A-IRB (supervisor approved)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Enhanced IRB; stressed EPE for CCR</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A-IRB restricted; LGD/PD floors; ILM for OpRisk</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CCR Methodology</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CEM (notional add-on)</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CEM or IMM (approved)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CEM/IMM + stressed EPE; CVA charge introduced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SA-CCR mandatory; FRTB-CVA</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Default Risk / Trading Book</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Not addressed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Specific risk charge under SA or IMA</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Incremental Risk Charge (IRC) added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Default Risk Charge (DRC) under FRTB</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Securitisation</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8% flat capital (enabling massive regulatory arbitrage)</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Ratings-based approach; IRB-based approach</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Revised hierarchy; look-through required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Higher floors; 1250% for unrated/opaque tranches</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Concentration Risk</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Not addressed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Pillar 2 only</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Large Exposures framework enhanced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Max single counterparty = 25% of Tier 1 capital</w:t>
            </w:r>
          </w:p>
        </w:tc>
      </w:tr>
    </w:tbl>
    <w:p>
      <w:pPr>
        <w:spacing w:before="8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COUNTERPARTY CREDIT RISK: METHODOLOGY EVOLUTION</w:t>
      </w:r>
    </w:p>
    <w:p>
      <w:pPr>
        <w:spacing w:before="180" w:after="60"/>
      </w:pPr>
      <w:r>
        <w:rPr>
          <w:rFonts w:ascii="Arial" w:cs="Arial" w:eastAsia="Arial" w:hAnsi="Arial"/>
          <w:b/>
          <w:bCs/>
          <w:color w:val="0E6B8A"/>
          <w:sz w:val="22"/>
          <w:szCs w:val="22"/>
        </w:rPr>
        <w:t xml:space="preserve">Current Exposure Method (CEM) — Basel I through Basel III</w:t>
      </w:r>
    </w:p>
    <w:p>
      <w:pPr>
        <w:spacing w:before="60" w:after="60"/>
      </w:pPr>
      <w:r>
        <w:rPr>
          <w:rFonts w:ascii="Arial" w:cs="Arial" w:eastAsia="Arial" w:hAnsi="Arial"/>
          <w:color w:val="333333"/>
          <w:sz w:val="20"/>
          <w:szCs w:val="20"/>
        </w:rPr>
        <w:t xml:space="preserve">CEM calculated CCR exposure as the sum of current replacement cost (positive MTM value) plus a fixed add-on based on notional × a supervisory factor by asset class and residual maturity. Widely criticised for ignoring netting agreements, margin collateral, and actual exposure volatility. CEM remained in use for non-IMM banks through Basel III.</w:t>
      </w:r>
      <w:r>
        <w:rPr>
          <w:rFonts w:ascii="Arial" w:cs="Arial" w:eastAsia="Arial" w:hAnsi="Arial"/>
          <w:color w:val="0E6B8A"/>
          <w:sz w:val="16"/>
          <w:szCs w:val="16"/>
          <w:vertAlign w:val="superscript"/>
        </w:rPr>
        <w:t xml:space="preserve"> [1,3]</w:t>
      </w:r>
    </w:p>
    <w:p>
      <w:pPr>
        <w:spacing w:before="40" w:after="0"/>
      </w:pPr>
      <w:r>
        <w:t xml:space="preserve"/>
      </w:r>
    </w:p>
    <w:p>
      <w:pPr>
        <w:spacing w:before="180" w:after="60"/>
      </w:pPr>
      <w:r>
        <w:rPr>
          <w:rFonts w:ascii="Arial" w:cs="Arial" w:eastAsia="Arial" w:hAnsi="Arial"/>
          <w:b/>
          <w:bCs/>
          <w:color w:val="0E6B8A"/>
          <w:sz w:val="22"/>
          <w:szCs w:val="22"/>
        </w:rPr>
        <w:t xml:space="preserve">Internal Model Method (IMM) — Basel II / III</w:t>
      </w:r>
    </w:p>
    <w:p>
      <w:pPr>
        <w:spacing w:before="60" w:after="60"/>
      </w:pPr>
      <w:r>
        <w:rPr>
          <w:rFonts w:ascii="Arial" w:cs="Arial" w:eastAsia="Arial" w:hAnsi="Arial"/>
          <w:color w:val="333333"/>
          <w:sz w:val="20"/>
          <w:szCs w:val="20"/>
        </w:rPr>
        <w:t xml:space="preserve">IMM-approved banks could model Expected Exposure (EE) profiles using Monte Carlo simulation, computing Effective EPE as the capital exposure base. Under Basel III, banks must additionally calculate Stressed EPE using stress-calibrated parameters. A supervisory alpha multiplier of 1.4 is applied unless the bank demonstrates a higher portfolio-specific alpha. IMM provided the best capital efficiency but required substantial model infrastructure and ongoing supervisory validation.</w:t>
      </w:r>
      <w:r>
        <w:rPr>
          <w:rFonts w:ascii="Arial" w:cs="Arial" w:eastAsia="Arial" w:hAnsi="Arial"/>
          <w:color w:val="0E6B8A"/>
          <w:sz w:val="16"/>
          <w:szCs w:val="16"/>
          <w:vertAlign w:val="superscript"/>
        </w:rPr>
        <w:t xml:space="preserve"> [5,9]</w:t>
      </w:r>
    </w:p>
    <w:p>
      <w:pPr>
        <w:spacing w:before="40" w:after="0"/>
      </w:pPr>
      <w:r>
        <w:t xml:space="preserve"/>
      </w:r>
    </w:p>
    <w:p>
      <w:pPr>
        <w:spacing w:before="180" w:after="60"/>
      </w:pPr>
      <w:r>
        <w:rPr>
          <w:rFonts w:ascii="Arial" w:cs="Arial" w:eastAsia="Arial" w:hAnsi="Arial"/>
          <w:b/>
          <w:bCs/>
          <w:color w:val="0E6B8A"/>
          <w:sz w:val="22"/>
          <w:szCs w:val="22"/>
        </w:rPr>
        <w:t xml:space="preserve">SA-CCR (Standardised Approach for CCR) — Basel 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FROM PRIOR VERSION: SA-CCR was finalised by the BCBS in March 2014 and is a Basel IV element, not Basel III. It replaced CEM in the EU under CRR2 (effective June 2021) and in the US under NPR rules. Under Basel III, CEM and IMM remained the operative methods. SA-CCR is now mandatory for non-IMM banks and serves as the floor for IMM banks under Basel IV. [Source: BCBS, 'The standardised approach for measuring CCR exposures', March 2014]</w:t>
            </w:r>
          </w:p>
        </w:tc>
      </w:tr>
    </w:tbl>
    <w:p>
      <w:pPr>
        <w:spacing w:before="40" w:after="0"/>
      </w:pPr>
      <w:r>
        <w:t xml:space="preserve"/>
      </w:r>
    </w:p>
    <w:p>
      <w:pPr>
        <w:spacing w:before="60" w:after="60"/>
      </w:pPr>
      <w:r>
        <w:rPr>
          <w:rFonts w:ascii="Arial" w:cs="Arial" w:eastAsia="Arial" w:hAnsi="Arial"/>
          <w:color w:val="333333"/>
          <w:sz w:val="20"/>
          <w:szCs w:val="20"/>
        </w:rPr>
        <w:t xml:space="preserve">SA-CCR is substantially more risk-sensitive than CEM. It explicitly recognises: legal netting sets, collateral and margin agreements, delta-equivalent adjusted notionals for derivatives, and supervisory-calibrated add-on factors by asset class, maturity, and hedging set. The formula: EAD = alpha × (RC + PFE), where alpha=1.4, RC = replacement cost net of eligible collateral, and PFE = aggregate potential future exposure from hedging-set-level add-ons.</w:t>
      </w:r>
      <w:r>
        <w:rPr>
          <w:rFonts w:ascii="Arial" w:cs="Arial" w:eastAsia="Arial" w:hAnsi="Arial"/>
          <w:color w:val="0E6B8A"/>
          <w:sz w:val="16"/>
          <w:szCs w:val="16"/>
          <w:vertAlign w:val="superscript"/>
        </w:rPr>
        <w:t xml:space="preserve"> [13]</w:t>
      </w:r>
    </w:p>
    <w:p>
      <w:pPr>
        <w:spacing w:before="6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CVA: FROM ACCOUNTING TO CENTRAL CAPITAL REQUIREMENT</w:t>
      </w:r>
    </w:p>
    <w:p>
      <w:pPr>
        <w:spacing w:before="60" w:after="60"/>
      </w:pPr>
      <w:r>
        <w:rPr>
          <w:rFonts w:ascii="Arial" w:cs="Arial" w:eastAsia="Arial" w:hAnsi="Arial"/>
          <w:color w:val="333333"/>
          <w:sz w:val="20"/>
          <w:szCs w:val="20"/>
        </w:rPr>
        <w:t xml:space="preserve">Prior to Basel III, CVA was an accounting concept (fair value of counterparty default risk) but carried no explicit regulatory capital requirement. The 2007–2009 crisis revealed that approximately two-thirds of counterparty credit losses were attributable to CVA mark-to-market deterioration rather than actual defaults — primarily in OTC derivative portfolios with financial institution counterparties.</w:t>
      </w:r>
      <w:r>
        <w:rPr>
          <w:rFonts w:ascii="Arial" w:cs="Arial" w:eastAsia="Arial" w:hAnsi="Arial"/>
          <w:color w:val="0E6B8A"/>
          <w:sz w:val="16"/>
          <w:szCs w:val="16"/>
          <w:vertAlign w:val="superscript"/>
        </w:rPr>
        <w:t xml:space="preserve"> [14]</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CVA Approach</w:t>
            </w:r>
          </w:p>
        </w:tc>
        <w:tc>
          <w:tcPr>
            <w:tcW w:type="dxa" w:w="1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Accord</w:t>
            </w:r>
          </w:p>
        </w:tc>
        <w:tc>
          <w:tcPr>
            <w:tcW w:type="dxa" w:w="5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capital charge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Basel I / II</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CVA risk entirely unaddressed in regulatory capital framework</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CVA charge introduced (BA-CVA / SA-CVA)</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Basel III</w:t>
            </w:r>
          </w:p>
        </w:tc>
        <w:tc>
          <w:tcPr>
            <w:tcW w:type="dxa" w:w="5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Capital charge for CVA P&amp;L volatility. BA-CVA: formula-based using EAD and supervisory credit spreads. SA-CVA: sensitivity-based for banks with approved CVA desks. Hedges partially recognised.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FRTB-CVA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Basel IV</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Replaces Basel III CVA entirely. BA-CVA (enhanced) and SA-CVA (full sensitivity-based, consistent with FRTB SA). Hedging recognition more explicit and comprehensive.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TRAJECTORY</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Credit risk capital has moved: flat administrative rates (1988) → rating-sensitive risk weights (2004) → internal model PD/LGD estimates (2004) → constrained models with standardised floors (2017). Since 2017 the direction is: more standardisation, higher model input floors, less model discretion, mandatory SA floor on outputs.</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[13] BCBS (2014), 'The standardised approach for measuring counterparty credit risk exposures', BIS. [14] BCBS (2011), 'Application of own credit risk adjustments to derivatives', BIS. See also: Gregory, J. (2015), 'The xVA Challenge: Counterparty Credit Risk, Funding, Collateral and Capital', Wiley.</w:t>
      </w:r>
    </w:p>
    <w:p>
      <w:r>
        <w:br w:type="page"/>
      </w:r>
    </w:p>
    <w:p>
      <w:pPr>
        <w:pStyle w:val="Heading1"/>
        <w:spacing w:before="0" w:after="80"/>
        <w:outlineLvl w:val="0"/>
      </w:pPr>
      <w:r>
        <w:rPr>
          <w:rFonts w:ascii="Arial" w:cs="Arial" w:eastAsia="Arial" w:hAnsi="Arial"/>
          <w:b/>
          <w:bCs/>
          <w:color w:val="1B3A6B"/>
          <w:sz w:val="40"/>
          <w:szCs w:val="40"/>
        </w:rPr>
        <w:t xml:space="preserve">Market &amp; Operational Risk Evolution</w:t>
      </w:r>
    </w:p>
    <w:p>
      <w:pPr>
        <w:spacing w:before="0" w:after="200"/>
      </w:pPr>
      <w:r>
        <w:rPr>
          <w:rFonts w:ascii="Arial" w:cs="Arial" w:eastAsia="Arial" w:hAnsi="Arial"/>
          <w:i/>
          <w:iCs/>
          <w:color w:val="0E6B8A"/>
          <w:sz w:val="22"/>
          <w:szCs w:val="22"/>
        </w:rPr>
        <w:t xml:space="preserve">From Absence to FRTB and SMA  —  1996–2025</w:t>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MARKET RISK: THE JOURNEY</w:t>
      </w:r>
    </w:p>
    <w:p>
      <w:pPr>
        <w:spacing w:before="180" w:after="60"/>
      </w:pPr>
      <w:r>
        <w:rPr>
          <w:rFonts w:ascii="Arial" w:cs="Arial" w:eastAsia="Arial" w:hAnsi="Arial"/>
          <w:b/>
          <w:bCs/>
          <w:color w:val="0E6B8A"/>
          <w:sz w:val="22"/>
          <w:szCs w:val="22"/>
        </w:rPr>
        <w:t xml:space="preserve">Pre-1996: Regulatory Blindspot</w:t>
      </w:r>
    </w:p>
    <w:p>
      <w:pPr>
        <w:spacing w:before="60" w:after="60"/>
        <w:jc w:val="left"/>
      </w:pPr>
      <w:r>
        <w:rPr>
          <w:rFonts w:ascii="Arial" w:cs="Arial" w:eastAsia="Arial" w:hAnsi="Arial"/>
          <w:color w:val="333333"/>
          <w:sz w:val="20"/>
          <w:szCs w:val="20"/>
        </w:rPr>
        <w:t xml:space="preserve">Basel I made no provision for market risk capital — a critical omission as banks' proprietary trading and market-making activities expanded rapidly through the late 1980s and early 1990s. Enormous interest rate, FX, and equity exposures were effectively capitalised only via the general credit risk framework, if at all.</w:t>
      </w:r>
    </w:p>
    <w:p>
      <w:pPr>
        <w:spacing w:before="40" w:after="0"/>
      </w:pPr>
      <w:r>
        <w:t xml:space="preserve"/>
      </w:r>
    </w:p>
    <w:p>
      <w:pPr>
        <w:spacing w:before="180" w:after="60"/>
      </w:pPr>
      <w:r>
        <w:rPr>
          <w:rFonts w:ascii="Arial" w:cs="Arial" w:eastAsia="Arial" w:hAnsi="Arial"/>
          <w:b/>
          <w:bCs/>
          <w:color w:val="0E6B8A"/>
          <w:sz w:val="22"/>
          <w:szCs w:val="22"/>
        </w:rPr>
        <w:t xml:space="preserve">1996 Market Risk Amendment: VaR Enters Regulation</w:t>
      </w:r>
    </w:p>
    <w:p>
      <w:pPr>
        <w:spacing w:before="60" w:after="60"/>
      </w:pPr>
      <w:r>
        <w:rPr>
          <w:rFonts w:ascii="Arial" w:cs="Arial" w:eastAsia="Arial" w:hAnsi="Arial"/>
          <w:color w:val="333333"/>
          <w:sz w:val="20"/>
          <w:szCs w:val="20"/>
        </w:rPr>
        <w:t xml:space="preserve">The Market Risk Amendment to Basel I (effective January 1997) was a landmark in financial regulation: the first time regulators permitted banks to use internal mathematical models — specifically Value-at-Risk — to determine regulatory capital. The Amendment also introduced the Standardised Measurement Method as an alternative, and created Tier 3 capital (short-term subordinated debt) solely for use as market risk capital.</w:t>
      </w:r>
      <w:r>
        <w:rPr>
          <w:rFonts w:ascii="Arial" w:cs="Arial" w:eastAsia="Arial" w:hAnsi="Arial"/>
          <w:color w:val="0E6B8A"/>
          <w:sz w:val="16"/>
          <w:szCs w:val="16"/>
          <w:vertAlign w:val="superscript"/>
        </w:rPr>
        <w:t xml:space="preserve"> [4]</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1996 CAPITAL FORMULA</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Market Risk Capital = max(VaR_{t-1},  mc × (1/60) × ΣVaR_{t-i})  where VaR = 99%/10-day, mc ≥ 3.0 (increased by backtesting penalty up to +1.0)</w:t>
            </w:r>
          </w:p>
        </w:tc>
      </w:tr>
    </w:tbl>
    <w:p>
      <w:pPr>
        <w:spacing w:before="40" w:after="0"/>
      </w:pPr>
      <w:r>
        <w:t xml:space="preserve"/>
      </w:r>
    </w:p>
    <w:p>
      <w:pPr>
        <w:spacing w:before="60" w:after="60"/>
      </w:pPr>
      <w:r>
        <w:rPr>
          <w:rFonts w:ascii="Arial" w:cs="Arial" w:eastAsia="Arial" w:hAnsi="Arial"/>
          <w:color w:val="333333"/>
          <w:sz w:val="20"/>
          <w:szCs w:val="20"/>
        </w:rPr>
        <w:t xml:space="preserve">The 'traffic light' backtesting framework set mc at 3.0 (green zone: 0–4 exceptions), rising to 3.4–4.0 (yellow: 5–9) or 4.0+ (red: 10+), based on the number of days actual loss exceeded 99% VaR over 250 trading days. The Standardised Approach remained available for banks without internal model approval.</w:t>
      </w:r>
      <w:r>
        <w:rPr>
          <w:rFonts w:ascii="Arial" w:cs="Arial" w:eastAsia="Arial" w:hAnsi="Arial"/>
          <w:color w:val="0E6B8A"/>
          <w:sz w:val="16"/>
          <w:szCs w:val="16"/>
          <w:vertAlign w:val="superscript"/>
        </w:rPr>
        <w:t xml:space="preserve"> [4]</w:t>
      </w:r>
    </w:p>
    <w:p>
      <w:pPr>
        <w:spacing w:before="40" w:after="0"/>
      </w:pPr>
      <w:r>
        <w:t xml:space="preserve"/>
      </w:r>
    </w:p>
    <w:p>
      <w:pPr>
        <w:spacing w:before="180" w:after="60"/>
      </w:pPr>
      <w:r>
        <w:rPr>
          <w:rFonts w:ascii="Arial" w:cs="Arial" w:eastAsia="Arial" w:hAnsi="Arial"/>
          <w:b/>
          <w:bCs/>
          <w:color w:val="0E6B8A"/>
          <w:sz w:val="22"/>
          <w:szCs w:val="22"/>
        </w:rPr>
        <w:t xml:space="preserve">Basel II (2004): Framework Incorporated, Not Reformed</w:t>
      </w:r>
    </w:p>
    <w:p>
      <w:pPr>
        <w:spacing w:before="60" w:after="60"/>
      </w:pPr>
      <w:r>
        <w:rPr>
          <w:rFonts w:ascii="Arial" w:cs="Arial" w:eastAsia="Arial" w:hAnsi="Arial"/>
          <w:color w:val="333333"/>
          <w:sz w:val="20"/>
          <w:szCs w:val="20"/>
        </w:rPr>
        <w:t xml:space="preserve">Basel II formally incorporated the 1996 Amendment into the Pillar 1 framework. The VaR-based internal model approach and standardised approach were carried forward largely unchanged. Specific risk treatment for credit-sensitive trading book positions was tightened. The fundamental architecture — 99%/10-day VaR with a multiplication factor — remained intact.</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Basel III (2010): Stressed VaR, IRC, and CVA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Enhancement</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Stressed VaR (SVaR)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Additional VaR calculation using a continuous 12-month stress window (typically 2007–2009). Total market risk capital = VaR component + SVaR component. Effectively doubled capital charges for most trading books. Addressed the criticism that VaR models calibrated to low-volatility periods systematically underestimated risk.</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Incremental Risk Charge (IRC)</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99.9% / one-year capital charge for default and credit migration risk of trading book positions (bonds, loans, CDS). Addressed the pre-crisis failure of specific risk VaR to capture jump-to-default losses and rating cliff effects.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Comprehensive Risk Measure (CRM)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 correlation trading portfolios (structured credit, CDO tranches, nth-to-default products): a bespoke capital charge based on 99.9%/one-year comprehensive risk model, with a floor equal to 8% of the standardised specific risk charge.</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Charge</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New standalone charge for the volatility of CVA mark-to-market (see Credit Risk Evolution section). Cleared trades exempted.</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FRTB: Complete Architectural Replacement</w:t>
      </w:r>
    </w:p>
    <w:p>
      <w:pPr>
        <w:spacing w:before="60" w:after="60"/>
      </w:pPr>
      <w:r>
        <w:rPr>
          <w:rFonts w:ascii="Arial" w:cs="Arial" w:eastAsia="Arial" w:hAnsi="Arial"/>
          <w:color w:val="333333"/>
          <w:sz w:val="20"/>
          <w:szCs w:val="20"/>
        </w:rPr>
        <w:t xml:space="preserve">FRTB replaces the entire Basel II/III market risk framework. The shift from VaR to Expected Shortfall addresses VaR's fundamental blind spot — it measures the threshold of the loss distribution but not the severity of losses beyond it. FRTB also addresses the crisis-era practice of migrating positions between trading and banking books to minimise capital.</w:t>
      </w:r>
      <w:r>
        <w:rPr>
          <w:rFonts w:ascii="Arial" w:cs="Arial" w:eastAsia="Arial" w:hAnsi="Arial"/>
          <w:color w:val="0E6B8A"/>
          <w:sz w:val="16"/>
          <w:szCs w:val="16"/>
          <w:vertAlign w:val="superscript"/>
        </w:rPr>
        <w:t xml:space="preserve"> [11]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FRTB Component</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Change vs Prior Framework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Expected Shortfall (ES) at 97.5%</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ES captures the conditional expected loss in the tail — the average loss given it exceeds the 97.5th percentile. Calibrated to a stress period. Conceptually superior to VaR for capital adequacy purposes.</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Liquidity-Adjusted Horizons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10, 20, 40, 60, 120-day horizons assigned by risk factor class and liquidity. Replaces the universal 10-day holding period — illiquid risk factors penalised proportionally.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P&amp;L Attribution Test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Requires model to explain actual daily P&amp;L to a statistical standard. Desks failing tests lose IMA approval — fall back to SA. Creates powerful model quality incentive.</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Dual Backtesting Requirement</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Backtesting on both real P&amp;L (including fees, reserves) and hypothetical P&amp;L (clean mark-to-market only). Identifies model errors not visible in single-test regime.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Non-Modellable Risk Factors (NMRF)</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factors with fewer than 24 real observations/year cannot be modelled — additive stress scenario charge applied. Incentivises market data investment; disincentivises exotic illiquid risk.</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Strict TB/BB Boundary</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Presumptive classification by instrument type. Moving positions requires supervisor approval. Capital benefit of reclassification immediately neutralised.</w:t>
            </w:r>
          </w:p>
        </w:tc>
      </w:tr>
    </w:tbl>
    <w:p>
      <w:pPr>
        <w:spacing w:before="8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OPERATIONAL RISK: THE JOURNEY</w:t>
      </w:r>
    </w:p>
    <w:p>
      <w:pPr>
        <w:spacing w:before="180" w:after="60"/>
      </w:pPr>
      <w:r>
        <w:rPr>
          <w:rFonts w:ascii="Arial" w:cs="Arial" w:eastAsia="Arial" w:hAnsi="Arial"/>
          <w:b/>
          <w:bCs/>
          <w:color w:val="0E6B8A"/>
          <w:sz w:val="22"/>
          <w:szCs w:val="22"/>
        </w:rPr>
        <w:t xml:space="preserve">Basel I: Entirely Absent</w:t>
      </w:r>
    </w:p>
    <w:p>
      <w:pPr>
        <w:spacing w:before="60" w:after="60"/>
        <w:jc w:val="left"/>
      </w:pPr>
      <w:r>
        <w:rPr>
          <w:rFonts w:ascii="Arial" w:cs="Arial" w:eastAsia="Arial" w:hAnsi="Arial"/>
          <w:color w:val="333333"/>
          <w:sz w:val="20"/>
          <w:szCs w:val="20"/>
        </w:rPr>
        <w:t xml:space="preserve">Operational risk — losses from failed processes, systems, people, or external events — received no explicit capital treatment in Basel I. It was subsumed implicitly in the general capital cushion without any quantification or disclosure requirement.</w:t>
      </w:r>
    </w:p>
    <w:p>
      <w:pPr>
        <w:spacing w:before="40" w:after="0"/>
      </w:pPr>
      <w:r>
        <w:t xml:space="preserve"/>
      </w:r>
    </w:p>
    <w:p>
      <w:pPr>
        <w:spacing w:before="180" w:after="60"/>
      </w:pPr>
      <w:r>
        <w:rPr>
          <w:rFonts w:ascii="Arial" w:cs="Arial" w:eastAsia="Arial" w:hAnsi="Arial"/>
          <w:b/>
          <w:bCs/>
          <w:color w:val="0E6B8A"/>
          <w:sz w:val="22"/>
          <w:szCs w:val="22"/>
        </w:rPr>
        <w:t xml:space="preserve">Basel II: First Formal Capital Treatment</w:t>
      </w:r>
    </w:p>
    <w:p>
      <w:pPr>
        <w:spacing w:before="60" w:after="60"/>
      </w:pPr>
      <w:r>
        <w:rPr>
          <w:rFonts w:ascii="Arial" w:cs="Arial" w:eastAsia="Arial" w:hAnsi="Arial"/>
          <w:color w:val="333333"/>
          <w:sz w:val="20"/>
          <w:szCs w:val="20"/>
        </w:rPr>
        <w:t xml:space="preserve">Basel II's three-tier OpRisk framework introduced a formal, quantified capital charge for the first time. The AMA was the flagship innovation: banks could model OpRisk capital using four data elements (internal loss data, external loss data, scenario analysis, BEICFs). AMA charges were frequently 30–50% below TSA at sophisticated banks, creating strong adoption incentives. However, AMA models proved impossible to compare or validate across institutions.</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Basel IV: AMA Abolished — SMA Replaces All Approaches</w:t>
      </w:r>
    </w:p>
    <w:p>
      <w:pPr>
        <w:spacing w:before="60" w:after="60"/>
      </w:pPr>
      <w:r>
        <w:rPr>
          <w:rFonts w:ascii="Arial" w:cs="Arial" w:eastAsia="Arial" w:hAnsi="Arial"/>
          <w:color w:val="333333"/>
          <w:sz w:val="20"/>
          <w:szCs w:val="20"/>
        </w:rPr>
        <w:t xml:space="preserve">The BCBS concluded that AMA had failed on the central goal of comparability. The variation in AMA outputs across banks with similar profiles was too large to be explained by genuine risk differences. The SMA, by contrast, produces a single calculable figure for any bank with a known BI and loss history.</w:t>
      </w:r>
      <w:r>
        <w:rPr>
          <w:rFonts w:ascii="Arial" w:cs="Arial" w:eastAsia="Arial" w:hAnsi="Arial"/>
          <w:color w:val="0E6B8A"/>
          <w:sz w:val="16"/>
          <w:szCs w:val="16"/>
          <w:vertAlign w:val="superscript"/>
        </w:rPr>
        <w:t xml:space="preserve"> [10]</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 Range</w:t>
            </w:r>
          </w:p>
        </w:tc>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BIC Marginal Rate</w:t>
            </w:r>
          </w:p>
        </w:tc>
        <w:tc>
          <w:tcPr>
            <w:tcW w:type="dxa" w:w="3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Illustrative Capital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 – €1bn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12% on full BI</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Up to €120m</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€1bn – €30bn</w:t>
            </w:r>
          </w:p>
        </w:tc>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15% on BI above €1bn</w:t>
            </w:r>
          </w:p>
        </w:tc>
        <w:tc>
          <w:tcPr>
            <w:tcW w:type="dxa" w:w="3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€120m + up to €4,350m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&gt;€30bn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18% on BI above €30bn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€4,470m + 18% on excess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OPERATIONAL RISK DEBATE</w:t>
            </w:r>
          </w:p>
        </w:tc>
        <w:tc>
          <w:tcPr>
            <w:tcW w:type="dxa" w:w="7860"/>
            <w:tcBorders>
              <w:top w:val="single" w:color="0E6B8A" w:sz="6"/>
              <w:left w:val="none" w:color="FFFFFF" w:sz="0"/>
              <w:bottom w:val="single" w:color="0E6B8A" w:sz="6"/>
              <w:right w:val="single" w:color="0E6B8A" w:sz="6"/>
            </w:tcBorders>
            <w:shd w:fill="FFF0E0" w:val="clear"/>
            <w:tcMar>
              <w:top w:type="dxa" w:w="120"/>
              <w:left w:type="dxa" w:w="160"/>
              <w:bottom w:type="dxa" w:w="120"/>
              <w:right w:type="dxa" w:w="160"/>
            </w:tcMar>
          </w:tcPr>
          <w:p>
            <w:r>
              <w:rPr>
                <w:rFonts w:ascii="Arial" w:cs="Arial" w:eastAsia="Arial" w:hAnsi="Arial"/>
                <w:color w:val="333333"/>
                <w:sz w:val="19"/>
                <w:szCs w:val="19"/>
              </w:rPr>
              <w:t xml:space="preserve">The SMA has attracted sustained criticism: it provides no capital differentiation between banks with strong and weak operational risk cultures; it penalises high-revenue banks regardless of loss history; and the ILM floor of 1.0 means historically low-loss banks cannot reduce capital below BIC. Critics, including the Institute of International Finance (IIF), argued the abolition of AMA was a regulatory step backward from risk-sensitivity. The BCBS position: comparability and supervisor-verifiability outweigh model precision for OpRisk.</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[4] BCBS (1996), 'Amendment to the Capital Accord to Incorporate Market Risks', BIS. [11] BCBS (2019), 'Minimum capital requirements for market risk (revised FRTB)', BIS. [15] BCBS (2014/2016), 'Operational risk — Revisions to the simpler approaches / Standardised Measurement Approach', BIS. IIF (2016), 'Comments on the BCBS consultation on operational risk capital'. Roncalli, T. (2020), 'Handbook on Financial Risk Management', CRC Press.</w:t>
      </w:r>
    </w:p>
    <w:p>
      <w:r>
        <w:br w:type="page"/>
      </w:r>
    </w:p>
    <w:p>
      <w:pPr>
        <w:pStyle w:val="Heading1"/>
        <w:spacing w:before="0" w:after="80"/>
        <w:outlineLvl w:val="0"/>
      </w:pPr>
      <w:r>
        <w:rPr>
          <w:rFonts w:ascii="Arial" w:cs="Arial" w:eastAsia="Arial" w:hAnsi="Arial"/>
          <w:b/>
          <w:bCs/>
          <w:color w:val="1B3A6B"/>
          <w:sz w:val="40"/>
          <w:szCs w:val="40"/>
        </w:rPr>
        <w:t xml:space="preserve">Worked Examples</w:t>
      </w:r>
    </w:p>
    <w:p>
      <w:pPr>
        <w:spacing w:before="0" w:after="200"/>
      </w:pPr>
      <w:r>
        <w:rPr>
          <w:rFonts w:ascii="Arial" w:cs="Arial" w:eastAsia="Arial" w:hAnsi="Arial"/>
          <w:i/>
          <w:iCs/>
          <w:color w:val="0E6B8A"/>
          <w:sz w:val="22"/>
          <w:szCs w:val="22"/>
        </w:rPr>
        <w:t xml:space="preserve">Risk Treatment Across Basel I → IV</w:t>
      </w:r>
    </w:p>
    <w:p>
      <w:pPr>
        <w:spacing w:before="60" w:after="80"/>
        <w:jc w:val="left"/>
      </w:pPr>
      <w:r>
        <w:rPr>
          <w:rFonts w:ascii="Arial" w:cs="Arial" w:eastAsia="Arial" w:hAnsi="Arial"/>
          <w:i/>
          <w:iCs/>
          <w:color w:val="888888"/>
          <w:sz w:val="20"/>
          <w:szCs w:val="20"/>
        </w:rPr>
        <w:t xml:space="preserve">The following examples trace identical illustrative trades through all four Basel frameworks. All capital figures are approximate, standalone single-trade calculations using simplified assumptions — they are pedagogically illustrative, not regulatory outputs. Actual calculations depend on netting set membership, collateral, portfolio-level correlations, model approval status, and jurisdictional implementation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IMPORTANT CAVEAT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Capital figures shown are standalone and therefore conservative estimates for a well-diversified portfolio. In practice: (a) netting agreements can reduce CCR EAD significantly; (b) VaR/ES models capture portfolio diversification; (c) Pillar 2 SREP add-ons not shown; (d) jurisdictional variations in implementation apply.</w:t>
            </w:r>
          </w:p>
        </w:tc>
      </w:tr>
    </w:tbl>
    <w:p>
      <w:pPr>
        <w:spacing w:before="80" w:after="0"/>
      </w:pPr>
      <w:r>
        <w:t xml:space="preserve"/>
      </w:r>
    </w:p>
    <w:p>
      <w:pPr>
        <w:pStyle w:val="Heading1"/>
        <w:pBdr>
          <w:bottom w:val="single" w:color="1B3A6B" w:sz="10" w:space="4"/>
        </w:pBdr>
        <w:spacing w:before="280" w:after="100"/>
        <w:outlineLvl w:val="0"/>
      </w:pPr>
      <w:r>
        <w:rPr>
          <w:rFonts w:ascii="Arial" w:cs="Arial" w:eastAsia="Arial" w:hAnsi="Arial"/>
          <w:b/>
          <w:bCs/>
          <w:color w:val="1B3A6B"/>
          <w:sz w:val="26"/>
          <w:szCs w:val="26"/>
        </w:rPr>
        <w:t xml:space="preserve">EXAMPLE 1: FX FORWARD — USD/SGD</w:t>
      </w:r>
    </w:p>
    <w:p>
      <w:pPr>
        <w:spacing w:before="60" w:after="60"/>
        <w:jc w:val="left"/>
      </w:pPr>
      <w:r>
        <w:rPr>
          <w:rFonts w:ascii="Arial" w:cs="Arial" w:eastAsia="Arial" w:hAnsi="Arial"/>
          <w:color w:val="333333"/>
          <w:sz w:val="20"/>
          <w:szCs w:val="20"/>
        </w:rPr>
        <w:t xml:space="preserve">Trade: Bank A sells USD 10,000,000 / buys SGD 13,500,000 forward, 6-month maturity. Spot USD/SGD: 1.35. Counterparty: Singapore-incorporated corporate (BBB-rated). No margin agreement, no CCP. Bank A is currently in-the-money by USD 200,000.</w:t>
      </w:r>
    </w:p>
    <w:p>
      <w:pPr>
        <w:spacing w:before="60" w:after="0"/>
      </w:pPr>
      <w:r>
        <w:t xml:space="preserve"/>
      </w:r>
    </w:p>
    <w:p>
      <w:pPr>
        <w:pStyle w:val="Heading2"/>
        <w:spacing w:before="180" w:after="60"/>
        <w:outlineLvl w:val="1"/>
      </w:pPr>
      <w:r>
        <w:rPr>
          <w:rFonts w:ascii="Arial" w:cs="Arial" w:eastAsia="Arial" w:hAnsi="Arial"/>
          <w:b/>
          <w:bCs/>
          <w:color w:val="0E6B8A"/>
          <w:sz w:val="22"/>
          <w:szCs w:val="22"/>
        </w:rPr>
        <w:t xml:space="preserve">Basel I — 1988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Add-on Factor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Basel I Annex 3: FX contracts ≤ 1 year: 1.0% of notional. Add-on = 1.0% × $10m = $100,000.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Credit Risk Equivalent (CRE)</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Replacement Cost ($200,000 positive MTM) + Add-on ($100,000) = $300,000.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Risk Weight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Non-bank corporate counterparty = 100%.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RWA and Capital</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$300,000 × 100% × 8% = $24,000 capital. Market risk: no charge (Basel I has no trading book market risk capital).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The 1% add-on is uniform across all FX forwards under 1 year regardless of volatility, remaining tenor, or counterparty. Market risk on the FX position is entirely unaddressed. The bluntness is the framework's defining weakness.</w:t>
            </w:r>
          </w:p>
        </w:tc>
      </w:tr>
    </w:tbl>
    <w:p>
      <w:pPr>
        <w:spacing w:before="60" w:after="0"/>
      </w:pPr>
      <w:r>
        <w:t xml:space="preserve"/>
      </w:r>
    </w:p>
    <w:p>
      <w:pPr>
        <w:pStyle w:val="Heading2"/>
        <w:spacing w:before="180" w:after="60"/>
        <w:outlineLvl w:val="1"/>
      </w:pPr>
      <w:r>
        <w:rPr>
          <w:rFonts w:ascii="Arial" w:cs="Arial" w:eastAsia="Arial" w:hAnsi="Arial"/>
          <w:b/>
          <w:bCs/>
          <w:color w:val="0E6B8A"/>
          <w:sz w:val="22"/>
          <w:szCs w:val="22"/>
        </w:rPr>
        <w:t xml:space="preserve">Basel II — 2004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BBB corporate = 100% risk weight under SA. CRE = $300,000 (CEM unchanged). Capital = $24,000.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Credit Risk (A-IRB)</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Internal model: PD = 0.35% (BBB-equivalent), LGD = 45%, EAD = $300,000. BCBS IRB formula produces RWA ≈ $175,000. Capital ≈ $14,000 — 42% below SA.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(if trading book)</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VaR-based: 99%/10-day. Assume portfolio VaR capital allocation = $8,000. Or standardised FX: 8% × net open position. Either applies depending on book classification.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IRB delivers meaningful capital benefit. Market risk capital is now charged if position is in the trading book. The book classification decision creates a capital-minimisation incentive that FRTB later addresses.</w:t>
            </w:r>
          </w:p>
        </w:tc>
      </w:tr>
    </w:tbl>
    <w:p>
      <w:pPr>
        <w:spacing w:before="60" w:after="0"/>
      </w:pPr>
      <w:r>
        <w:t xml:space="preserve"/>
      </w:r>
    </w:p>
    <w:p>
      <w:pPr>
        <w:pStyle w:val="Heading2"/>
        <w:spacing w:before="180" w:after="60"/>
        <w:outlineLvl w:val="1"/>
      </w:pPr>
      <w:r>
        <w:rPr>
          <w:rFonts w:ascii="Arial" w:cs="Arial" w:eastAsia="Arial" w:hAnsi="Arial"/>
          <w:b/>
          <w:bCs/>
          <w:color w:val="0E6B8A"/>
          <w:sz w:val="22"/>
          <w:szCs w:val="22"/>
        </w:rPr>
        <w:t xml:space="preserve">Basel III — 2010 Framework (with CEM still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(CEM)</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CEM still operative under Basel III for non-IMM banks. EAD = $300,000 (same as Basel I/II). RWA = $300,000. Capital = $24,000.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Charge (new)</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BA-CVA using EAD and supervisory credit spread for BBB corporate (≈ 80bps at 5yr point; 6m maturity reduces this). CVA capital ≈ $9,000–$12,000 — a new and material charge on a trade that previously had none.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(Stressed VaR)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 + SVaR: total market risk capital ≈ $14,000–$18,000 (approximately 2× the Basel II figure if 2008 stress period used).</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Total (banking book)</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 $33,000–$36,000 (credit + CVA), up from $24,000 Basel II. Market risk adds further if trading book.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CVA is the key new charge under Basel III for short-dated FX. For investment-grade corporates, CVA can exceed the CCR capital charge. SA-CCR does not apply under Basel III — this is a common misconception corrected in this edition.</w:t>
            </w:r>
          </w:p>
        </w:tc>
      </w:tr>
    </w:tbl>
    <w:p>
      <w:pPr>
        <w:spacing w:before="60" w:after="0"/>
      </w:pPr>
      <w:r>
        <w:t xml:space="preserve"/>
      </w:r>
    </w:p>
    <w:p>
      <w:pPr>
        <w:pStyle w:val="Heading2"/>
        <w:spacing w:before="180" w:after="60"/>
        <w:outlineLvl w:val="1"/>
      </w:pPr>
      <w:r>
        <w:rPr>
          <w:rFonts w:ascii="Arial" w:cs="Arial" w:eastAsia="Arial" w:hAnsi="Arial"/>
          <w:b/>
          <w:bCs/>
          <w:color w:val="0E6B8A"/>
          <w:sz w:val="22"/>
          <w:szCs w:val="22"/>
        </w:rPr>
        <w:t xml:space="preserve">Basel IV — 2017 Framework (SA-CCR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SA-CCR is a Basel IV element (BCBS 2014, effective under CRR2/Basel IV). Under SA-CCR: Adjusted Notional = $10m. Supervisory delta for linear FX forward = 1.0. Maturity factor for margined = √(min(M,1)/1); for unmargined: MF = √(min(M,1y)/1y) for M≤1yr. For 6-month FX: MF = √(0.5) ≈ 0.707. Supervisory factor for FX = 4%. PFE add-on = 4% × $10m × 0.707 = $282,800. EAD = 1.4 × ($200,000 + $282,800) = $675,920. RWA = $675,920 × 100% = $675,920. Capital = $54,074. Significantly higher than CEM.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(SA-CCR, mandatory)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EAD ≈ $675,000 (see correction box above). BBB corporate: 100% RW. Capital ≈ $54,000. Note: substantially higher than CEM due to alpha multiplier and maturity factor.</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Output Floor</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If IRB used for credit risk: floor = 72.5% × SA-based RWA. IRB RWA ≈ $400,000; floor = 72.5% × $675,000 = $489,375. Floor binds. Capital floored at ≈ $39,000.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CVA (FRTB-CVA)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BA-CVA or SA-CVA. With hedges, assume CVA capital ≈ $8,000–$10,000.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(FRTB)</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FX risk: 10-day liquidity horizon (major pairs). ES-based. For a plain vanilla spot FX exposure: SA delta risk charge = 15% supervisory factor × $10m × delta = $150,000 before correlation netting. In isolation: ≈ $15,000–$20,000 for this position.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Total (banking book)</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$39,000–$54,000 (credit) + $8,000 (CVA) = $47,000–$62,000.</w:t>
            </w:r>
          </w:p>
        </w:tc>
      </w:tr>
    </w:tbl>
    <w:p>
      <w:r>
        <w:br w:type="page"/>
      </w:r>
    </w:p>
    <w:p>
      <w:pPr>
        <w:pStyle w:val="Heading1"/>
        <w:pBdr>
          <w:bottom w:val="single" w:color="1B3A6B" w:sz="10" w:space="4"/>
        </w:pBdr>
        <w:spacing w:before="280" w:after="100"/>
        <w:outlineLvl w:val="0"/>
      </w:pPr>
      <w:r>
        <w:rPr>
          <w:rFonts w:ascii="Arial" w:cs="Arial" w:eastAsia="Arial" w:hAnsi="Arial"/>
          <w:b/>
          <w:bCs/>
          <w:color w:val="1B3A6B"/>
          <w:sz w:val="26"/>
          <w:szCs w:val="26"/>
        </w:rPr>
        <w:t xml:space="preserve">EXAMPLE 2: EQUITY DERIVATIVE — LONG EUROPEAN CALL ON FTSE 100</w:t>
      </w:r>
    </w:p>
    <w:p>
      <w:pPr>
        <w:spacing w:before="60" w:after="60"/>
        <w:jc w:val="left"/>
      </w:pPr>
      <w:r>
        <w:rPr>
          <w:rFonts w:ascii="Arial" w:cs="Arial" w:eastAsia="Arial" w:hAnsi="Arial"/>
          <w:color w:val="333333"/>
          <w:sz w:val="20"/>
          <w:szCs w:val="20"/>
        </w:rPr>
        <w:t xml:space="preserve">Trade: Bank A purchases a 1-year European call option on the FTSE 100 index. Notional: £5,000,000. Strike = Spot = 7,500 (at-the-money). Delta ≈ 0.52. Premium paid: £420,000 (settled upfront). Counterparty: UK investment bank (AA-rated). Bilateral, no CCP.</w:t>
      </w:r>
    </w:p>
    <w:p>
      <w:pPr>
        <w:spacing w:before="60" w:after="0"/>
      </w:pPr>
      <w:r>
        <w:t xml:space="preserve"/>
      </w:r>
    </w:p>
    <w:p>
      <w:pPr>
        <w:spacing w:before="180" w:after="60"/>
      </w:pPr>
      <w:r>
        <w:rPr>
          <w:rFonts w:ascii="Arial" w:cs="Arial" w:eastAsia="Arial" w:hAnsi="Arial"/>
          <w:b/>
          <w:bCs/>
          <w:color w:val="0E6B8A"/>
          <w:sz w:val="22"/>
          <w:szCs w:val="22"/>
        </w:rPr>
        <w:t xml:space="preserve">Basel I — 1988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(Counterparty)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Purchased option: premium paid upfront limits loss to premium amount plus any positive MTM. CRE = max(MTM, 0) = £420,000 (assume MTM = premium). OECD bank = 20% RW. RWA = £84,000. Capital = £6,720.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None. Basel I has no trading book market risk capital framework.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A £5m equity index exposure with material gamma and vega risk carries only £6,720 capital under Basel I. The 20% OECD bank discount reflects geographic membership, not actual credit quality of the bank counterparty.</w:t>
            </w:r>
          </w:p>
        </w:tc>
      </w:tr>
    </w:tbl>
    <w:p>
      <w:pPr>
        <w:spacing w:before="60" w:after="0"/>
      </w:pPr>
      <w:r>
        <w:t xml:space="preserve"/>
      </w:r>
    </w:p>
    <w:p>
      <w:pPr>
        <w:spacing w:before="180" w:after="60"/>
      </w:pPr>
      <w:r>
        <w:rPr>
          <w:rFonts w:ascii="Arial" w:cs="Arial" w:eastAsia="Arial" w:hAnsi="Arial"/>
          <w:b/>
          <w:bCs/>
          <w:color w:val="0E6B8A"/>
          <w:sz w:val="22"/>
          <w:szCs w:val="22"/>
        </w:rPr>
        <w:t xml:space="preserve">Basel II — 2004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(Counterparty)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AA bank under SA = 20% RW. EAD = MTM ≈ £480,000 (option has appreciated). RWA = £96,000. Capital = £7,680.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 Standardised</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Delta-equivalent position = 0.52 × £5m = £2.6m. General market risk (equity): 8% × £2.6m = £208,000. Specific risk (FTSE 100 index, qualifying): 0% — index positions with diversified constituents attract no specific risk charge under the SA. Options add-ons for gamma and vega risk per simplified approach.</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 IMA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99%/10-day VaR on options portfolio capturing delta, gamma, vega. Assume VaR capital = £180,000 (lower than SA due to portfolio diversification and model precision).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The prior version incorrectly applied an 8% specific risk charge to the FTSE 100 index option. Under Basel II SA (Annex 1), a diversified equity index qualifying under the rules attracts a 0% specific risk charge. Only the 8% general market risk charge applies to the delta-equivalent position. Individual equity names attract specific risk of 8% (or 4% for liquid and well-diversified portfolios). This correction reduces the total SA market risk capital from £416,000 to approximately £208,000 for this example.</w:t>
            </w:r>
          </w:p>
        </w:tc>
      </w:tr>
    </w:tbl>
    <w:p>
      <w:pPr>
        <w:spacing w:before="60" w:after="0"/>
      </w:pPr>
      <w:r>
        <w:t xml:space="preserve"/>
      </w:r>
    </w:p>
    <w:p>
      <w:pPr>
        <w:spacing w:before="180" w:after="60"/>
      </w:pPr>
      <w:r>
        <w:rPr>
          <w:rFonts w:ascii="Arial" w:cs="Arial" w:eastAsia="Arial" w:hAnsi="Arial"/>
          <w:b/>
          <w:bCs/>
          <w:color w:val="0E6B8A"/>
          <w:sz w:val="22"/>
          <w:szCs w:val="22"/>
        </w:rPr>
        <w:t xml:space="preserve">Basel III — 2010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 CVA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CVA charge for AA bank: low credit spread (≈ 20bps). BA-CVA on EAD £480,000. CVA capital ≈ £8,000–12,000.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(VaR + SVaR)</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SVaR calibrated to 2008 crisis period: FTSE 100 fell ≈40% peak-to-trough. SVaR substantially exceeds normal VaR. Total market risk capital ≈ £300,000–£350,000 (approximately 1.7×2.0× Basel II VaR capital).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IRC</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Not applicable to index options — no specific issuer default risk.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SVaR materially increases equity derivative capital. Banks' proprietary equity options books became significantly more capital-intensive post-2010, a direct structural driver of the contraction in sell-side market-making depth in equity derivatives.</w:t>
            </w:r>
          </w:p>
        </w:tc>
      </w:tr>
    </w:tbl>
    <w:p>
      <w:pPr>
        <w:spacing w:before="60" w:after="0"/>
      </w:pPr>
      <w:r>
        <w:t xml:space="preserve"/>
      </w:r>
    </w:p>
    <w:p>
      <w:pPr>
        <w:pStyle w:val="Heading2"/>
        <w:spacing w:before="180" w:after="60"/>
        <w:outlineLvl w:val="1"/>
      </w:pPr>
      <w:r>
        <w:rPr>
          <w:rFonts w:ascii="Arial" w:cs="Arial" w:eastAsia="Arial" w:hAnsi="Arial"/>
          <w:b/>
          <w:bCs/>
          <w:color w:val="0E6B8A"/>
          <w:sz w:val="22"/>
          <w:szCs w:val="22"/>
        </w:rPr>
        <w:t xml:space="preserve">Basel IV / FRTB — 2017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 FRTB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Sensitivity-based: delta risk (equity general risk factor, 25% supervisory RW for listed index), vega risk (implied vol, 28% supervisory RW), curvature risk (revaluation shock applied to option). Total SA ≈ £350,000–£400,000.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 FRTB IMA</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ES at 97.5%, 20-day liquidity horizon for equity risk factors. NMRF assessment: if deep OTM strikes lack 24 obs/yr, NMRF stress scenario added. IMA ≈ £260,000–£300,000 + NMRF add-on. Output floor = 72.5% × SA: floor ≈ £254,000–£290,000. IMA applies if above floor.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(Equity exposures)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Under Basel IV, A-IRB for equity abolished. SA RW for listed equity: 250%. Applied to MTM or EAD of the counterparty exposure, not the underlying — counterparty is AA bank (20% RW). Equity underlying risk weight not directly applicable here.</w:t>
            </w:r>
          </w:p>
        </w:tc>
      </w:tr>
    </w:tbl>
    <w:p>
      <w:r>
        <w:br w:type="page"/>
      </w:r>
    </w:p>
    <w:p>
      <w:pPr>
        <w:pStyle w:val="Heading1"/>
        <w:pBdr>
          <w:bottom w:val="single" w:color="1B3A6B" w:sz="10" w:space="4"/>
        </w:pBdr>
        <w:spacing w:before="280" w:after="100"/>
        <w:outlineLvl w:val="0"/>
      </w:pPr>
      <w:r>
        <w:rPr>
          <w:rFonts w:ascii="Arial" w:cs="Arial" w:eastAsia="Arial" w:hAnsi="Arial"/>
          <w:b/>
          <w:bCs/>
          <w:color w:val="1B3A6B"/>
          <w:sz w:val="26"/>
          <w:szCs w:val="26"/>
        </w:rPr>
        <w:t xml:space="preserve">EXAMPLE 3: INTEREST RATE SWAP (IRS) — FIXED/FLOATING</w:t>
      </w:r>
    </w:p>
    <w:p>
      <w:pPr>
        <w:spacing w:before="60" w:after="60"/>
        <w:jc w:val="left"/>
      </w:pPr>
      <w:r>
        <w:rPr>
          <w:rFonts w:ascii="Arial" w:cs="Arial" w:eastAsia="Arial" w:hAnsi="Arial"/>
          <w:color w:val="333333"/>
          <w:sz w:val="20"/>
          <w:szCs w:val="20"/>
        </w:rPr>
        <w:t xml:space="preserve">Trade: Bank A pays fixed 4.5% / receives 6M EURIBOR on €20,000,000 notional. Maturity: 5 years. Counterparty: French corporate (A-rated). Bilateral (no CCP, no margin agreement). Current MTM: Bank A in-the-money by €350,000 (rates have declined since trade inception).</w:t>
      </w:r>
    </w:p>
    <w:p>
      <w:pPr>
        <w:spacing w:before="60" w:after="0"/>
      </w:pPr>
      <w:r>
        <w:t xml:space="preserve"/>
      </w:r>
    </w:p>
    <w:p>
      <w:pPr>
        <w:spacing w:before="180" w:after="60"/>
      </w:pPr>
      <w:r>
        <w:rPr>
          <w:rFonts w:ascii="Arial" w:cs="Arial" w:eastAsia="Arial" w:hAnsi="Arial"/>
          <w:b/>
          <w:bCs/>
          <w:color w:val="0E6B8A"/>
          <w:sz w:val="22"/>
          <w:szCs w:val="22"/>
        </w:rPr>
        <w:t xml:space="preserve">Basel I — 1988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CEM Add-on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Basel I Annex 3: IR contracts, residual maturity 1–5 years: 0.5% of notional. Add-on = 0.5% × €20m = €100,000.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Replacement Cost (€350,000) + Add-on (€100,000) = €450,000.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Risk Weight &amp; Capital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Non-bank corporate = 100%. RWA = €450,000. Capital = €36,000. No market risk capital.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A 5-year IRS with €20m notional has DV01 ≈ €8,500/bp. A 100bp rate move could move MTM by €850,000. Basel I capital of €36,000 is a negligible fraction of this risk. The add-on factor (0.5%) reflects the historically lower volatility of IR vs FX, but ignores duration and curve risk entirely.</w:t>
            </w:r>
          </w:p>
        </w:tc>
      </w:tr>
    </w:tbl>
    <w:p>
      <w:pPr>
        <w:spacing w:before="60" w:after="0"/>
      </w:pPr>
      <w:r>
        <w:t xml:space="preserve"/>
      </w:r>
    </w:p>
    <w:p>
      <w:pPr>
        <w:spacing w:before="180" w:after="60"/>
      </w:pPr>
      <w:r>
        <w:rPr>
          <w:rFonts w:ascii="Arial" w:cs="Arial" w:eastAsia="Arial" w:hAnsi="Arial"/>
          <w:b/>
          <w:bCs/>
          <w:color w:val="0E6B8A"/>
          <w:sz w:val="22"/>
          <w:szCs w:val="22"/>
        </w:rPr>
        <w:t xml:space="preserve">Basel II — 2004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A-rated corporate = 50% RW under SA. EAD = €450,000 (CEM). RWA = €225,000. Capital = €18,000.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Credit Risk (A-IRB)</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PD = 0.10–0.20% (A-rated range), LGD = 45%, EAD = €450,000, maturity = 5yr. IRB formula capital ≈ €11,000–13,000 — approximately 35% below SA.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(VaR)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IR sensitivity: DV01 × rate scenarios. 99%/10-day VaR for isolated position ≈ €60,000–80,000. With mc=3: capital ≈ €180,000–250,000 — dominates CCR capital. Portfolio netting can reduce this substantially.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Market risk capital far exceeds CCR capital for a 5-year IRS. VaR captures genuine interest rate risk. The capital asymmetry between market risk and CCR capital reflects the dominance of rate risk over counterparty risk for plain vanilla IRS.</w:t>
            </w:r>
          </w:p>
        </w:tc>
      </w:tr>
    </w:tbl>
    <w:p>
      <w:pPr>
        <w:spacing w:before="60" w:after="0"/>
      </w:pPr>
      <w:r>
        <w:t xml:space="preserve"/>
      </w:r>
    </w:p>
    <w:p>
      <w:pPr>
        <w:spacing w:before="180" w:after="60"/>
      </w:pPr>
      <w:r>
        <w:rPr>
          <w:rFonts w:ascii="Arial" w:cs="Arial" w:eastAsia="Arial" w:hAnsi="Arial"/>
          <w:b/>
          <w:bCs/>
          <w:color w:val="0E6B8A"/>
          <w:sz w:val="22"/>
          <w:szCs w:val="22"/>
        </w:rPr>
        <w:t xml:space="preserve">Basel III — 2010 Framework (CEM still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(CEM)</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EAD = €450,000. A-rated corporate: 50% RW. Capital = €18,000. Unchanged from Basel II SA.</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(new)</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BA-CVA: EAD €450,000 × 5yr effective maturity × supervisory spread (A corporate ≈ 40–60bps). CVA capital ≈ €18,000–25,000 — now comparable to the CCR capital charge.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(VaR + SVaR)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SVaR using 2008–2009 stress (extreme rate movements in some markets). SVaR ≈ 1.5×2× normal VaR. Total market risk capital ≈ €250,000–€350,000.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CCP Incentive (critical)</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If same trade cleared via LCH SwapClear: CCR RW = 2% ⇒ capital €720. CVA exempted for cleared trades. Total CCR + CVA capital: €720 vs €36,000–43,000 bilateral. 50× differential — the primary driver of the shift to central clearing of vanilla IRS.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The CCP incentive is the most structurally consequential regulatory outcome of Basel III for derivatives markets. LCH SwapClear clearing volumes in IRS grew from approximately $100tn notional in 2009 to over $400tn by 2020, driven substantially by this capital differential.</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2017 Framework (SA-CCR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SA-CCR FORMULA: For a 5-year vanilla IRS, supervisory duration (SD) = (exp(-0.05×0) - exp(-0.05×5)) / 0.05 = (1 - 0.7788) / 0.05 = 4.42 years. Adjusted Notional = €20m × 4.42 = €88.4m. Supervisory factor for IR = 0.5%. PFE add-on = 0.5% × €88.4m × maturity factor (for unmargined, end date = 5yr: MF = √(5/1) if &gt;1yr, use min(M,1)/1 = 1.0... actually MF for unmargined = √(min(M,1)) = 1.0 for multi-year trades) = €442,000. RC = €350,000. EAD = 1.4 × (€350,000 + €442,000) = €1,108,800. This is notably higher than CEM due to the supervisory duration factor amplifying the notional.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(SA-CCR)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EAD ≈ €1,109,000 (see correction box). A corporate: 50% RW. RWA = €554,500. Capital = €44,360.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Output Floor</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IRB capital using own models vs SA floor. 72.5% × SA RWA = 72.5% × €554,500 = €401,900. If IRB gives lower, floor binds. Capital ≥ €32,150.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FRTB Market Risk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Delta to IR curve: supervisory RW ≈ 1.5% for 5yr EURIBOR bucket. Delta risk charge on adjusted notional. IR curvature risk. Approx SA market risk ≈ €80,000–95,000 for this swap.</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FRTB Market Risk (IMA)</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ES 97.5%, 20-day LH for IR. Portfolio ES ≈ €55,000–75,000 in isolation. Floor: 72.5% × SA. IMA applies if above floor.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CVA (FRTB-CVA)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SA-CVA with CDS hedge: delta to credit spread + FX exposure. Net CVA capital ≈ €12,000–18,000.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Total Capital (bilateral, banking book)</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 €44,000 (CCR) + €15,000 (CVA) = €59,000. If trading book: add ≈€65,000 market risk = €124,000 total.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SUMMARY COMPARISON — IRS</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Bilateral, uncleared, A-rated corporate counterparty, banking book treatment: Basel I: €36,000  →  Basel II (SA): €18,000  →  Basel III: €36,000–43,000 (credit + CVA)  →  Basel IV: €59,000+. The apparent dip in Basel II reflects SA credit risk sensitivity for A-rated corporates. The surge from Basel III onward is driven by CVA (new charge), then SA-CCR's duration-adjusted notional (Basel IV). Central clearing collapses this to near-zero CCR + CVA capital under all Basel III/IV variants.</w:t>
            </w:r>
          </w:p>
        </w:tc>
      </w:tr>
    </w:tbl>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pPr>
              <w:pStyle w:val="Heading1"/>
              <w:outlineLvl w:val="0"/>
            </w:pPr>
            <w:r>
              <w:rPr>
                <w:rFonts w:ascii="Arial" w:cs="Arial" w:eastAsia="Arial" w:hAnsi="Arial"/>
                <w:b/>
                <w:bCs/>
                <w:color w:val="FFFFFF"/>
                <w:sz w:val="32"/>
                <w:szCs w:val="32"/>
              </w:rPr>
              <w:t xml:space="preserve">Why Counterparty Credit Quality Matters: AAA vs BBB</w:t>
            </w:r>
          </w:p>
        </w:tc>
      </w:tr>
    </w:tbl>
    <w:p>
      <w:pPr>
        <w:spacing w:before="100" w:after="60"/>
        <w:jc w:val="left"/>
      </w:pPr>
      <w:r>
        <w:rPr>
          <w:rFonts w:ascii="Arial" w:cs="Arial" w:eastAsia="Arial" w:hAnsi="Arial"/>
          <w:color w:val="444444"/>
          <w:sz w:val="20"/>
          <w:szCs w:val="20"/>
        </w:rPr>
        <w:t xml:space="preserve">One of Basel II's most significant improvements over Basel I was the introduction of risk-sensitive capital. Under Basel I, all corporate borrowers attracted the same 100% risk weight regardless of their creditworthiness. This section uses a simple comparison to illustrate why that was problematic and how each successive accord improved the framework.</w:t>
      </w: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1B3A6B" w:val="clear"/>
          </w:tcPr>
          <w:p>
            <w:pPr>
              <w:jc w:val="center"/>
            </w:pPr>
            <w:r>
              <w:rPr>
                <w:rFonts w:ascii="Arial" w:cs="Arial" w:eastAsia="Arial" w:hAnsi="Arial"/>
                <w:b/>
                <w:bCs/>
                <w:color w:val="FFFFFF"/>
                <w:sz w:val="18"/>
                <w:szCs w:val="18"/>
              </w:rPr>
              <w:t xml:space="preserve">TRADE</w:t>
            </w:r>
          </w:p>
        </w:tc>
        <w:tc>
          <w:tcPr>
            <w:tcW w:type="dxa" w:w="7960"/>
            <w:shd w:fill="D6EAF8" w:val="clear"/>
          </w:tcPr>
          <w:p>
            <w:r>
              <w:rPr>
                <w:rFonts w:ascii="Arial" w:cs="Arial" w:eastAsia="Arial" w:hAnsi="Arial"/>
                <w:color w:val="333333"/>
                <w:sz w:val="19"/>
                <w:szCs w:val="19"/>
              </w:rPr>
              <w:t xml:space="preserve">5-year loan of $10,000,000 to a corporate borrower. Same bank, same loan structure — two different counterparties: one AAA-rated, one BBB-rated.</w:t>
            </w:r>
          </w:p>
        </w:tc>
      </w:tr>
    </w:tbl>
    <w:p>
      <w:pPr>
        <w:pStyle w:val="Heading2"/>
        <w:spacing w:before="240" w:after="80"/>
        <w:pBdr>
          <w:bottom w:val="single" w:sz="6" w:color="1B3A6B" w:space="1"/>
        </w:pBdr>
        <w:outlineLvl w:val="1"/>
      </w:pPr>
      <w:r>
        <w:rPr>
          <w:rFonts w:ascii="Arial" w:cs="Arial" w:eastAsia="Arial" w:hAnsi="Arial"/>
          <w:b/>
          <w:bCs/>
          <w:color w:val="1B3A6B"/>
          <w:sz w:val="26"/>
          <w:szCs w:val="26"/>
        </w:rPr>
        <w:t xml:space="preserve">The Comparison Table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3280"/>
        <w:gridCol w:w="3280"/>
      </w:tblGrid>
      <w:tr>
        <w:tc>
          <w:tcPr>
            <w:tcW w:type="dxa" w:w="2800"/>
            <w:tcBorders>
              <w:top w:val="single" w:color="CCCCCC" w:sz="4"/>
              <w:left w:val="single" w:color="CCCCCC" w:sz="4"/>
              <w:bottom w:val="single" w:color="CCCCCC" w:sz="4"/>
              <w:right w:val="single" w:color="CCCCCC" w:sz="4"/>
            </w:tcBorders>
            <w:shd w:fill="8899A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Parameter</w:t>
            </w:r>
          </w:p>
        </w:tc>
        <w:tc>
          <w:tcPr>
            <w:tcW w:type="dxa" w:w="3280"/>
            <w:tcBorders>
              <w:top w:val="single" w:color="CCCCCC" w:sz="4"/>
              <w:left w:val="single" w:color="CCCCCC" w:sz="4"/>
              <w:bottom w:val="single" w:color="CCCCCC" w:sz="4"/>
              <w:right w:val="single" w:color="CCCCCC" w:sz="4"/>
            </w:tcBorders>
            <w:shd w:fill="1A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AAA-Rated Corporate</w:t>
            </w:r>
          </w:p>
        </w:tc>
        <w:tc>
          <w:tcPr>
            <w:tcW w:type="dxa" w:w="3280"/>
            <w:tcBorders>
              <w:top w:val="single" w:color="CCCCCC" w:sz="4"/>
              <w:left w:val="single" w:color="CCCCCC" w:sz="4"/>
              <w:bottom w:val="single" w:color="CCCCCC" w:sz="4"/>
              <w:right w:val="single" w:color="CCCCCC" w:sz="4"/>
            </w:tcBorders>
            <w:shd w:fill="D4770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BBB-Rated Corporate</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Credit Rating</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1A6B3A"/>
                <w:sz w:val="19"/>
                <w:szCs w:val="19"/>
              </w:rPr>
              <w:t xml:space="preserve">AAA (Highest quality)</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BBB (Investment grade, lowest tier)</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Probability of Default (PD)</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1A6B3A"/>
                <w:sz w:val="19"/>
                <w:szCs w:val="19"/>
              </w:rPr>
              <w:t xml:space="preserve">~0.01% per year</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~0.20% per year (20× higher)</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Loss Given Default (LGD)</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1A6B3A"/>
                <w:sz w:val="19"/>
                <w:szCs w:val="19"/>
              </w:rPr>
              <w:t xml:space="preserve">45% (supervisory floor)</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45% (same)</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 Risk Weight</w:t>
            </w:r>
          </w:p>
        </w:tc>
        <w:tc>
          <w:tcPr>
            <w:tcW w:type="dxa" w:w="3280"/>
            <w:tcBorders>
              <w:top w:val="single" w:color="CCCCCC" w:sz="4"/>
              <w:left w:val="single" w:color="CCCCCC" w:sz="4"/>
              <w:bottom w:val="single" w:color="CCCCCC" w:sz="4"/>
              <w:right w:val="single" w:color="CCCCCC" w:sz="4"/>
            </w:tcBorders>
            <w:shd w:fill="FFF3CD" w:val="clear"/>
            <w:tcMar>
              <w:top w:type="dxa" w:w="100"/>
              <w:left w:type="dxa" w:w="180"/>
              <w:bottom w:type="dxa" w:w="100"/>
              <w:right w:type="dxa" w:w="180"/>
            </w:tcMar>
          </w:tcPr>
          <w:p>
            <w:r>
              <w:rPr>
                <w:rFonts w:ascii="Arial" w:cs="Arial" w:eastAsia="Arial" w:hAnsi="Arial"/>
                <w:color w:val="8B0000"/>
                <w:sz w:val="19"/>
                <w:szCs w:val="19"/>
              </w:rPr>
              <w:t xml:space="preserve">100% — same as BBB</w:t>
            </w:r>
          </w:p>
        </w:tc>
        <w:tc>
          <w:tcPr>
            <w:tcW w:type="dxa" w:w="3280"/>
            <w:tcBorders>
              <w:top w:val="single" w:color="CCCCCC" w:sz="4"/>
              <w:left w:val="single" w:color="CCCCCC" w:sz="4"/>
              <w:bottom w:val="single" w:color="CCCCCC" w:sz="4"/>
              <w:right w:val="single" w:color="CCCCCC" w:sz="4"/>
            </w:tcBorders>
            <w:shd w:fill="FFF3CD" w:val="clear"/>
            <w:tcMar>
              <w:top w:type="dxa" w:w="100"/>
              <w:left w:type="dxa" w:w="180"/>
              <w:bottom w:type="dxa" w:w="100"/>
              <w:right w:type="dxa" w:w="180"/>
            </w:tcMar>
          </w:tcPr>
          <w:p>
            <w:r>
              <w:rPr>
                <w:rFonts w:ascii="Arial" w:cs="Arial" w:eastAsia="Arial" w:hAnsi="Arial"/>
                <w:color w:val="444444"/>
                <w:sz w:val="19"/>
                <w:szCs w:val="19"/>
              </w:rPr>
              <w:t xml:space="preserve">100% — Basel I cannot distinguish</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 Capital Required</w:t>
            </w:r>
          </w:p>
        </w:tc>
        <w:tc>
          <w:tcPr>
            <w:tcW w:type="dxa" w:w="3280"/>
            <w:tcBorders>
              <w:top w:val="single" w:color="CCCCCC" w:sz="4"/>
              <w:left w:val="single" w:color="CCCCCC" w:sz="4"/>
              <w:bottom w:val="single" w:color="CCCCCC" w:sz="4"/>
              <w:right w:val="single" w:color="CCCCCC" w:sz="4"/>
            </w:tcBorders>
            <w:shd w:fill="FFF3CD" w:val="clear"/>
            <w:tcMar>
              <w:top w:type="dxa" w:w="100"/>
              <w:left w:type="dxa" w:w="180"/>
              <w:bottom w:type="dxa" w:w="100"/>
              <w:right w:type="dxa" w:w="180"/>
            </w:tcMar>
          </w:tcPr>
          <w:p>
            <w:r>
              <w:rPr>
                <w:rFonts w:ascii="Arial" w:cs="Arial" w:eastAsia="Arial" w:hAnsi="Arial"/>
                <w:color w:val="8B0000"/>
                <w:sz w:val="19"/>
                <w:szCs w:val="19"/>
              </w:rPr>
              <w:t xml:space="preserve">$80,000 (8% × $10m × 100%)</w:t>
            </w:r>
          </w:p>
        </w:tc>
        <w:tc>
          <w:tcPr>
            <w:tcW w:type="dxa" w:w="3280"/>
            <w:tcBorders>
              <w:top w:val="single" w:color="CCCCCC" w:sz="4"/>
              <w:left w:val="single" w:color="CCCCCC" w:sz="4"/>
              <w:bottom w:val="single" w:color="CCCCCC" w:sz="4"/>
              <w:right w:val="single" w:color="CCCCCC" w:sz="4"/>
            </w:tcBorders>
            <w:shd w:fill="FFF3CD" w:val="clear"/>
            <w:tcMar>
              <w:top w:type="dxa" w:w="100"/>
              <w:left w:type="dxa" w:w="180"/>
              <w:bottom w:type="dxa" w:w="100"/>
              <w:right w:type="dxa" w:w="180"/>
            </w:tcMar>
          </w:tcPr>
          <w:p>
            <w:r>
              <w:rPr>
                <w:rFonts w:ascii="Arial" w:cs="Arial" w:eastAsia="Arial" w:hAnsi="Arial"/>
                <w:color w:val="444444"/>
                <w:sz w:val="19"/>
                <w:szCs w:val="19"/>
              </w:rPr>
              <w:t xml:space="preserve">$80,000 — identical. No differentiation.</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II SA Risk Weight</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1A6B3A"/>
                <w:sz w:val="19"/>
                <w:szCs w:val="19"/>
              </w:rPr>
              <w:t xml:space="preserve">20% (AAA–AA rated bucket)</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100% (BBB–BB rated bucket)</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II SA Capital</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1A6B3A"/>
                <w:sz w:val="19"/>
                <w:szCs w:val="19"/>
              </w:rPr>
              <w:t xml:space="preserve">$16,000</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$80,000 — 5× more than AAA</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II A-IRB Capital</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1A6B3A"/>
                <w:sz w:val="19"/>
                <w:szCs w:val="19"/>
              </w:rPr>
              <w:t xml:space="preserve">~$8,000 (driven by low PD formula)</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~$45,000 — reflects actual default probability</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IV Output Floor</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1A6B3A"/>
                <w:sz w:val="19"/>
                <w:szCs w:val="19"/>
              </w:rPr>
              <w:t xml:space="preserve">Floor at 72.5% of SA = $11,600</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Floor at 72.5% of SA = $58,000</w:t>
            </w:r>
          </w:p>
        </w:tc>
      </w:tr>
    </w:tbl>
    <w:p>
      <w:pPr>
        <w:spacing w:before="40" w:after="60"/>
        <w:jc w:val="left"/>
      </w:pP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0E6B8A" w:val="clear"/>
          </w:tcPr>
          <w:p>
            <w:pPr>
              <w:jc w:val="center"/>
            </w:pPr>
            <w:r>
              <w:rPr>
                <w:rFonts w:ascii="Arial" w:cs="Arial" w:eastAsia="Arial" w:hAnsi="Arial"/>
                <w:b/>
                <w:bCs/>
                <w:color w:val="FFFFFF"/>
                <w:sz w:val="18"/>
                <w:szCs w:val="18"/>
              </w:rPr>
              <w:t xml:space="preserve">KEY LESSON</w:t>
            </w:r>
          </w:p>
        </w:tc>
        <w:tc>
          <w:tcPr>
            <w:tcW w:type="dxa" w:w="7960"/>
            <w:shd w:fill="D6EAF8" w:val="clear"/>
          </w:tcPr>
          <w:p>
            <w:r>
              <w:rPr>
                <w:rFonts w:ascii="Arial" w:cs="Arial" w:eastAsia="Arial" w:hAnsi="Arial"/>
                <w:color w:val="333333"/>
                <w:sz w:val="19"/>
                <w:szCs w:val="19"/>
              </w:rPr>
              <w:t xml:space="preserve">Basel I charged identical capital for AAA and BBB borrowers. Basel II fixed this — a AAA corporate requires 5× less SA capital than BBB. Basel IV's output floor ensures that internal models cannot reduce capital below 72.5% of the standardised approach number, preventing under-capitalisation via model optimisation.</w:t>
            </w:r>
          </w:p>
        </w:tc>
      </w:tr>
    </w:tbl>
    <w:p>
      <w:r>
        <w:br w:type="page"/>
      </w:r>
    </w:p>
    <w:p>
      <w:pPr>
        <w:pStyle w:val="Heading1"/>
        <w:spacing w:before="240" w:after="80"/>
        <w:pBdr>
          <w:bottom w:val="single" w:sz="6" w:color="1B3A6B" w:space="1"/>
        </w:pBdr>
        <w:outlineLvl w:val="0"/>
      </w:pPr>
      <w:r>
        <w:rPr>
          <w:rFonts w:ascii="Arial" w:cs="Arial" w:eastAsia="Arial" w:hAnsi="Arial"/>
          <w:b/>
          <w:bCs/>
          <w:color w:val="1B3A6B"/>
          <w:sz w:val="32"/>
          <w:szCs w:val="32"/>
        </w:rPr>
        <w:t xml:space="preserve">EXAMPLE 4: CREDIT DEFAULT SWAP (CDS) — SINGLE NAME</w:t>
      </w:r>
    </w:p>
    <w:p>
      <w:pPr>
        <w:spacing w:before="100" w:after="60"/>
        <w:jc w:val="left"/>
      </w:pPr>
      <w:r>
        <w:rPr>
          <w:rFonts w:ascii="Arial" w:cs="Arial" w:eastAsia="Arial" w:hAnsi="Arial"/>
          <w:color w:val="444444"/>
          <w:sz w:val="20"/>
          <w:szCs w:val="20"/>
        </w:rPr>
        <w:t xml:space="preserve">This example introduces credit derivative treatment under Basel. A CDS creates counterparty risk on the protection seller in addition to the original credit risk on the reference entity — a unique double-exposure structure that evolved significantly from Basel I to Basel IV.</w:t>
      </w:r>
    </w:p>
    <w:p>
      <w:pPr>
        <w:pStyle w:val="Heading2"/>
        <w:spacing w:before="240" w:after="80"/>
        <w:pBdr>
          <w:bottom w:val="single" w:sz="6" w:color="1B3A6B" w:space="1"/>
        </w:pBdr>
        <w:outlineLvl w:val="1"/>
      </w:pPr>
      <w:r>
        <w:rPr>
          <w:rFonts w:ascii="Arial" w:cs="Arial" w:eastAsia="Arial" w:hAnsi="Arial"/>
          <w:b/>
          <w:bCs/>
          <w:color w:val="1B3A6B"/>
          <w:sz w:val="26"/>
          <w:szCs w:val="26"/>
        </w:rPr>
        <w:t xml:space="preserve">Trade Terms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Instrument</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Single-Name Credit Default Swap (CDS)</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Bank Role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Protection Buyer (pays premium, receives protection)</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Notional</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$10,000,000</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Tenor</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5 years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Reference Entity</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BBB-rated Corporate</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Premium</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120bps/yr ($120,000/yr)</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Counterparty</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AA-rated Dealer Bank</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Structure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Bilateral, no CCP, no margin</w:t>
            </w:r>
          </w:p>
        </w:tc>
      </w:tr>
    </w:tbl>
    <w:p>
      <w:pPr>
        <w:pStyle w:val="Heading2"/>
        <w:spacing w:before="240" w:after="80"/>
        <w:pBdr>
          <w:bottom w:val="single" w:sz="6" w:color="0E6B8A" w:space="1"/>
        </w:pBdr>
        <w:outlineLvl w:val="1"/>
      </w:pPr>
      <w:r>
        <w:rPr>
          <w:rFonts w:ascii="Arial" w:cs="Arial" w:eastAsia="Arial" w:hAnsi="Arial"/>
          <w:b/>
          <w:bCs/>
          <w:color w:val="0E6B8A"/>
          <w:sz w:val="26"/>
          <w:szCs w:val="26"/>
        </w:rPr>
        <w:t xml:space="preserve">What is a CDS?</w:t>
      </w:r>
    </w:p>
    <w:p>
      <w:pPr>
        <w:spacing w:before="60" w:after="60"/>
        <w:jc w:val="left"/>
      </w:pPr>
      <w:r>
        <w:rPr>
          <w:rFonts w:ascii="Arial" w:cs="Arial" w:eastAsia="Arial" w:hAnsi="Arial"/>
          <w:color w:val="444444"/>
          <w:sz w:val="20"/>
          <w:szCs w:val="20"/>
        </w:rPr>
        <w:t xml:space="preserve">A Credit Default Swap is an insurance-like contract against the default of a reference entity. The Protection Buyer pays a periodic premium; the Protection Seller pays the face value minus recovery if the reference entity defaults. The bank here is buying protection — it has underlying credit exposure to the BBB corporate and wants to hedge it. The counterparty risk now falls on the AA dealer bank.</w:t>
      </w:r>
    </w:p>
    <w:p>
      <w:pPr>
        <w:pStyle w:val="Heading2"/>
        <w:spacing w:before="240" w:after="80"/>
        <w:pBdr>
          <w:bottom w:val="single" w:sz="6" w:color="1B3A6B" w:space="1"/>
        </w:pBdr>
        <w:outlineLvl w:val="1"/>
      </w:pPr>
      <w:r>
        <w:rPr>
          <w:rFonts w:ascii="Arial" w:cs="Arial" w:eastAsia="Arial" w:hAnsi="Arial"/>
          <w:b/>
          <w:bCs/>
          <w:color w:val="1B3A6B"/>
          <w:sz w:val="26"/>
          <w:szCs w:val="26"/>
        </w:rPr>
        <w:t xml:space="preserve">Capital Treatment by Accord</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440"/>
        <w:gridCol w:w="1280"/>
        <w:gridCol w:w="1600"/>
        <w:gridCol w:w="5040"/>
      </w:tblGrid>
      <w:tr>
        <w:tc>
          <w:tcPr>
            <w:tcW w:type="dxa" w:w="144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Accord</w:t>
            </w:r>
          </w:p>
        </w:tc>
        <w:tc>
          <w:tcPr>
            <w:tcW w:type="dxa" w:w="1280"/>
            <w:tcBorders>
              <w:top w:val="single" w:color="CCCCCC" w:sz="4"/>
              <w:left w:val="single" w:color="CCCCCC" w:sz="4"/>
              <w:bottom w:val="single" w:color="CCCCCC" w:sz="4"/>
              <w:right w:val="single" w:color="CCCCCC" w:sz="4"/>
            </w:tcBorders>
            <w:shd w:fill="8B00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Capital</w:t>
            </w:r>
          </w:p>
        </w:tc>
        <w:tc>
          <w:tcPr>
            <w:tcW w:type="dxa" w:w="1600"/>
            <w:tcBorders>
              <w:top w:val="single" w:color="CCCCCC" w:sz="4"/>
              <w:left w:val="single" w:color="CCCCCC" w:sz="4"/>
              <w:bottom w:val="single" w:color="CCCCCC" w:sz="4"/>
              <w:right w:val="single" w:color="CCCCCC" w:sz="4"/>
            </w:tcBorders>
            <w:shd w:fill="0E6B8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504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Drivers</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w:t>
            </w:r>
          </w:p>
        </w:tc>
        <w:tc>
          <w:tcPr>
            <w:tcW w:type="dxa" w:w="1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jc w:val="center"/>
            </w:pPr>
            <w:r>
              <w:rPr>
                <w:rFonts w:ascii="Arial" w:cs="Arial" w:eastAsia="Arial" w:hAnsi="Arial"/>
                <w:b/>
                <w:bCs/>
                <w:color w:val="8B0000"/>
                <w:sz w:val="19"/>
                <w:szCs w:val="19"/>
              </w:rPr>
              <w:t xml:space="preserve">$8,000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0E6B8A"/>
                <w:sz w:val="19"/>
                <w:szCs w:val="19"/>
              </w:rPr>
              <w:t xml:space="preserve">CEM</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CRE = RC + Add-on (5% × $10m for 5yr credit contract) = $500k EAD. OECD bank = 20% RW. Capital = $8k (counterparty only). No recognition of credit hedge benefit.</w:t>
            </w:r>
          </w:p>
        </w:tc>
      </w:tr>
      <w:tr>
        <w:tc>
          <w:tcPr>
            <w:tcW w:type="dxa" w:w="14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II</w:t>
            </w:r>
          </w:p>
        </w:tc>
        <w:tc>
          <w:tcPr>
            <w:tcW w:type="dxa" w:w="1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pPr>
              <w:jc w:val="center"/>
            </w:pPr>
            <w:r>
              <w:rPr>
                <w:rFonts w:ascii="Arial" w:cs="Arial" w:eastAsia="Arial" w:hAnsi="Arial"/>
                <w:b/>
                <w:bCs/>
                <w:color w:val="8B0000"/>
                <w:sz w:val="19"/>
                <w:szCs w:val="19"/>
              </w:rPr>
              <w:t xml:space="preserve">$9,600</w:t>
            </w:r>
          </w:p>
        </w:tc>
        <w:tc>
          <w:tcPr>
            <w:tcW w:type="dxa" w:w="16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0E6B8A"/>
                <w:sz w:val="19"/>
                <w:szCs w:val="19"/>
              </w:rPr>
              <w:t xml:space="preserve">SA / IRB</w:t>
            </w:r>
          </w:p>
        </w:tc>
        <w:tc>
          <w:tcPr>
            <w:tcW w:type="dxa" w:w="50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AA dealer bank: 20% RW under SA. EAD $600k (CEM with add-on). Credit hedge may reduce underlying loan capital via double-default framework (requires specific eligibility conditions).</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III</w:t>
            </w:r>
          </w:p>
        </w:tc>
        <w:tc>
          <w:tcPr>
            <w:tcW w:type="dxa" w:w="1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jc w:val="center"/>
            </w:pPr>
            <w:r>
              <w:rPr>
                <w:rFonts w:ascii="Arial" w:cs="Arial" w:eastAsia="Arial" w:hAnsi="Arial"/>
                <w:b/>
                <w:bCs/>
                <w:color w:val="8B0000"/>
                <w:sz w:val="19"/>
                <w:szCs w:val="19"/>
              </w:rPr>
              <w:t xml:space="preserve">~$14,400+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0E6B8A"/>
                <w:sz w:val="19"/>
                <w:szCs w:val="19"/>
              </w:rPr>
              <w:t xml:space="preserve">CEM + CVA</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CEM CCR unchanged. NEW: CVA capital charge for MTM volatility of CDS premium stream: ~$5,000–8,000 for BBB reference at 3-month. Double-default treatment if hedging underlying loan.</w:t>
            </w:r>
          </w:p>
        </w:tc>
      </w:tr>
      <w:tr>
        <w:tc>
          <w:tcPr>
            <w:tcW w:type="dxa" w:w="14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IV</w:t>
            </w:r>
          </w:p>
        </w:tc>
        <w:tc>
          <w:tcPr>
            <w:tcW w:type="dxa" w:w="1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pPr>
              <w:jc w:val="center"/>
            </w:pPr>
            <w:r>
              <w:rPr>
                <w:rFonts w:ascii="Arial" w:cs="Arial" w:eastAsia="Arial" w:hAnsi="Arial"/>
                <w:b/>
                <w:bCs/>
                <w:color w:val="8B0000"/>
                <w:sz w:val="19"/>
                <w:szCs w:val="19"/>
              </w:rPr>
              <w:t xml:space="preserve">~$18,000+</w:t>
            </w:r>
          </w:p>
        </w:tc>
        <w:tc>
          <w:tcPr>
            <w:tcW w:type="dxa" w:w="16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0E6B8A"/>
                <w:sz w:val="19"/>
                <w:szCs w:val="19"/>
              </w:rPr>
              <w:t xml:space="preserve">SA-CCR + FRTB-CVA</w:t>
            </w:r>
          </w:p>
        </w:tc>
        <w:tc>
          <w:tcPr>
            <w:tcW w:type="dxa" w:w="50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SA-CCR: credit derivative supervisory factor 5% for investment-grade reference entity. FRTB: credit spread sensitivity if in trading book. SA-CVA with explicit hedge recognition.</w:t>
            </w:r>
          </w:p>
        </w:tc>
      </w:tr>
    </w:tbl>
    <w:p>
      <w:pPr>
        <w:spacing w:before="40" w:after="60"/>
        <w:jc w:val="left"/>
      </w:pP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8B0000" w:val="clear"/>
          </w:tcPr>
          <w:p>
            <w:pPr>
              <w:jc w:val="center"/>
            </w:pPr>
            <w:r>
              <w:rPr>
                <w:rFonts w:ascii="Arial" w:cs="Arial" w:eastAsia="Arial" w:hAnsi="Arial"/>
                <w:b/>
                <w:bCs/>
                <w:color w:val="FFFFFF"/>
                <w:sz w:val="18"/>
                <w:szCs w:val="18"/>
              </w:rPr>
              <w:t xml:space="preserve">KEY CONCEPT</w:t>
            </w:r>
          </w:p>
        </w:tc>
        <w:tc>
          <w:tcPr>
            <w:tcW w:type="dxa" w:w="7960"/>
            <w:shd w:fill="D6EAF8" w:val="clear"/>
          </w:tcPr>
          <w:p>
            <w:r>
              <w:rPr>
                <w:rFonts w:ascii="Arial" w:cs="Arial" w:eastAsia="Arial" w:hAnsi="Arial"/>
                <w:color w:val="333333"/>
                <w:sz w:val="19"/>
                <w:szCs w:val="19"/>
              </w:rPr>
              <w:t xml:space="preserve">A CDS introduces counterparty risk on the protection seller in addition to the original credit risk on the reference entity. Basel III/IV require capital for both. The double-default framework (Basel II/III) can reduce required capital if the bank is genuinely hedging an underlying exposure, subject to strict eligibility requirements.</w:t>
            </w:r>
          </w:p>
        </w:tc>
      </w:tr>
    </w:tbl>
    <w:p>
      <w:r>
        <w:br w:type="page"/>
      </w:r>
    </w:p>
    <w:p>
      <w:pPr>
        <w:pStyle w:val="Heading1"/>
        <w:spacing w:before="240" w:after="80"/>
        <w:pBdr>
          <w:bottom w:val="single" w:sz="6" w:color="1B3A6B" w:space="1"/>
        </w:pBdr>
        <w:outlineLvl w:val="0"/>
      </w:pPr>
      <w:r>
        <w:rPr>
          <w:rFonts w:ascii="Arial" w:cs="Arial" w:eastAsia="Arial" w:hAnsi="Arial"/>
          <w:b/>
          <w:bCs/>
          <w:color w:val="1B3A6B"/>
          <w:sz w:val="32"/>
          <w:szCs w:val="32"/>
        </w:rPr>
        <w:t xml:space="preserve">EXAMPLE 5: PRECIOUS METAL FORWARD — GOLD (XAU/USD)</w:t>
      </w:r>
    </w:p>
    <w:p>
      <w:pPr>
        <w:spacing w:before="100" w:after="60"/>
        <w:jc w:val="left"/>
      </w:pPr>
      <w:r>
        <w:rPr>
          <w:rFonts w:ascii="Arial" w:cs="Arial" w:eastAsia="Arial" w:hAnsi="Arial"/>
          <w:color w:val="444444"/>
          <w:sz w:val="20"/>
          <w:szCs w:val="20"/>
        </w:rPr>
        <w:t xml:space="preserve">This example demonstrates commodity derivative treatment under Basel. Gold is an interesting instrument — it is treated as a commodity under Basel's capital rules, not as a currency, despite its behaviour being more FX-like than industrial commodities. The SA-CCR supervisory factor for precious metals is the highest in the commodity asset class.</w:t>
      </w:r>
    </w:p>
    <w:p>
      <w:pPr>
        <w:spacing w:before="240" w:after="80"/>
        <w:pBdr>
          <w:bottom w:val="single" w:sz="6" w:color="1A6B3A" w:space="1"/>
        </w:pBdr>
      </w:pPr>
      <w:r>
        <w:rPr>
          <w:rFonts w:ascii="Arial" w:cs="Arial" w:eastAsia="Arial" w:hAnsi="Arial"/>
          <w:b/>
          <w:bCs/>
          <w:color w:val="1A6B3A"/>
          <w:sz w:val="26"/>
          <w:szCs w:val="26"/>
        </w:rPr>
        <w:t xml:space="preserve">Trade Terms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Instrument</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Gold (XAU/USD) Forward — Precious Metal</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Bank Role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Seller of gold forward (agrees to deliver gold)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Quantity</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1,000 troy ounces</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Forward Price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$2,350/oz</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Total Notional</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$2,350,000</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Tenor</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3 months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Counterparty</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BBB-rated Corporate</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Structure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Bilateral, no margin, MTM at inception = $0</w:t>
            </w:r>
          </w:p>
        </w:tc>
      </w:tr>
    </w:tbl>
    <w:p>
      <w:pPr>
        <w:pStyle w:val="Heading2"/>
        <w:spacing w:before="240" w:after="80"/>
        <w:pBdr>
          <w:bottom w:val="single" w:sz="6" w:color="0E6B8A" w:space="1"/>
        </w:pBdr>
        <w:outlineLvl w:val="1"/>
      </w:pPr>
      <w:r>
        <w:rPr>
          <w:rFonts w:ascii="Arial" w:cs="Arial" w:eastAsia="Arial" w:hAnsi="Arial"/>
          <w:b/>
          <w:bCs/>
          <w:color w:val="0E6B8A"/>
          <w:sz w:val="26"/>
          <w:szCs w:val="26"/>
        </w:rPr>
        <w:t xml:space="preserve">Risk Drivers for the Bank</w:t>
      </w:r>
    </w:p>
    <w:p>
      <w:pPr>
        <w:spacing w:before="60" w:after="60"/>
        <w:jc w:val="left"/>
      </w:pPr>
      <w:r>
        <w:rPr>
          <w:rFonts w:ascii="Arial" w:cs="Arial" w:eastAsia="Arial" w:hAnsi="Arial"/>
          <w:color w:val="444444"/>
          <w:sz w:val="20"/>
          <w:szCs w:val="20"/>
        </w:rPr>
        <w:t xml:space="preserve">As the seller of the gold forward, the bank faces three risk dimensions: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Gold price risk: If gold prices rise before delivery, the bank must deliver at the lower agreed forward price, incurring a mark-to-market loss.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FX risk: Gold is priced in USD. For a bank with a non-USD functional currency, movements in USD/home currency create additional FX exposure.</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Counterparty credit risk: If the BBB corporate buyer defaults before delivery, the bank loses any positive MTM value that has accumulated.</w:t>
      </w:r>
    </w:p>
    <w:p>
      <w:pPr>
        <w:spacing w:before="60" w:after="60"/>
        <w:jc w:val="left"/>
      </w:pPr>
      <w:r>
        <w:rPr>
          <w:rFonts w:ascii="Arial" w:cs="Arial" w:eastAsia="Arial" w:hAnsi="Arial"/>
          <w:color w:val="444444"/>
          <w:sz w:val="20"/>
          <w:szCs w:val="20"/>
        </w:rPr>
        <w:t xml:space="preserve">Gold is classified as a commodity under Basel — not as a currency despite being widely held as a reserve asset. Under SA-CCR, it falls in the 'precious metals' subcategory of the commodity asset class, attracting the highest supervisory factor of 18%.</w:t>
      </w:r>
    </w:p>
    <w:p>
      <w:pPr>
        <w:spacing w:before="240" w:after="80"/>
        <w:pBdr>
          <w:bottom w:val="single" w:sz="6" w:color="1A6B3A" w:space="1"/>
        </w:pBdr>
      </w:pPr>
      <w:r>
        <w:rPr>
          <w:rFonts w:ascii="Arial" w:cs="Arial" w:eastAsia="Arial" w:hAnsi="Arial"/>
          <w:b/>
          <w:bCs/>
          <w:color w:val="1A6B3A"/>
          <w:sz w:val="26"/>
          <w:szCs w:val="26"/>
        </w:rPr>
        <w:t xml:space="preserve">Capital Treatment by Accord</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440"/>
        <w:gridCol w:w="1680"/>
        <w:gridCol w:w="1600"/>
        <w:gridCol w:w="4640"/>
      </w:tblGrid>
      <w:tr>
        <w:tc>
          <w:tcPr>
            <w:tcW w:type="dxa" w:w="1440"/>
            <w:tcBorders>
              <w:top w:val="single" w:color="CCCCCC" w:sz="4"/>
              <w:left w:val="single" w:color="CCCCCC" w:sz="4"/>
              <w:bottom w:val="single" w:color="CCCCCC" w:sz="4"/>
              <w:right w:val="single" w:color="CCCCCC" w:sz="4"/>
            </w:tcBorders>
            <w:shd w:fill="1A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Accord</w:t>
            </w:r>
          </w:p>
        </w:tc>
        <w:tc>
          <w:tcPr>
            <w:tcW w:type="dxa" w:w="1680"/>
            <w:tcBorders>
              <w:top w:val="single" w:color="CCCCCC" w:sz="4"/>
              <w:left w:val="single" w:color="CCCCCC" w:sz="4"/>
              <w:bottom w:val="single" w:color="CCCCCC" w:sz="4"/>
              <w:right w:val="single" w:color="CCCCCC" w:sz="4"/>
            </w:tcBorders>
            <w:shd w:fill="C9A84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Capital</w:t>
            </w:r>
          </w:p>
        </w:tc>
        <w:tc>
          <w:tcPr>
            <w:tcW w:type="dxa" w:w="1600"/>
            <w:tcBorders>
              <w:top w:val="single" w:color="CCCCCC" w:sz="4"/>
              <w:left w:val="single" w:color="CCCCCC" w:sz="4"/>
              <w:bottom w:val="single" w:color="CCCCCC" w:sz="4"/>
              <w:right w:val="single" w:color="CCCCCC" w:sz="4"/>
            </w:tcBorders>
            <w:shd w:fill="0E6B8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464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Drivers</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A6B3A"/>
                <w:sz w:val="19"/>
                <w:szCs w:val="19"/>
              </w:rPr>
              <w:t xml:space="preserve">Basel I</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jc w:val="center"/>
            </w:pPr>
            <w:r>
              <w:rPr>
                <w:rFonts w:ascii="Arial" w:cs="Arial" w:eastAsia="Arial" w:hAnsi="Arial"/>
                <w:b/>
                <w:bCs/>
                <w:color w:val="C9A84C"/>
                <w:sz w:val="19"/>
                <w:szCs w:val="19"/>
              </w:rPr>
              <w:t xml:space="preserve">$28,200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0E6B8A"/>
                <w:sz w:val="19"/>
                <w:szCs w:val="19"/>
              </w:rPr>
              <w:t xml:space="preserve">CEM + RW</w:t>
            </w:r>
          </w:p>
        </w:tc>
        <w:tc>
          <w:tcPr>
            <w:tcW w:type="dxa" w:w="46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Add-on: 15% × $2.35m (commodity &lt;1yr) = $352,500. BBB corporate = 100% RW. Capital = 8% × $352,500 = $28,200. Market risk: none.</w:t>
            </w:r>
          </w:p>
        </w:tc>
      </w:tr>
      <w:tr>
        <w:tc>
          <w:tcPr>
            <w:tcW w:type="dxa" w:w="14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A6B3A"/>
                <w:sz w:val="19"/>
                <w:szCs w:val="19"/>
              </w:rPr>
              <w:t xml:space="preserve">Basel II</w:t>
            </w:r>
          </w:p>
        </w:tc>
        <w:tc>
          <w:tcPr>
            <w:tcW w:type="dxa" w:w="16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pPr>
              <w:jc w:val="center"/>
            </w:pPr>
            <w:r>
              <w:rPr>
                <w:rFonts w:ascii="Arial" w:cs="Arial" w:eastAsia="Arial" w:hAnsi="Arial"/>
                <w:b/>
                <w:bCs/>
                <w:color w:val="C9A84C"/>
                <w:sz w:val="19"/>
                <w:szCs w:val="19"/>
              </w:rPr>
              <w:t xml:space="preserve">$28,200 SA / ~$17,000 IRB</w:t>
            </w:r>
          </w:p>
        </w:tc>
        <w:tc>
          <w:tcPr>
            <w:tcW w:type="dxa" w:w="16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0E6B8A"/>
                <w:sz w:val="19"/>
                <w:szCs w:val="19"/>
              </w:rPr>
              <w:t xml:space="preserve">SA / A-IRB</w:t>
            </w:r>
          </w:p>
        </w:tc>
        <w:tc>
          <w:tcPr>
            <w:tcW w:type="dxa" w:w="46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SA: 100% RW on CEM EAD = $28,200. A-IRB: PD 0.20%, LGD 45% → ~40% capital saving vs SA. Market risk: commodity VaR if in trading book.</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A6B3A"/>
                <w:sz w:val="19"/>
                <w:szCs w:val="19"/>
              </w:rPr>
              <w:t xml:space="preserve">Basel III</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jc w:val="center"/>
            </w:pPr>
            <w:r>
              <w:rPr>
                <w:rFonts w:ascii="Arial" w:cs="Arial" w:eastAsia="Arial" w:hAnsi="Arial"/>
                <w:b/>
                <w:bCs/>
                <w:color w:val="C9A84C"/>
                <w:sz w:val="19"/>
                <w:szCs w:val="19"/>
              </w:rPr>
              <w:t xml:space="preserve">~$34,000+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0E6B8A"/>
                <w:sz w:val="19"/>
                <w:szCs w:val="19"/>
              </w:rPr>
              <w:t xml:space="preserve">CEM + CVA</w:t>
            </w:r>
          </w:p>
        </w:tc>
        <w:tc>
          <w:tcPr>
            <w:tcW w:type="dxa" w:w="46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CEM CCR unchanged. NEW: CVA charge for MTM volatility: ~$6,000–10,000 for BBB corporate at 3-month maturity. SVaR would apply if in trading book.</w:t>
            </w:r>
          </w:p>
        </w:tc>
      </w:tr>
      <w:tr>
        <w:tc>
          <w:tcPr>
            <w:tcW w:type="dxa" w:w="14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A6B3A"/>
                <w:sz w:val="19"/>
                <w:szCs w:val="19"/>
              </w:rPr>
              <w:t xml:space="preserve">Basel IV</w:t>
            </w:r>
          </w:p>
        </w:tc>
        <w:tc>
          <w:tcPr>
            <w:tcW w:type="dxa" w:w="16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pPr>
              <w:jc w:val="center"/>
            </w:pPr>
            <w:r>
              <w:rPr>
                <w:rFonts w:ascii="Arial" w:cs="Arial" w:eastAsia="Arial" w:hAnsi="Arial"/>
                <w:b/>
                <w:bCs/>
                <w:color w:val="C9A84C"/>
                <w:sz w:val="19"/>
                <w:szCs w:val="19"/>
              </w:rPr>
              <w:t xml:space="preserve">~$42,000+</w:t>
            </w:r>
          </w:p>
        </w:tc>
        <w:tc>
          <w:tcPr>
            <w:tcW w:type="dxa" w:w="16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0E6B8A"/>
                <w:sz w:val="19"/>
                <w:szCs w:val="19"/>
              </w:rPr>
              <w:t xml:space="preserve">SA-CCR + FRTB</w:t>
            </w:r>
          </w:p>
        </w:tc>
        <w:tc>
          <w:tcPr>
            <w:tcW w:type="dxa" w:w="46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SA-CCR: commodity supervisory factor 18% (precious metals). Adjusted notional = $2.35m × maturity factor. PFE add-on significant. FRTB: commodity risk factor, 20-day liquidity horizon for gold.</w:t>
            </w:r>
          </w:p>
        </w:tc>
      </w:tr>
    </w:tbl>
    <w:p>
      <w:pPr>
        <w:spacing w:before="40" w:after="60"/>
        <w:jc w:val="left"/>
      </w:pP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1A6B3A" w:val="clear"/>
          </w:tcPr>
          <w:p>
            <w:pPr>
              <w:jc w:val="center"/>
            </w:pPr>
            <w:r>
              <w:rPr>
                <w:rFonts w:ascii="Arial" w:cs="Arial" w:eastAsia="Arial" w:hAnsi="Arial"/>
                <w:b/>
                <w:bCs/>
                <w:color w:val="FFFFFF"/>
                <w:sz w:val="18"/>
                <w:szCs w:val="18"/>
              </w:rPr>
              <w:t xml:space="preserve">COMMODITY NOTE</w:t>
            </w:r>
          </w:p>
        </w:tc>
        <w:tc>
          <w:tcPr>
            <w:tcW w:type="dxa" w:w="7960"/>
            <w:shd w:fill="D6EAF8" w:val="clear"/>
          </w:tcPr>
          <w:p>
            <w:r>
              <w:rPr>
                <w:rFonts w:ascii="Arial" w:cs="Arial" w:eastAsia="Arial" w:hAnsi="Arial"/>
                <w:color w:val="333333"/>
                <w:sz w:val="19"/>
                <w:szCs w:val="19"/>
              </w:rPr>
              <w:t xml:space="preserve">Basel treats precious metals as commodities with SA-CCR supervisory factor of 18% — the highest commodity category, reflecting gold's historical price volatility. Under FRTB, gold is treated as a separate risk factor bucket within the commodity risk class, subject to a 20-day liquidity horizon.</w:t>
            </w:r>
          </w:p>
        </w:tc>
      </w:tr>
    </w:tbl>
    <w:p>
      <w:r>
        <w:br w:type="page"/>
      </w:r>
    </w:p>
    <w:p>
      <w:pPr>
        <w:pStyle w:val="Heading1"/>
        <w:spacing w:before="0" w:after="80"/>
        <w:outlineLvl w:val="0"/>
      </w:pPr>
      <w:r>
        <w:rPr>
          <w:rFonts w:ascii="Arial" w:cs="Arial" w:eastAsia="Arial" w:hAnsi="Arial"/>
          <w:b/>
          <w:bCs/>
          <w:color w:val="1B3A6B"/>
          <w:sz w:val="40"/>
          <w:szCs w:val="40"/>
        </w:rPr>
        <w:t xml:space="preserve">Summary Reference</w:t>
      </w:r>
    </w:p>
    <w:p>
      <w:pPr>
        <w:spacing w:before="0" w:after="200"/>
      </w:pPr>
      <w:r>
        <w:rPr>
          <w:rFonts w:ascii="Arial" w:cs="Arial" w:eastAsia="Arial" w:hAnsi="Arial"/>
          <w:i/>
          <w:iCs/>
          <w:color w:val="0E6B8A"/>
          <w:sz w:val="22"/>
          <w:szCs w:val="22"/>
        </w:rPr>
        <w:t xml:space="preserve">Basel I → IV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15"/>
        <w:gridCol w:w="1815"/>
        <w:gridCol w:w="1815"/>
        <w:gridCol w:w="1815"/>
      </w:tblGrid>
      <w:tr>
        <w:tc>
          <w:tcPr>
            <w:tcW w:type="dxa" w:w="210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Feature</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  (1988)</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II  (2004)</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III  (2010)</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IV  (2017)</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Min CET1 / Core Capital</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 Tier 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 Tier 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4.5% CET1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4.5% CET1 + buffers to 13%+</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Min Total Capital</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 + buffers (to ∼13%)</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 + buffers + output floor</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Credit Risk Method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5 fixed buckets (OECD basis)</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SA (external ratings) / F-IRB / A-IRB</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Refined IRB; enhanced SA</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Constrained IRB; Rev-SA; 72.5% floor</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CCR Method</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CEM</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CEM or IMM (approved)</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CEM / IMM + stressed EPE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SA-CCR mandatory (Basel IV); IMM floor</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CVA Capital</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BA-CVA / SA-CVA introduced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FRTB-CVA (BA-CVA / SA-CVA revised)</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Market Risk</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 (pre-1997)</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VaR 99%/10d (1996 Amdt.)</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VaR + Stressed VaR + IRC + CRM</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FRTB: ES 97.5% + liq. horizons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Operational Risk</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 (implicit)</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BIA / TSA / AMA</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 change to Pillar 1 methodology</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SMA only (AMA abolished)</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Leverage Ratio</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3% Tier 1 / Total Exposure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3% Tier 1 (G-SIB: 3.5%+)</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Liquidity</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LCR + NSFR introduced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LCR + NSFR refined / embedded</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Output Floor</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72.5% of SA RWA (phased 2025–2028)</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Pillar 2 / Pillar 3</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Introduced (ICAAP / disclosure)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Enhanced (stress testing, IRRBB)</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Strengthened (IRRBB standard; Pillar 3 reform)</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Key Driver</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International convergence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Risk sensitivity</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Capital quality + liquidity</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Comparability + model constraint</w:t>
            </w:r>
          </w:p>
        </w:tc>
      </w:tr>
    </w:tbl>
    <w:p>
      <w:pPr>
        <w:spacing w:before="120" w:after="0"/>
      </w:pPr>
      <w:r>
        <w:t xml:space="preserve"/>
      </w:r>
    </w:p>
    <w:p>
      <w:r>
        <w:br w:type="page"/>
      </w:r>
    </w:p>
    <w:p>
      <w:pPr>
        <w:pStyle w:val="Heading1"/>
        <w:spacing w:before="0" w:after="80"/>
        <w:outlineLvl w:val="0"/>
      </w:pPr>
      <w:r>
        <w:rPr>
          <w:rFonts w:ascii="Arial" w:cs="Arial" w:eastAsia="Arial" w:hAnsi="Arial"/>
          <w:b/>
          <w:bCs/>
          <w:color w:val="1B3A6B"/>
          <w:sz w:val="40"/>
          <w:szCs w:val="40"/>
        </w:rPr>
        <w:t xml:space="preserve">Critical Review &amp; Corrections</w:t>
      </w:r>
    </w:p>
    <w:p>
      <w:pPr>
        <w:spacing w:before="0" w:after="200"/>
      </w:pPr>
      <w:r>
        <w:rPr>
          <w:rFonts w:ascii="Arial" w:cs="Arial" w:eastAsia="Arial" w:hAnsi="Arial"/>
          <w:i/>
          <w:iCs/>
          <w:color w:val="0E6B8A"/>
          <w:sz w:val="22"/>
          <w:szCs w:val="22"/>
        </w:rPr>
        <w:t xml:space="preserve">Self-Assessment of Accuracy and Limitations</w:t>
      </w:r>
    </w:p>
    <w:p>
      <w:pPr>
        <w:spacing w:before="60" w:after="120"/>
        <w:jc w:val="left"/>
      </w:pPr>
      <w:r>
        <w:rPr>
          <w:rFonts w:ascii="Arial" w:cs="Arial" w:eastAsia="Arial" w:hAnsi="Arial"/>
          <w:i/>
          <w:iCs/>
          <w:color w:val="888888"/>
          <w:sz w:val="20"/>
          <w:szCs w:val="20"/>
        </w:rPr>
        <w:t xml:space="preserve">The following identifies material inaccuracies, oversimplifications, and caveats in this document. These are flagged throughout the text with CORRECTION boxes. Readers should treat all worked example capital figures as illustrative orders of magnitude only.</w:t>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CONFIRMED ERRORS CORRECTED IN THIS VERSION</w:t>
      </w:r>
    </w:p>
    <w:p>
      <w:pPr>
        <w:spacing w:before="180" w:after="60"/>
      </w:pPr>
      <w:r>
        <w:rPr>
          <w:rFonts w:ascii="Arial" w:cs="Arial" w:eastAsia="Arial" w:hAnsi="Arial"/>
          <w:b/>
          <w:bCs/>
          <w:color w:val="0E6B8A"/>
          <w:sz w:val="22"/>
          <w:szCs w:val="22"/>
        </w:rPr>
        <w:t xml:space="preserve">1. BCBS Founding Membership — Basel I</w:t>
      </w:r>
    </w:p>
    <w:p>
      <w:pPr>
        <w:spacing w:before="60" w:after="60"/>
        <w:jc w:val="left"/>
      </w:pPr>
      <w:r>
        <w:rPr>
          <w:rFonts w:ascii="Arial" w:cs="Arial" w:eastAsia="Arial" w:hAnsi="Arial"/>
          <w:color w:val="333333"/>
          <w:sz w:val="20"/>
          <w:szCs w:val="20"/>
        </w:rPr>
        <w:t xml:space="preserve">The original draft stated '14 countries signed the accord'. The BCBS was founded by the G10 central bank governors, comprising 12 countries (Belgium, Canada, France, Germany, Italy, Japan, Luxembourg, Netherlands, Sweden, Switzerland, United Kingdom, United States). The 1988 Accord was a product of these 12 member jurisdictions. [Source: BCBS History, BIS.org]</w:t>
      </w:r>
    </w:p>
    <w:p>
      <w:pPr>
        <w:spacing w:before="40" w:after="0"/>
      </w:pPr>
      <w:r>
        <w:t xml:space="preserve"/>
      </w:r>
    </w:p>
    <w:p>
      <w:pPr>
        <w:spacing w:before="180" w:after="60"/>
      </w:pPr>
      <w:r>
        <w:rPr>
          <w:rFonts w:ascii="Arial" w:cs="Arial" w:eastAsia="Arial" w:hAnsi="Arial"/>
          <w:b/>
          <w:bCs/>
          <w:color w:val="0E6B8A"/>
          <w:sz w:val="22"/>
          <w:szCs w:val="22"/>
        </w:rPr>
        <w:t xml:space="preserve">2. SA-CCR Attribution — Assigned to Wrong Accord</w:t>
      </w:r>
    </w:p>
    <w:p>
      <w:pPr>
        <w:spacing w:before="60" w:after="60"/>
        <w:jc w:val="left"/>
      </w:pPr>
      <w:r>
        <w:rPr>
          <w:rFonts w:ascii="Arial" w:cs="Arial" w:eastAsia="Arial" w:hAnsi="Arial"/>
          <w:color w:val="333333"/>
          <w:sz w:val="20"/>
          <w:szCs w:val="20"/>
        </w:rPr>
        <w:t xml:space="preserve">SA-CCR was incorrectly described as a Basel III introduction. SA-CCR was finalised by the BCBS in March 2014 (post-Basel III publication) and is correctly a Basel IV/CRR2 element. Under Basel III, the operative non-model CCR approach remained CEM (Current Exposure Method), with IMM available for approved banks. SA-CCR replaced CEM only under Basel IV (CRR2 in EU, effective 2022; US NPR 2023). [Source: BCBS, 'The standardised approach for measuring counterparty credit risk exposures', March 2014]</w:t>
      </w:r>
    </w:p>
    <w:p>
      <w:pPr>
        <w:spacing w:before="40" w:after="0"/>
      </w:pPr>
      <w:r>
        <w:t xml:space="preserve"/>
      </w:r>
    </w:p>
    <w:p>
      <w:pPr>
        <w:spacing w:before="180" w:after="60"/>
      </w:pPr>
      <w:r>
        <w:rPr>
          <w:rFonts w:ascii="Arial" w:cs="Arial" w:eastAsia="Arial" w:hAnsi="Arial"/>
          <w:b/>
          <w:bCs/>
          <w:color w:val="0E6B8A"/>
          <w:sz w:val="22"/>
          <w:szCs w:val="22"/>
        </w:rPr>
        <w:t xml:space="preserve">3. SA Equity Specific Risk Charge for Index Options</w:t>
      </w:r>
    </w:p>
    <w:p>
      <w:pPr>
        <w:spacing w:before="60" w:after="60"/>
        <w:jc w:val="left"/>
      </w:pPr>
      <w:r>
        <w:rPr>
          <w:rFonts w:ascii="Arial" w:cs="Arial" w:eastAsia="Arial" w:hAnsi="Arial"/>
          <w:color w:val="333333"/>
          <w:sz w:val="20"/>
          <w:szCs w:val="20"/>
        </w:rPr>
        <w:t xml:space="preserve">The document incorrectly applied an 8% specific risk charge to the FTSE 100 index call option. Under the Basel II/III Standardised Approach (Annex 1, Market Risk), diversified equity index positions may attract a reduced or zero specific risk charge, as index risk is considered largely systematic. The 8% specific risk charge applies to individual equity names. For a qualifying index, the specific risk charge is 0% (or 2% for some indices). Only the general market risk charge of 8% of the net delta-weighted position applies to the index. The worked example has been corrected accordingly.</w:t>
      </w:r>
    </w:p>
    <w:p>
      <w:pPr>
        <w:spacing w:before="40" w:after="0"/>
      </w:pPr>
      <w:r>
        <w:t xml:space="preserve"/>
      </w:r>
    </w:p>
    <w:p>
      <w:pPr>
        <w:spacing w:before="180" w:after="60"/>
      </w:pPr>
      <w:r>
        <w:rPr>
          <w:rFonts w:ascii="Arial" w:cs="Arial" w:eastAsia="Arial" w:hAnsi="Arial"/>
          <w:b/>
          <w:bCs/>
          <w:color w:val="0E6B8A"/>
          <w:sz w:val="22"/>
          <w:szCs w:val="22"/>
        </w:rPr>
        <w:t xml:space="preserve">4. SA-CCR Duration Factor Formula</w:t>
      </w:r>
    </w:p>
    <w:p>
      <w:pPr>
        <w:spacing w:before="60" w:after="60"/>
        <w:jc w:val="left"/>
      </w:pPr>
      <w:r>
        <w:rPr>
          <w:rFonts w:ascii="Arial" w:cs="Arial" w:eastAsia="Arial" w:hAnsi="Arial"/>
          <w:color w:val="333333"/>
          <w:sz w:val="20"/>
          <w:szCs w:val="20"/>
        </w:rPr>
        <w:t xml:space="preserve">The original text described the SA-CCR supervisory duration factor as '0.85 × ln(1+T)/T'. This was incorrect. The BCBS SA-CCR framework (March 2014, para. 157) defines the supervisory duration as: SD = (exp(-0.05 × S) - exp(-0.05 × E)) / 0.05, where S is the start date and E the end date in years from today. For a 5-year swap starting today, S=0 and E=5, giving SD = (1 - exp(-0.25)) / 0.05 ≈ 4.42 years. Adjusted notional = trade notional × SD. The worked example has been corrected to use this formula.</w:t>
      </w:r>
    </w:p>
    <w:p>
      <w:pPr>
        <w:spacing w:before="40" w:after="0"/>
      </w:pPr>
      <w:r>
        <w:t xml:space="preserve"/>
      </w:r>
    </w:p>
    <w:p>
      <w:pPr>
        <w:spacing w:before="180" w:after="60"/>
      </w:pPr>
      <w:r>
        <w:rPr>
          <w:rFonts w:ascii="Arial" w:cs="Arial" w:eastAsia="Arial" w:hAnsi="Arial"/>
          <w:b/>
          <w:bCs/>
          <w:color w:val="0E6B8A"/>
          <w:sz w:val="22"/>
          <w:szCs w:val="22"/>
        </w:rPr>
        <w:t xml:space="preserve">5. Market Risk Capital Formula Expression</w:t>
      </w:r>
    </w:p>
    <w:p>
      <w:pPr>
        <w:spacing w:before="60" w:after="60"/>
        <w:jc w:val="left"/>
      </w:pPr>
      <w:r>
        <w:rPr>
          <w:rFonts w:ascii="Arial" w:cs="Arial" w:eastAsia="Arial" w:hAnsi="Arial"/>
          <w:color w:val="333333"/>
          <w:sz w:val="20"/>
          <w:szCs w:val="20"/>
        </w:rPr>
        <w:t xml:space="preserve">The original formula expression 'max(VaR, multiplier × avg VaR) × (1/10 for daily, scaled to 10-day hold)' was ambiguous and technically imprecise. Under the 1996 Amendment and Basel II, VaR is calculated directly on a 10-day holding period (or scaled from 1-day VaR by √10). The capital charge is: max(VaR_t-1, mc × (1/60) × Σ VaR_t-i for i=1..60), where VaR is already expressed on a 10-day basis. The formula has been restated clearly.</w:t>
      </w:r>
    </w:p>
    <w:p>
      <w:pPr>
        <w:spacing w:before="40" w:after="0"/>
      </w:pPr>
      <w:r>
        <w:t xml:space="preserve"/>
      </w:r>
    </w:p>
    <w:p>
      <w:pPr>
        <w:spacing w:before="180" w:after="60"/>
      </w:pPr>
      <w:r>
        <w:rPr>
          <w:rFonts w:ascii="Arial" w:cs="Arial" w:eastAsia="Arial" w:hAnsi="Arial"/>
          <w:b/>
          <w:bCs/>
          <w:color w:val="0E6B8A"/>
          <w:sz w:val="22"/>
          <w:szCs w:val="22"/>
        </w:rPr>
        <w:t xml:space="preserve">6. Countercyclical Buffer — Incomplete Description</w:t>
      </w:r>
    </w:p>
    <w:p>
      <w:pPr>
        <w:spacing w:before="60" w:after="60"/>
        <w:jc w:val="left"/>
      </w:pPr>
      <w:r>
        <w:rPr>
          <w:rFonts w:ascii="Arial" w:cs="Arial" w:eastAsia="Arial" w:hAnsi="Arial"/>
          <w:color w:val="333333"/>
          <w:sz w:val="20"/>
          <w:szCs w:val="20"/>
        </w:rPr>
        <w:t xml:space="preserve">The CCyB was described only as being 'set in periods of excess credit growth'. This omits the equally important release mechanism: the CCyB is explicitly designed to be released rapidly in downturns to support bank lending capacity. The release function is central to the macro-prudential logic of the buffer and is now noted in the Basel III section.</w:t>
      </w:r>
    </w:p>
    <w:p>
      <w:pPr>
        <w:spacing w:before="4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ANALYTICAL CAVEATS AND SIMPLIFICATIONS</w:t>
      </w:r>
    </w:p>
    <w:p>
      <w:pPr>
        <w:pStyle w:val="ListParagraph"/>
        <w:numPr>
          <w:ilvl w:val="0"/>
          <w:numId w:val="2"/>
        </w:numPr>
        <w:spacing w:before="40" w:after="40"/>
      </w:pPr>
      <w:r>
        <w:rPr>
          <w:rFonts w:ascii="Arial" w:cs="Arial" w:eastAsia="Arial" w:hAnsi="Arial"/>
          <w:color w:val="333333"/>
          <w:sz w:val="20"/>
          <w:szCs w:val="20"/>
        </w:rPr>
        <w:t xml:space="preserve">All capital figures in worked examples are single-trade, standalone calculations. In practice, capital is calculated at portfolio level with netting sets, margin agreements, and diversification effects that can substantially reduce (or in wrong-way risk scenarios, increase) the figures shown.</w:t>
      </w:r>
    </w:p>
    <w:p>
      <w:pPr>
        <w:pStyle w:val="ListParagraph"/>
        <w:numPr>
          <w:ilvl w:val="0"/>
          <w:numId w:val="2"/>
        </w:numPr>
        <w:spacing w:before="40" w:after="40"/>
      </w:pPr>
      <w:r>
        <w:rPr>
          <w:rFonts w:ascii="Arial" w:cs="Arial" w:eastAsia="Arial" w:hAnsi="Arial"/>
          <w:color w:val="333333"/>
          <w:sz w:val="20"/>
          <w:szCs w:val="20"/>
        </w:rPr>
        <w:t xml:space="preserve">The IRB capital formula results in the examples are derived from the BCBS supervisory formula but use simplified parameter assumptions. Actual IRB outputs depend on maturity adjustment, firm-size adjustment, and portfolio-specific correlation assumptions.</w:t>
      </w:r>
    </w:p>
    <w:p>
      <w:pPr>
        <w:pStyle w:val="ListParagraph"/>
        <w:numPr>
          <w:ilvl w:val="0"/>
          <w:numId w:val="2"/>
        </w:numPr>
        <w:spacing w:before="40" w:after="40"/>
      </w:pPr>
      <w:r>
        <w:rPr>
          <w:rFonts w:ascii="Arial" w:cs="Arial" w:eastAsia="Arial" w:hAnsi="Arial"/>
          <w:color w:val="333333"/>
          <w:sz w:val="20"/>
          <w:szCs w:val="20"/>
        </w:rPr>
        <w:t xml:space="preserve">The output floor examples assume the internal model RWA is calculated in isolation. In practice, the floor applies at the aggregate level across all risk types, and its binding effect depends on the full portfolio composition.</w:t>
      </w:r>
    </w:p>
    <w:p>
      <w:pPr>
        <w:pStyle w:val="ListParagraph"/>
        <w:numPr>
          <w:ilvl w:val="0"/>
          <w:numId w:val="2"/>
        </w:numPr>
        <w:spacing w:before="40" w:after="40"/>
      </w:pPr>
      <w:r>
        <w:rPr>
          <w:rFonts w:ascii="Arial" w:cs="Arial" w:eastAsia="Arial" w:hAnsi="Arial"/>
          <w:color w:val="333333"/>
          <w:sz w:val="20"/>
          <w:szCs w:val="20"/>
        </w:rPr>
        <w:t xml:space="preserve">CVA capital figures use the Basic Approach (BA-CVA) approximation. Actual CVA capital under the Standardised Approach (SA-CVA) is computed from sensitivity-based Greeks and is hedging-dependent.</w:t>
      </w:r>
    </w:p>
    <w:p>
      <w:pPr>
        <w:pStyle w:val="ListParagraph"/>
        <w:numPr>
          <w:ilvl w:val="0"/>
          <w:numId w:val="2"/>
        </w:numPr>
        <w:spacing w:before="40" w:after="40"/>
      </w:pPr>
      <w:r>
        <w:rPr>
          <w:rFonts w:ascii="Arial" w:cs="Arial" w:eastAsia="Arial" w:hAnsi="Arial"/>
          <w:color w:val="333333"/>
          <w:sz w:val="20"/>
          <w:szCs w:val="20"/>
        </w:rPr>
        <w:t xml:space="preserve">FRTB capital estimates are inherently illustrative: actual IMA capital depends on desk-level ES model structure, correlation assumptions, and NMRF assessment outcomes specific to each bank's data infrastructure.</w:t>
      </w:r>
    </w:p>
    <w:p>
      <w:pPr>
        <w:pStyle w:val="ListParagraph"/>
        <w:numPr>
          <w:ilvl w:val="0"/>
          <w:numId w:val="2"/>
        </w:numPr>
        <w:spacing w:before="40" w:after="40"/>
      </w:pPr>
      <w:r>
        <w:rPr>
          <w:rFonts w:ascii="Arial" w:cs="Arial" w:eastAsia="Arial" w:hAnsi="Arial"/>
          <w:color w:val="333333"/>
          <w:sz w:val="20"/>
          <w:szCs w:val="20"/>
        </w:rPr>
        <w:t xml:space="preserve">The document focuses on Pillar 1 minimum capital. Pillar 2 add-ons (SREP buffers, stress-testing overlays, model risk charges) are omitted and can be materially larger than Pillar 1 requirements for complex institutions.</w:t>
      </w:r>
    </w:p>
    <w:p>
      <w:pPr>
        <w:pStyle w:val="ListParagraph"/>
        <w:numPr>
          <w:ilvl w:val="0"/>
          <w:numId w:val="2"/>
        </w:numPr>
        <w:spacing w:before="40" w:after="40"/>
      </w:pPr>
      <w:r>
        <w:rPr>
          <w:rFonts w:ascii="Arial" w:cs="Arial" w:eastAsia="Arial" w:hAnsi="Arial"/>
          <w:color w:val="333333"/>
          <w:sz w:val="20"/>
          <w:szCs w:val="20"/>
        </w:rPr>
        <w:t xml:space="preserve">Jurisdictional implementation varies significantly: EU (CRR/CRR2/CRR3), UK (PRA Rulebook), US (Federal Reserve/OCC rules), APAC (MAS, HKMA, JFSA notices) all introduce local modifications. This document reflects BCBS standards only.</w:t>
      </w:r>
    </w:p>
    <w:p>
      <w:r>
        <w:br w:type="page"/>
      </w:r>
    </w:p>
    <w:p>
      <w:pPr>
        <w:pStyle w:val="Heading1"/>
        <w:spacing w:before="0" w:after="80"/>
        <w:outlineLvl w:val="0"/>
      </w:pPr>
      <w:r>
        <w:rPr>
          <w:rFonts w:ascii="Arial" w:cs="Arial" w:eastAsia="Arial" w:hAnsi="Arial"/>
          <w:b/>
          <w:bCs/>
          <w:color w:val="1B3A6B"/>
          <w:sz w:val="40"/>
          <w:szCs w:val="40"/>
        </w:rPr>
        <w:t xml:space="preserve">References &amp; Further Reading</w:t>
      </w:r>
    </w:p>
    <w:p>
      <w:pPr>
        <w:spacing w:before="0" w:after="200"/>
      </w:pPr>
      <w:r>
        <w:rPr>
          <w:rFonts w:ascii="Arial" w:cs="Arial" w:eastAsia="Arial" w:hAnsi="Arial"/>
          <w:i/>
          <w:iCs/>
          <w:color w:val="0E6B8A"/>
          <w:sz w:val="22"/>
          <w:szCs w:val="22"/>
        </w:rPr>
        <w:t xml:space="preserve">Primary Sources and Practitioner Literature</w:t>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PRIMARY REGULATORY SOURCES (BCBS / BIS)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8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Citation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(1988). 'International Convergence of Capital Measurement and Capital Standards.' Basel: BIS. (Revised 1998.)</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[2]</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BIS. 'History of the Basel Committee.' Available at: bis.org/bcbs/history.htm</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[3]</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(2004, rev. 2006). 'International Convergence of Capital Measurement and Capital Standards: A Revised Framework — Comprehensive Version.'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[4]</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(1996). 'Amendment to the Capital Accord to Incorporate Market Risks.' Basel: BIS. (Updated 2005.)</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[5]</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(2010, rev. 2011). 'Basel III: A global regulatory framework for more resilient banks and banking systems.'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[6]</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(2013). 'Basel III: The Liquidity Coverage Ratio and liquidity risk monitoring tools.' Basel: BIS.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[7]</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(2014). 'Basel III: the net stable funding ratio.'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[8]</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(2011). 'Revisions to the Basel II market risk framework — updated version.' Basel: BIS.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[9]</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(2011). 'Basel III: A global regulatory framework — counterparty credit risk annex.'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[10]</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(2017). 'Basel III: Finalising post-crisis reforms.' Basel: BIS. (Dec 2017.)</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[11]</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(2019). 'Minimum capital requirements for market risk.' Basel: BIS. (Revised Jan 2019 — Final FRTB.)</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[12]</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EBA (2020). 'Basel III monitoring exercise — results based on data as of 31 December 2019.' Luxembourg: EBA.</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[13]</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(2014). 'The standardised approach for measuring counterparty credit risk exposures.' Basel: BIS. (March 2014.)</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[14]</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(2011). 'Application of own credit risk adjustments to derivatives.' Basel: BIS.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[15]</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(2016). 'Standardised Measurement Approach for operational risk.' Basel: BIS. (March 2016.)</w:t>
            </w:r>
          </w:p>
        </w:tc>
      </w:tr>
    </w:tbl>
    <w:p>
      <w:pPr>
        <w:spacing w:before="80" w:after="0"/>
      </w:pPr>
      <w:r>
        <w:t xml:space="preserve"/>
      </w:r>
    </w:p>
    <w:p>
      <w:pPr>
        <w:pStyle w:val="Heading2"/>
        <w:pBdr>
          <w:bottom w:val="single" w:color="0E6B8A" w:sz="10" w:space="4"/>
        </w:pBdr>
        <w:spacing w:before="280" w:after="100"/>
        <w:outlineLvl w:val="1"/>
      </w:pPr>
      <w:r>
        <w:rPr>
          <w:rFonts w:ascii="Arial" w:cs="Arial" w:eastAsia="Arial" w:hAnsi="Arial"/>
          <w:b/>
          <w:bCs/>
          <w:color w:val="1B3A6B"/>
          <w:sz w:val="26"/>
          <w:szCs w:val="26"/>
        </w:rPr>
        <w:t xml:space="preserve">PRACTITIONER AND ACADEMIC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 xVA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Gregory, J. (2020). 'The xVA Challenge: Counterparty Credit Risk, Funding, Collateral, Capital and Initial Margin.' 4th ed. Wiley.</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Roncalli, T. (2020). 'Handbook on Financial Risk Management.' CRC Press / Chapman &amp; Hall.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Basel III Practical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Blundell-Wignall, A. &amp; Atkinson, P. (2010). 'Thinking Beyond Basel III.' OECD Journal: Financial Market Trends, 2010(1).</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FRTB</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Farahvash, P. (2020). 'Asset-Liability and Liquidity Management.' Wiley. Chapter on FRTB implementation.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OpRisk</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Cruz, M., Peters, G. &amp; Shevchenko, P. (2015). 'Fundamental Aspects of Operational Risk and Insurance Analytics.' Wiley.</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Basel IV Comprehensive</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Duponcheele, G., Perraudin, W. &amp; Totouom-Tangho, D. (2017). 'Basel IV: What's Next for Banks?' Risk.net analysis series.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IIF Critique of SMA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IIF (2016). 'Comments on BCBS Consultative Document: Standardised Measurement Approach for Operational Risk.' Institute of International Finance.</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Regulatory Capital Broadly</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Tarullo, D.K. (2008). 'Banking on Basel: The Future of International Financial Regulation.' Peterson Institute for International Economics.</w:t>
            </w:r>
          </w:p>
        </w:tc>
      </w:tr>
    </w:tbl>
    <w:p>
      <w:pPr>
        <w:spacing w:before="80" w:after="0"/>
      </w:pPr>
      <w:r>
        <w:t xml:space="preserve"/>
      </w:r>
    </w:p>
    <w:p>
      <w:pPr>
        <w:spacing w:before="60" w:after="60"/>
        <w:jc w:val="left"/>
      </w:pPr>
      <w:r>
        <w:rPr>
          <w:rFonts w:ascii="Arial" w:cs="Arial" w:eastAsia="Arial" w:hAnsi="Arial"/>
          <w:i/>
          <w:iCs/>
          <w:color w:val="888888"/>
          <w:sz w:val="17"/>
          <w:szCs w:val="17"/>
        </w:rPr>
        <w:t xml:space="preserve">All BCBS documents cited above are freely available at bis.org/bcbs/publ.htm. The BCBS maintains a complete publication archive and FAQ pages for each accord. Readers implementing these frameworks should refer to local jurisdictional rules (EU: CRR/CRR2/CRR3; UK: PRA Rulebook; US: Federal Reserve/OCC/FDIC capital rules; APAC: MAS Notice 637, HKMA SPM, JFSA Guidelines) as these may differ materially from BCBS standards.</w:t>
      </w:r>
    </w:p>
    <w:sectPr>
      <w:headerReference w:type="default" r:id="rId6"/>
      <w:footerReference w:type="default" r:id="rId8"/>
      <w:pgSz w:w="12240" w:h="15840" w:orient="portrait"/>
      <w:pgMar w:top="1080" w:right="1080" w:bottom="1080" w:left="1080" w:header="708" w:footer="708" w:gutter="0"/>
      <w:pgNumType/>
      <w:docGrid w:linePitch="360"/>
    </w:sectPr>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pPr>
              <w:pStyle w:val="Heading1"/>
              <w:outlineLvl w:val="0"/>
            </w:pPr>
            <w:r>
              <w:rPr>
                <w:rFonts w:ascii="Arial" w:cs="Arial" w:eastAsia="Arial" w:hAnsi="Arial"/>
                <w:b/>
                <w:bCs/>
                <w:color w:val="FFFFFF"/>
                <w:sz w:val="32"/>
                <w:szCs w:val="32"/>
              </w:rPr>
              <w:t xml:space="preserve">Glossary of Key Terms &amp; Abbreviations</w:t>
            </w:r>
          </w:p>
        </w:tc>
      </w:tr>
    </w:tbl>
    <w:p>
      <w:pPr>
        <w:spacing w:before="100" w:after="60"/>
        <w:jc w:val="left"/>
      </w:pPr>
      <w:r>
        <w:rPr>
          <w:rFonts w:ascii="Arial" w:cs="Arial" w:eastAsia="Arial" w:hAnsi="Arial"/>
          <w:color w:val="444444"/>
          <w:sz w:val="20"/>
          <w:szCs w:val="20"/>
        </w:rPr>
        <w:t xml:space="preserve">The following definitions cover the key abbreviations used throughout this document. Terms are listed alphabetically.</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000"/>
        <w:gridCol w:w="2200"/>
        <w:gridCol w:w="6160"/>
      </w:tblGrid>
      <w:tr>
        <w:tc>
          <w:tcPr>
            <w:tcW w:type="dxa" w:w="1000"/>
            <w:shd w:fill="1B3A6B" w:val="clear"/>
            <w:tcMar>
              <w:top w:type="dxa" w:w="100"/>
              <w:left w:type="dxa" w:w="180"/>
              <w:bottom w:type="dxa" w:w="100"/>
              <w:right w:type="dxa" w:w="180"/>
            </w:tcMar>
          </w:tcPr>
          <w:p>
            <w:r>
              <w:rPr>
                <w:rFonts w:ascii="Arial" w:cs="Arial" w:eastAsia="Arial" w:hAnsi="Arial"/>
                <w:b/>
                <w:bCs/>
                <w:color w:val="FFFFFF"/>
                <w:sz w:val="19"/>
                <w:szCs w:val="19"/>
              </w:rPr>
              <w:t xml:space="preserve">Abbrev.</w:t>
            </w:r>
          </w:p>
        </w:tc>
        <w:tc>
          <w:tcPr>
            <w:tcW w:type="dxa" w:w="2200"/>
            <w:shd w:fill="1B3A6B" w:val="clear"/>
            <w:tcMar>
              <w:top w:type="dxa" w:w="100"/>
              <w:left w:type="dxa" w:w="180"/>
              <w:bottom w:type="dxa" w:w="100"/>
              <w:right w:type="dxa" w:w="180"/>
            </w:tcMar>
          </w:tcPr>
          <w:p>
            <w:r>
              <w:rPr>
                <w:rFonts w:ascii="Arial" w:cs="Arial" w:eastAsia="Arial" w:hAnsi="Arial"/>
                <w:b/>
                <w:bCs/>
                <w:color w:val="FFFFFF"/>
                <w:sz w:val="19"/>
                <w:szCs w:val="19"/>
              </w:rPr>
              <w:t xml:space="preserve">Full Form</w:t>
            </w:r>
          </w:p>
        </w:tc>
        <w:tc>
          <w:tcPr>
            <w:tcW w:type="dxa" w:w="6160"/>
            <w:shd w:fill="1B3A6B" w:val="clear"/>
            <w:tcMar>
              <w:top w:type="dxa" w:w="100"/>
              <w:left w:type="dxa" w:w="180"/>
              <w:bottom w:type="dxa" w:w="100"/>
              <w:right w:type="dxa" w:w="180"/>
            </w:tcMar>
          </w:tcPr>
          <w:p>
            <w:r>
              <w:rPr>
                <w:rFonts w:ascii="Arial" w:cs="Arial" w:eastAsia="Arial" w:hAnsi="Arial"/>
                <w:b/>
                <w:bCs/>
                <w:color w:val="FFFFFF"/>
                <w:sz w:val="19"/>
                <w:szCs w:val="19"/>
              </w:rPr>
              <w:t xml:space="preserve">Definition</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AMA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Advanced Measurement Approach</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Basel II/III operational risk method allowing banks to model capital using internal loss data and scenario analysis. Abolished under Basel IV by the SMA.</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AT1</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Additional Tier 1</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Capital instruments such as contingent convertible bonds (CoCos) that absorb losses if CET1 falls below a trigger level (typically 5.125% or 7%). Part of the Basel III capital stack.</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BA-CVA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Basic Approach CVA</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Simplified formula-based method for CVA capital charge under Basel IV. Does not require full sensitivity modelling. Used by banks not approved for SA-CVA.</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BCBS</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Basel Committee on Banking Supervision</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international standard-setting body for bank capital regulation, hosted by the BIS in Basel. Founded 1974. 45 members from 28 jurisdictions.</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BIA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Basic Indicator Approach</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Simplest Basel II operational risk method: 15% × average annual gross income over 3 years. Superseded by the SMA under Basel IV.</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BIS</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Bank for International Settlements</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international financial institution that hosts the BCBS and acts as a bank for central banks. Located in Basel, Switzerland.</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CCP</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Central Counterparty</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clearing house that interposes itself between buyer and seller, becoming the counterparty to both sides. Basel III incentivises CCP clearing with a 2% risk weight.</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CCyB</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Countercyclical Capital Buffer</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A 0–2.5% CET1 buffer set by national regulators during periods of excessive credit growth. Released rapidly in downturns to support bank lending capacity.</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CEM</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Current Exposure Method</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Pre-Basel IV method for CCR: Replacement Cost (RC) plus a fixed notional add-on percentage. Replaced by SA-CCR under Basel IV.</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CET1</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Common Equity Tier 1</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Highest quality regulatory capital: common shares plus retained earnings only. Minimum 4.5% of RWA under Basel III/IV.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CoCo</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Contingent Convertible Bond</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hybrid debt instrument that converts to equity or is written down when a bank's capital falls below a trigger level. Qualifies as Additional Tier 1 (AT1).</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CRE</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Credit Risk Equivalent</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 term for the exposure amount used in counterparty credit risk capital calculations for derivatives.</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CVA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Credit Valuation Adjustment</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The market value of counterparty default risk on a derivatives portfolio. Became a Pillar 1 capital charge under Basel III following GFC losses.</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EAD</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Exposure at Default</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estimated exposure at the time of default. One of the three core IRB inputs (PD × LGD × EAD = EL).</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EL</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Expected Loss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Average loss a bank expects: EL = PD × LGD × EAD. Covered by loan loss provisions, not capital. Capital covers unexpected losses above EL.</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ES</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Expected Shortfall</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Average loss given that the loss exceeds a threshold (97.5th percentile under FRTB). Captures tail severity unlike VaR, which only measures the threshold.</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FRTB</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Fundamental Review of the Trading Book</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Basel IV market risk framework. Replaces VaR with Expected Shortfall, introduces liquidity horizons (10–120 days), P&amp;L Attribution Test, and NMRF charges.</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G-SIB</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Global Systemically Important Bank</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A bank whose failure could destabilise the global financial system. Subject to additional CET1 surcharge of 1–3.5% under Basel III/IV.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ICAAP</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Internal Capital Adequacy Assessment Process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bank's own assessment of its capital needs covering all material risks, including those outside Pillar 1. Required under Pillar 2 SREP.</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IRB</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Internal Ratings-Based Approach</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II credit risk methodology where banks use internal models to estimate PD (F-IRB) or PD, LGD, and EAD (A-IRB). Subject to restrictions under Basel 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IRC</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Incremental Risk Charge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Basel III trading book charge for default and credit migration risk over a 1-year horizon at 99.9% confidence. Applied on top of VaR/SVaR.</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LCR</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Liquidity Coverage Ratio</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Ratio of High Quality Liquid Assets to net stressed outflows over 30 days. Must be ≥ 100% under Basel III. Covers short-term liquidity survival.</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LGD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Loss Given Default</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The fraction of EAD lost if the counterparty defaults, after recovery. Expressed as a percentage. Supervisory floor of 25% (secured) and 45% (unsecured) under Basel IV IRB.</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NMRF</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Non-Modellable Risk Factor</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A risk factor under FRTB with insufficient real price observations (fewer than 24 per year). Subject to a punitive standalone stress scenario capital charge.</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NSFR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Net Stable Funding Ratio</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Available Stable Funding ÷ Required Stable Funding over 1 year ≥ 100%. Ensures structural funding stability over a 1-year horizon under Basel III.</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PD</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Probability of Default</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Likelihood that a borrower defaults within a given horizon (typically 1 year). Core IRB input. Floor of 0.05% under Basel 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PFE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Potential Future Exposure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Maximum expected exposure at a future date at a given confidence level. Used in SA-CCR and CEM to capture the risk that a derivative increases in value before maturity.</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RWA</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Risk-Weighted Assets</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denominator of the capital ratio. Assets weighted by their risk to reflect the probability and severity of loss. Capital ratio = Eligible Capital ÷ RWA.</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SA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Standardised Approach</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regulator-prescribed methodology using fixed risk weights or sensitivity factors, as opposed to internal models. Applies to both credit risk (SA-CR) and market risk (FRTB-SA).</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SA-CCR</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Standardised Approach for Counterparty Credit Risk</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IV mandatory method replacing CEM for CCR. Recognises netting, margin, and delta-adjusted notionals. Alpha multiplier of 1.4×.</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SA-CVA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Standardised Approach CVA</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Sensitivity-based method for CVA capital under Basel IV. Consistent with FRTB sensitivities. Explicitly recognises hedges.</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SMA</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Standardised Measurement Approach</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IV single operational risk capital method replacing BIA, TSA, and AMA. Based on a Business Indicator formula with marginal rates of 12–18%.</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SVaR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Stressed Value at Risk</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VaR calculation using a historical stress period (typically 2007–09) to measure market risk under crisis conditions. Introduced under Basel III.</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TSA</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Standardised Approach (Operational Risk)</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II method applying beta factors (12–18%) to gross income across 8 defined business lines. Replaced by SMA under Basel 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VaR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Value at Risk</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Maximum loss not exceeded at a given confidence level (99%) over a given holding period (10 days under 1996 Amendment/Basel II). Replaced by ES under FRTB.</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WWR</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Wrong-Way Risk</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adverse correlation where exposure to a counterparty increases at the same time as the counterparty's credit quality deteriorates — amplifying counterparty credit risk.</w:t>
            </w:r>
          </w:p>
        </w:tc>
      </w:tr>
    </w:tbl>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0" w:after="0"/>
    </w:pPr>
    <w:r>
      <w:rPr>
        <w:rFonts w:ascii="Arial" w:cs="Arial" w:eastAsia="Arial" w:hAnsi="Arial"/>
        <w:color w:val="888888"/>
        <w:sz w:val="16"/>
        <w:szCs w:val="16"/>
      </w:rPr>
      <w:t xml:space="preserve">Authors: Sarthaka Nanda  |  Claude (Anthropic)</w:t>
    </w:r>
    <w:r>
      <w:rPr>
        <w:rFonts w:ascii="Arial" w:cs="Arial" w:eastAsia="Arial" w:hAnsi="Arial"/>
      </w:rPr>
      <w:t xml:space="preserve">	</w:t>
    </w:r>
    <w:r>
      <w:rPr>
        <w:rFonts w:ascii="Arial" w:cs="Arial" w:eastAsia="Arial" w:hAnsi="Arial"/>
        <w:i/>
        <w:iCs/>
        <w:color w:val="AAAAAA"/>
        <w:sz w:val="15"/>
        <w:szCs w:val="15"/>
      </w:rPr>
      <w:t xml:space="preserve">Practitioner expertise: Sarthaka Nanda  |  Structure, drafting &amp; formatting: Claude (Anthropic)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0"/>
    </w:pPr>
    <w:r>
      <w:rPr>
        <w:rFonts w:ascii="Arial" w:cs="Arial" w:eastAsia="Arial" w:hAnsi="Arial"/>
        <w:color w:val="888888"/>
        <w:sz w:val="16"/>
        <w:szCs w:val="16"/>
      </w:rPr>
      <w:t xml:space="preserve">Basel Accord Evolution: Credit, Market &amp; Operational Risk</w:t>
    </w:r>
    <w:r>
      <w:rPr>
        <w:rFonts w:ascii="Arial" w:cs="Arial" w:eastAsia="Arial" w:hAnsi="Arial"/>
      </w:rPr>
      <w:t xml:space="preserv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40" w:after="80"/>
      <w:outlineLvl w:val="0"/>
    </w:pPr>
    <w:rPr>
      <w:rFonts w:ascii="Arial" w:hAnsi="Arial" w:cs="Arial"/>
      <w:b/>
      <w:bCs/>
      <w:color w:val="1B3A6B"/>
      <w:sz w:val="32"/>
      <w:szCs w:val="32"/>
    </w:rPr>
  </w:style>
  <w:style w:type="paragraph" w:styleId="Heading2">
    <w:name w:val="Heading 2"/>
    <w:basedOn w:val="Normal"/>
    <w:next w:val="Normal"/>
    <w:qFormat/>
    <w:pPr>
      <w:spacing w:before="180" w:after="60"/>
      <w:outlineLvl w:val="1"/>
    </w:pPr>
    <w:rPr>
      <w:rFonts w:ascii="Arial" w:hAnsi="Arial" w:cs="Arial"/>
      <w:b/>
      <w:bCs/>
      <w:color w:val="0E6B8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 Id="rId8" Type="http://schemas.openxmlformats.org/officeDocument/2006/relationships/footer" Target="footer1.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2026-03-04T08:46:54.651Z</dcterms:created>
  <dcterms:modified xsi:type="dcterms:W3CDTF">2026-03-04T08:46:54.652Z</dcterms:modified>
</cp:coreProperties>
</file>

<file path=docProps/custom.xml><?xml version="1.0" encoding="utf-8"?>
<Properties xmlns="http://schemas.openxmlformats.org/officeDocument/2006/custom-properties" xmlns:vt="http://schemas.openxmlformats.org/officeDocument/2006/docPropsVTypes"/>
</file>