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200"/>
              <w:left w:type="dxa" w:w="720"/>
              <w:bottom w:type="dxa" w:w="1200"/>
              <w:right w:type="dxa" w:w="720"/>
            </w:tcMar>
          </w:tcPr>
          <w:p>
            <w:pPr>
              <w:spacing w:before="0" w:after="80"/>
              <w:jc w:val="center"/>
            </w:pPr>
            <w:r>
              <w:rPr>
                <w:rFonts w:ascii="Arial" w:cs="Arial" w:eastAsia="Arial" w:hAnsi="Arial"/>
                <w:b/>
                <w:bCs/>
                <w:i w:val="false"/>
                <w:iCs w:val="false"/>
                <w:color w:val="C9A84C"/>
                <w:sz w:val="22"/>
                <w:szCs w:val="22"/>
              </w:rPr>
              <w:t xml:space="preserve">MODULE 1  —  PRACTITIONER KNOWLEDGE REPOSITORY</w:t>
            </w:r>
          </w:p>
          <w:p>
            <w:pPr>
              <w:spacing w:before="0" w:after="80"/>
              <w:jc w:val="center"/>
            </w:pPr>
            <w:r>
              <w:rPr>
                <w:rFonts w:ascii="Arial" w:cs="Arial" w:eastAsia="Arial" w:hAnsi="Arial"/>
                <w:b/>
                <w:bCs/>
                <w:i w:val="false"/>
                <w:iCs w:val="false"/>
                <w:color w:val="7799BB"/>
                <w:sz w:val="52"/>
                <w:szCs w:val="52"/>
              </w:rPr>
              <w:t xml:space="preserve">THE BASEL ACCORDS</w:t>
            </w:r>
          </w:p>
          <w:p>
            <w:pPr>
              <w:spacing w:before="0" w:after="80"/>
              <w:jc w:val="center"/>
            </w:pPr>
            <w:r>
              <w:rPr>
                <w:rFonts w:ascii="Arial" w:cs="Arial" w:eastAsia="Arial" w:hAnsi="Arial"/>
                <w:b w:val="false"/>
                <w:bCs w:val="false"/>
                <w:i w:val="false"/>
                <w:iCs w:val="false"/>
                <w:color w:val="AACCEE"/>
                <w:sz w:val="28"/>
                <w:szCs w:val="28"/>
              </w:rPr>
              <w:t xml:space="preserve">From Basel I to Basel IV</w:t>
            </w:r>
          </w:p>
          <w:p>
            <w:pPr>
              <w:spacing w:before="0" w:after="60"/>
              <w:jc w:val="center"/>
            </w:pPr>
            <w:r>
              <w:rPr>
                <w:rFonts w:ascii="Arial" w:cs="Arial" w:eastAsia="Arial" w:hAnsi="Arial"/>
                <w:b w:val="false"/>
                <w:bCs w:val="false"/>
                <w:i w:val="false"/>
                <w:iCs w:val="false"/>
                <w:color w:val="AACCEE"/>
                <w:sz w:val="22"/>
                <w:szCs w:val="22"/>
              </w:rPr>
              <w:t xml:space="preserve">A Practitioner's Reference Guide</w:t>
            </w:r>
          </w:p>
          <w:p>
            <w:pPr>
              <w:spacing w:before="0" w:after="40"/>
              <w:jc w:val="center"/>
            </w:pPr>
            <w:r>
              <w:rPr>
                <w:rFonts w:ascii="Arial" w:cs="Arial" w:eastAsia="Arial" w:hAnsi="Arial"/>
                <w:b w:val="false"/>
                <w:bCs w:val="false"/>
                <w:i w:val="false"/>
                <w:iCs w:val="false"/>
                <w:color w:val="7799BB"/>
                <w:sz w:val="20"/>
                <w:szCs w:val="20"/>
              </w:rPr>
              <w:t xml:space="preserve">Credit Risk  •  Market Risk  •  Operational Risk</w:t>
            </w:r>
          </w:p>
          <w:p>
            <w:pPr>
              <w:spacing w:before="20" w:after="20"/>
              <w:jc w:val="center"/>
            </w:pPr>
            <w:r>
              <w:rPr>
                <w:rFonts w:ascii="Arial" w:cs="Arial" w:eastAsia="Arial" w:hAnsi="Arial"/>
                <w:b w:val="false"/>
                <w:bCs w:val="false"/>
                <w:i w:val="false"/>
                <w:iCs w:val="false"/>
                <w:color w:val="7799BB"/>
                <w:sz w:val="18"/>
                <w:szCs w:val="18"/>
              </w:rPr>
              <w:t xml:space="preserve">Worked Examples: FX Forward  |  Equity Derivative  |  IRS  |  Credit Derivative  |  Precious Metal Forward</w:t>
            </w:r>
          </w:p>
          <w:p>
            <w:pPr>
              <w:spacing w:before="80" w:after="40"/>
              <w:jc w:val="center"/>
            </w:pPr>
            <w:r>
              <w:rPr>
                <w:rFonts w:ascii="Arial" w:cs="Arial" w:eastAsia="Arial" w:hAnsi="Arial"/>
                <w:b w:val="false"/>
                <w:bCs w:val="false"/>
                <w:i/>
                <w:iCs/>
                <w:color w:val="C9A84C"/>
                <w:sz w:val="18"/>
                <w:szCs w:val="18"/>
              </w:rPr>
              <w:t xml:space="preserve">Revised Edition — includes governance architecture framing and community review</w:t>
            </w:r>
          </w:p>
          <w:p>
            <w:pPr>
              <w:spacing w:before="100" w:after="40"/>
              <w:jc w:val="center"/>
            </w:pPr>
            <w:r>
              <w:rPr>
                <w:rFonts w:ascii="Arial" w:cs="Arial" w:eastAsia="Arial" w:hAnsi="Arial"/>
                <w:b/>
                <w:bCs/>
                <w:i w:val="false"/>
                <w:iCs w:val="false"/>
                <w:color w:val="C9A84C"/>
                <w:sz w:val="18"/>
                <w:szCs w:val="18"/>
              </w:rPr>
              <w:t xml:space="preserve">Authors</w:t>
            </w:r>
          </w:p>
          <w:p>
            <w:pPr>
              <w:spacing w:before="20" w:after="20"/>
              <w:jc w:val="center"/>
            </w:pPr>
            <w:r>
              <w:rPr>
                <w:rFonts w:ascii="Arial" w:cs="Arial" w:eastAsia="Arial" w:hAnsi="Arial"/>
                <w:b/>
                <w:bCs/>
                <w:i w:val="false"/>
                <w:iCs w:val="false"/>
                <w:color w:val="FFFFFF"/>
                <w:sz w:val="20"/>
                <w:szCs w:val="20"/>
              </w:rPr>
              <w:t xml:space="preserve">Sarthaka Nanda</w:t>
            </w:r>
            <w:r>
              <w:rPr>
                <w:rFonts w:ascii="Arial" w:cs="Arial" w:eastAsia="Arial" w:hAnsi="Arial"/>
                <w:b w:val="false"/>
                <w:bCs w:val="false"/>
                <w:i w:val="false"/>
                <w:iCs w:val="false"/>
                <w:color w:val="7799BB"/>
                <w:sz w:val="20"/>
                <w:szCs w:val="20"/>
              </w:rPr>
              <w:t xml:space="preserve">  |  Claude (Anthropic)</w:t>
            </w:r>
          </w:p>
          <w:p>
            <w:pPr>
              <w:spacing w:before="10" w:after="60"/>
              <w:jc w:val="center"/>
            </w:pPr>
            <w:r>
              <w:rPr>
                <w:rFonts w:ascii="Arial" w:cs="Arial" w:eastAsia="Arial" w:hAnsi="Arial"/>
                <w:b w:val="false"/>
                <w:bCs w:val="false"/>
                <w:i/>
                <w:iCs/>
                <w:color w:val="5577AA"/>
                <w:sz w:val="16"/>
                <w:szCs w:val="16"/>
              </w:rPr>
              <w:t xml:space="preserve">Practitioner expertise: Sarthaka Nanda  |  Structure, drafting &amp; formatting: Claude (Anthropic)</w:t>
            </w:r>
          </w:p>
          <w:p>
            <w:pPr>
              <w:spacing w:before="40" w:after="20"/>
              <w:jc w:val="center"/>
            </w:pPr>
            <w:r>
              <w:rPr>
                <w:rFonts w:ascii="Arial" w:cs="Arial" w:eastAsia="Arial" w:hAnsi="Arial"/>
                <w:b/>
                <w:bCs/>
                <w:i w:val="false"/>
                <w:iCs w:val="false"/>
                <w:color w:val="C9A84C"/>
                <w:sz w:val="16"/>
                <w:szCs w:val="16"/>
              </w:rPr>
              <w:t xml:space="preserve">Community Review: Gellért Peti</w:t>
            </w:r>
          </w:p>
          <w:p>
            <w:pPr>
              <w:spacing w:before="0" w:after="100"/>
              <w:jc w:val="center"/>
            </w:pPr>
            <w:r>
              <w:rPr>
                <w:rFonts w:ascii="Arial" w:cs="Arial" w:eastAsia="Arial" w:hAnsi="Arial"/>
                <w:b w:val="false"/>
                <w:bCs w:val="false"/>
                <w:i/>
                <w:iCs/>
                <w:color w:val="5577AA"/>
                <w:sz w:val="14"/>
                <w:szCs w:val="14"/>
              </w:rPr>
              <w:t xml:space="preserve">Governance architecture framing, EL/UL depth, Pillar 1/2 distinction, procyclicality, macroprudential layer, distributional assumption critique</w:t>
            </w:r>
          </w:p>
        </w:tc>
      </w:tr>
    </w:tbl>
    <w:p>
      <w:pPr>
        <w:spacing w:before="200" w:after="200"/>
      </w:pPr>
    </w:p>
    <w:p>
      <w:r>
        <w:br w:type="page"/>
      </w:r>
    </w:p>
    <w:p>
      <w:pPr>
        <w:spacing w:before="0" w:after="200"/>
      </w:pPr>
      <w:r>
        <w:rPr>
          <w:rFonts w:ascii="Arial" w:cs="Arial" w:eastAsia="Arial" w:hAnsi="Arial"/>
          <w:b/>
          <w:bCs/>
          <w:i w:val="false"/>
          <w:iCs w:val="false"/>
          <w:color w:val="1B3A6B"/>
          <w:sz w:val="36"/>
          <w:szCs w:val="36"/>
        </w:rPr>
        <w:t xml:space="preserve">Table of Contents</w:t>
      </w:r>
    </w:p>
    <w:p>
      <w:pPr>
        <w:pBdr>
          <w:bottom w:val="single" w:color="1B3A6B" w:sz="6" w:space="1"/>
        </w:pBdr>
        <w:spacing w:before="0" w:after="80"/>
      </w:pPr>
    </w:p>
    <w:p>
      <w:pPr>
        <w:spacing w:before="0" w:after="0"/>
      </w:pPr>
      <w:r>
        <w:rPr>
          <w:rFonts w:ascii="Arial" w:cs="Arial" w:eastAsia="Arial" w:hAnsi="Arial"/>
          <w:color w:val="888888"/>
          <w:sz w:val="18"/>
          <w:szCs w:val="18"/>
        </w:rPr>
        <w:t xml:space="preserve"> TOC \o "1-2" \h \z \u </w:t>
      </w:r>
    </w:p>
    <w:p>
      <w:pPr>
        <w:spacing w:before="40" w:after="0"/>
      </w:pPr>
      <w:r>
        <w:rPr>
          <w:rFonts w:ascii="Arial" w:cs="Arial" w:eastAsia="Arial" w:hAnsi="Arial"/>
          <w:b w:val="false"/>
          <w:bCs w:val="false"/>
          <w:i/>
          <w:iCs/>
          <w:color w:val="888888"/>
          <w:sz w:val="18"/>
          <w:szCs w:val="18"/>
        </w:rPr>
        <w:t xml:space="preserve">[ Open in Word and right-click → Update Field to generate contents ]</w:t>
      </w:r>
    </w:p>
    <w:p>
      <w:r>
        <w:br w:type="page"/>
      </w:r>
    </w:p>
    <w:p>
      <w:pPr>
        <w:pStyle w:val="Heading1"/>
        <w:spacing w:before="240" w:after="80"/>
      </w:pPr>
      <w:r>
        <w:rPr>
          <w:rFonts w:ascii="Arial" w:cs="Arial" w:eastAsia="Arial" w:hAnsi="Arial"/>
          <w:b/>
          <w:bCs/>
          <w:color w:val="1B3A6B"/>
          <w:sz w:val="32"/>
          <w:szCs w:val="32"/>
        </w:rPr>
        <w:t xml:space="preserve">What is the BCBS — and How Does It Work?</w:t>
      </w:r>
    </w:p>
    <w:p>
      <w:pPr>
        <w:spacing w:before="80" w:after="60"/>
      </w:pPr>
      <w:r>
        <w:rPr>
          <w:rFonts w:ascii="Arial" w:cs="Arial" w:eastAsia="Arial" w:hAnsi="Arial"/>
          <w:b w:val="false"/>
          <w:bCs w:val="false"/>
          <w:i w:val="false"/>
          <w:iCs w:val="false"/>
          <w:color w:val="333333"/>
          <w:sz w:val="20"/>
          <w:szCs w:val="20"/>
        </w:rPr>
        <w:t xml:space="preserve">This section introduces the body responsible for creating Basel standards. Understanding the BCBS — what it is, how it functions, and why its standards are not automatically law — is essential context before studying any Basel framework.</w:t>
      </w:r>
    </w:p>
    <w:p>
      <w:pPr>
        <w:pStyle w:val="Heading2"/>
        <w:pBdr>
          <w:bottom w:val="single" w:color="0E6B8A" w:sz="6" w:space="1"/>
        </w:pBdr>
        <w:spacing w:before="200" w:after="60"/>
      </w:pPr>
      <w:r>
        <w:rPr>
          <w:rFonts w:ascii="Arial" w:cs="Arial" w:eastAsia="Arial" w:hAnsi="Arial"/>
          <w:b/>
          <w:bCs/>
          <w:color w:val="0E6B8A"/>
          <w:sz w:val="26"/>
          <w:szCs w:val="26"/>
        </w:rPr>
        <w:t xml:space="preserve">The Basel Committee on Banking Supervision</w:t>
      </w:r>
    </w:p>
    <w:p>
      <w:pPr>
        <w:spacing w:before="60" w:after="60"/>
      </w:pPr>
      <w:r>
        <w:rPr>
          <w:rFonts w:ascii="Arial" w:cs="Arial" w:eastAsia="Arial" w:hAnsi="Arial"/>
          <w:b w:val="false"/>
          <w:bCs w:val="false"/>
          <w:i w:val="false"/>
          <w:iCs w:val="false"/>
          <w:color w:val="333333"/>
          <w:sz w:val="20"/>
          <w:szCs w:val="20"/>
        </w:rPr>
        <w:t xml:space="preserve">The Basel Committee on Banking Supervision (BCBS) is the primary global standard-setter for the prudential regulation of banks. It was founded in 1974 by the G10 central bank governors following the failure of Bankhaus Herstatt, which left counterparties with unrecoverable foreign exchange settlements. The Committee is hosted by the Bank for International Settlements (BIS) in Basel, Switzerland — which is why the capital accords bear the city's name.</w:t>
      </w:r>
    </w:p>
    <w:p>
      <w:pPr>
        <w:spacing w:before="60" w:after="60"/>
      </w:pPr>
      <w:r>
        <w:rPr>
          <w:rFonts w:ascii="Arial" w:cs="Arial" w:eastAsia="Arial" w:hAnsi="Arial"/>
          <w:b w:val="false"/>
          <w:bCs w:val="false"/>
          <w:i w:val="false"/>
          <w:iCs w:val="false"/>
          <w:color w:val="333333"/>
          <w:sz w:val="20"/>
          <w:szCs w:val="20"/>
        </w:rPr>
        <w:t xml:space="preserve">The BCBS currently has 45 members comprising central banks and bank supervisory authorities from 28 jurisdictions, including the US Federal Reserve, European Central Bank, Bank of England, MAS Singapore, People's Bank of China, and Bank of Japan.</w:t>
      </w:r>
    </w:p>
    <w:p>
      <w:pPr>
        <w:pStyle w:val="Heading2"/>
        <w:pBdr>
          <w:bottom w:val="single" w:color="0E6B8A" w:sz="6" w:space="1"/>
        </w:pBdr>
        <w:spacing w:before="200" w:after="60"/>
      </w:pPr>
      <w:r>
        <w:rPr>
          <w:rFonts w:ascii="Arial" w:cs="Arial" w:eastAsia="Arial" w:hAnsi="Arial"/>
          <w:b/>
          <w:bCs/>
          <w:color w:val="0E6B8A"/>
          <w:sz w:val="26"/>
          <w:szCs w:val="26"/>
        </w:rPr>
        <w:t xml:space="preserve">How a Basel Standard is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Stage</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Step 1 — Identify the Problem</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 crisis, supervisory observation, or research paper reveals a gap. Basel I followed the Latin American debt crisis; Basel III followed the 2007–09 GFC.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Step 2 — Consultative Paper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BCBS publishes a discussion paper and invites comment from banks, trade bodies, academics, and the public.</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Step 3 — Quantitative Impact Study (QIS)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Proposed rules are tested on real bank data. Banks participate voluntarily, submitting anonymised portfolio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Step 4 — Final Standard Published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publishes the final rule with an implementation timeline — typically 3–5 years.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Step 5 — National Implementation</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Each member jurisdiction translates the standard into local law. EU: CRR/CRR3; UK: PRA Rulebook; US: Fed/OCC rules; Singapore: MAS Notice 637.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Step 6 — Supervisory Review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National supervisors assess compliance and may impose Pillar 2 add-ons above the Pillar 1 minimum.</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Why BCBS Standards Are Not Automatically Law</w:t>
      </w:r>
    </w:p>
    <w:p>
      <w:pPr>
        <w:spacing w:before="60" w:after="60"/>
      </w:pPr>
      <w:r>
        <w:rPr>
          <w:rFonts w:ascii="Arial" w:cs="Arial" w:eastAsia="Arial" w:hAnsi="Arial"/>
          <w:b w:val="false"/>
          <w:bCs w:val="false"/>
          <w:i w:val="false"/>
          <w:iCs w:val="false"/>
          <w:color w:val="333333"/>
          <w:sz w:val="20"/>
          <w:szCs w:val="20"/>
        </w:rPr>
        <w:t xml:space="preserve">The BCBS does not make law. It issues standards, guidelines, and recommendations. Each member jurisdiction then decides how and when to implement them. This has important practical consequences: Basel IV may be implemented differently in the EU, UK, and US with different phase-in timelines, transitional provisions, and national discretions.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POINT</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When you hear 'Basel IV requires...', the precise obligation depends on which jurisdiction's rulebook you are operating under. Always check local implementation rules alongside the BCBS source text.</w:t>
            </w:r>
          </w:p>
        </w:tc>
      </w:tr>
    </w:tbl>
    <w:p>
      <w:r>
        <w:br w:type="page"/>
      </w:r>
    </w:p>
    <w:p>
      <w:pPr>
        <w:pStyle w:val="Heading1"/>
        <w:spacing w:before="240" w:after="80"/>
      </w:pPr>
      <w:r>
        <w:rPr>
          <w:rFonts w:ascii="Arial" w:cs="Arial" w:eastAsia="Arial" w:hAnsi="Arial"/>
          <w:b/>
          <w:bCs/>
          <w:color w:val="1B3A6B"/>
          <w:sz w:val="32"/>
          <w:szCs w:val="32"/>
        </w:rPr>
        <w:t xml:space="preserve">What is Risk? — The Three Basel Risk Types</w:t>
      </w:r>
    </w:p>
    <w:p>
      <w:pPr>
        <w:spacing w:before="80" w:after="60"/>
      </w:pPr>
      <w:r>
        <w:rPr>
          <w:rFonts w:ascii="Arial" w:cs="Arial" w:eastAsia="Arial" w:hAnsi="Arial"/>
          <w:b w:val="false"/>
          <w:bCs w:val="false"/>
          <w:i w:val="false"/>
          <w:iCs w:val="false"/>
          <w:color w:val="333333"/>
          <w:sz w:val="20"/>
          <w:szCs w:val="20"/>
        </w:rPr>
        <w:t xml:space="preserve">Before studying how Basel calculates capital, it is essential to understand what Basel is protecting against. The framework is built around three formally recognised risk types under Pillar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DEFINITION</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Total Risk (in the Basel sense) = the possibility that a bank suffers unexpected losses large enough to threaten its solvency. Capital is the buffer that absorbs these losses before depositors and creditors are affected. Expected losses are covered by loan loss provisions — capital covers the unexpected portion.</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Credit Risk</w:t>
      </w:r>
    </w:p>
    <w:p>
      <w:pPr>
        <w:spacing w:before="60" w:after="60"/>
      </w:pPr>
      <w:r>
        <w:rPr>
          <w:rFonts w:ascii="Arial" w:cs="Arial" w:eastAsia="Arial" w:hAnsi="Arial"/>
          <w:b w:val="false"/>
          <w:bCs w:val="false"/>
          <w:i w:val="false"/>
          <w:iCs w:val="false"/>
          <w:color w:val="333333"/>
          <w:sz w:val="20"/>
          <w:szCs w:val="20"/>
        </w:rPr>
        <w:t xml:space="preserve">Credit risk is the risk that a borrower, issuer, or counterparty fails to meet its financial obligations in full and on time. It is the oldest and largest risk type for most banks, and the primary focus of Basel I and Basel II.</w:t>
      </w:r>
    </w:p>
    <w:p>
      <w:pPr>
        <w:spacing w:before="60" w:after="60"/>
      </w:pPr>
      <w:r>
        <w:rPr>
          <w:rFonts w:ascii="Arial" w:cs="Arial" w:eastAsia="Arial" w:hAnsi="Arial"/>
          <w:b w:val="false"/>
          <w:bCs w:val="false"/>
          <w:i w:val="false"/>
          <w:iCs w:val="false"/>
          <w:color w:val="333333"/>
          <w:sz w:val="20"/>
          <w:szCs w:val="20"/>
        </w:rPr>
        <w:t xml:space="preserve">Capital covers the unexpected portion of these losses. The expected loss (EL = PD × LGD × EAD) is covered by loan loss provisions already held in the accounts. The job of credit risk capital is to cover the distribution of losses above the expected level.</w:t>
      </w:r>
    </w:p>
    <w:p>
      <w:pPr>
        <w:pStyle w:val="Heading2"/>
        <w:pBdr>
          <w:bottom w:val="single" w:color="0E6B8A" w:sz="6" w:space="1"/>
        </w:pBdr>
        <w:spacing w:before="200" w:after="60"/>
      </w:pPr>
      <w:r>
        <w:rPr>
          <w:rFonts w:ascii="Arial" w:cs="Arial" w:eastAsia="Arial" w:hAnsi="Arial"/>
          <w:b/>
          <w:bCs/>
          <w:color w:val="0E6B8A"/>
          <w:sz w:val="26"/>
          <w:szCs w:val="26"/>
        </w:rPr>
        <w:t xml:space="preserve">Market Risk</w:t>
      </w:r>
    </w:p>
    <w:p>
      <w:pPr>
        <w:spacing w:before="60" w:after="60"/>
      </w:pPr>
      <w:r>
        <w:rPr>
          <w:rFonts w:ascii="Arial" w:cs="Arial" w:eastAsia="Arial" w:hAnsi="Arial"/>
          <w:b w:val="false"/>
          <w:bCs w:val="false"/>
          <w:i w:val="false"/>
          <w:iCs w:val="false"/>
          <w:color w:val="333333"/>
          <w:sz w:val="20"/>
          <w:szCs w:val="20"/>
        </w:rPr>
        <w:t xml:space="preserve">Market risk is the risk of losses arising from adverse movements in market prices — interest rates, foreign exchange rates, equity prices, and commodity prices. It was not formally addressed by Basel until the 1996 Market Risk Amendment to Basel I. FRTB (Fundamental Review of the Trading Book), finalised under Basel IV, is the current framework.</w:t>
      </w:r>
    </w:p>
    <w:p>
      <w:pPr>
        <w:pStyle w:val="Heading2"/>
        <w:pBdr>
          <w:bottom w:val="single" w:color="0E6B8A" w:sz="6" w:space="1"/>
        </w:pBdr>
        <w:spacing w:before="200" w:after="60"/>
      </w:pPr>
      <w:r>
        <w:rPr>
          <w:rFonts w:ascii="Arial" w:cs="Arial" w:eastAsia="Arial" w:hAnsi="Arial"/>
          <w:b/>
          <w:bCs/>
          <w:color w:val="0E6B8A"/>
          <w:sz w:val="26"/>
          <w:szCs w:val="26"/>
        </w:rPr>
        <w:t xml:space="preserve">Operational Risk</w:t>
      </w:r>
    </w:p>
    <w:p>
      <w:pPr>
        <w:spacing w:before="60" w:after="60"/>
      </w:pPr>
      <w:r>
        <w:rPr>
          <w:rFonts w:ascii="Arial" w:cs="Arial" w:eastAsia="Arial" w:hAnsi="Arial"/>
          <w:b w:val="false"/>
          <w:bCs w:val="false"/>
          <w:i w:val="false"/>
          <w:iCs w:val="false"/>
          <w:color w:val="333333"/>
          <w:sz w:val="20"/>
          <w:szCs w:val="20"/>
        </w:rPr>
        <w:t xml:space="preserve">Operational risk is the risk of loss resulting from inadequate or failed internal processes, people, systems, or from external events. First formally captured in Basel II, it remains the hardest risk type to model. The Standardised Measurement Approach (SMA), introduced under Basel IV, replaced all prior operational risk models due to excessive variability between banks.</w:t>
      </w:r>
    </w:p>
    <w:p>
      <w:r>
        <w:br w:type="page"/>
      </w:r>
    </w:p>
    <w:p>
      <w:pPr>
        <w:pStyle w:val="Heading2"/>
        <w:pBdr>
          <w:bottom w:val="single" w:color="0E6B8A" w:sz="6" w:space="1"/>
        </w:pBdr>
        <w:spacing w:before="200" w:after="60"/>
      </w:pPr>
      <w:r>
        <w:rPr>
          <w:rFonts w:ascii="Arial" w:cs="Arial" w:eastAsia="Arial" w:hAnsi="Arial"/>
          <w:b/>
          <w:bCs/>
          <w:color w:val="0E6B8A"/>
          <w:sz w:val="26"/>
          <w:szCs w:val="26"/>
        </w:rPr>
        <w:t xml:space="preserve">What Basel Actually Is — A Governance Architecture, Not a Formula Set</w:t>
      </w:r>
    </w:p>
    <w:p>
      <w:pPr>
        <w:spacing w:before="60" w:after="60"/>
      </w:pPr>
      <w:r>
        <w:rPr>
          <w:rFonts w:ascii="Arial" w:cs="Arial" w:eastAsia="Arial" w:hAnsi="Arial"/>
          <w:b w:val="false"/>
          <w:bCs w:val="false"/>
          <w:i w:val="false"/>
          <w:iCs w:val="false"/>
          <w:color w:val="333333"/>
          <w:sz w:val="20"/>
          <w:szCs w:val="20"/>
        </w:rPr>
        <w:t xml:space="preserve">The Basel Accords are frequently described as a set of capital calculation rules. That description is technically accurate and practically incomplete. A more precise characterisation: Basel is a governance architecture designed to stabilise a fragile financial system by constraining how banks fund risk-taking with borrowed money.</w:t>
      </w:r>
    </w:p>
    <w:p>
      <w:pPr>
        <w:spacing w:before="60" w:after="60"/>
      </w:pPr>
      <w:r>
        <w:rPr>
          <w:rFonts w:ascii="Arial" w:cs="Arial" w:eastAsia="Arial" w:hAnsi="Arial"/>
          <w:b w:val="false"/>
          <w:bCs w:val="false"/>
          <w:i w:val="false"/>
          <w:iCs w:val="false"/>
          <w:color w:val="333333"/>
          <w:sz w:val="20"/>
          <w:szCs w:val="20"/>
        </w:rPr>
        <w:t xml:space="preserve">The distinction matters because it determines how you read any specific rule. A formula for calculating credit risk capital is not an end in itself — it is one mechanism within a broader system whose purpose is to make bank failure survivable without systemic contagion. Every Basel rule, from the 8% minimum of 1988 to the FRTB liquidity horizons of 2019, is an answer to the same underlying question: how do we ensure that banks hold enough loss-absorbing capital that a single failure does not become a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GOVERNING PRINCIPLE</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Basel does not eliminate bank failure — it is not designed to. Its purpose is to ensure that when a bank fails, the losses fall on shareholders and subordinated creditors, not on depositors, taxpayers, or the broader financial system. Capital is the mechanism that makes this possible.</w:t>
            </w:r>
          </w:p>
        </w:tc>
      </w:tr>
    </w:tbl>
    <w:p>
      <w:pPr>
        <w:spacing w:before="60" w:after="60"/>
      </w:pPr>
      <w:r>
        <w:rPr>
          <w:rFonts w:ascii="Arial" w:cs="Arial" w:eastAsia="Arial" w:hAnsi="Arial"/>
          <w:b w:val="false"/>
          <w:bCs w:val="false"/>
          <w:i w:val="false"/>
          <w:iCs w:val="false"/>
          <w:color w:val="333333"/>
          <w:sz w:val="20"/>
          <w:szCs w:val="20"/>
        </w:rPr>
        <w:t xml:space="preserve">This framing is essential context for everything that follows. When Basel's models are critiqued for being wrong — and they often are — the correct response is not 'the model failed' but 'did the governance architecture perform its function?' The two questions have different answers in almost every historical episode.</w:t>
      </w:r>
    </w:p>
    <w:p>
      <w:pPr>
        <w:spacing w:before="60" w:after="60"/>
      </w:pPr>
      <w:r>
        <w:rPr>
          <w:rFonts w:ascii="Arial" w:cs="Arial" w:eastAsia="Arial" w:hAnsi="Arial"/>
          <w:b w:val="false"/>
          <w:bCs w:val="false"/>
          <w:i w:val="false"/>
          <w:iCs w:val="false"/>
          <w:color w:val="333333"/>
          <w:sz w:val="20"/>
          <w:szCs w:val="20"/>
        </w:rPr>
        <w:t xml:space="preserve">The architecture operates at three levels simultaneously, which Basel formalised as the Three Pillars: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Pillar 1 — Minimum Capital Requirements: quantitative rules for credit, market, and operational risk. This is what most practitioners mean when they say 'Basel capital'. It is the floor, not the ceiling.</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Pillar 2 — Supervisory Review: the mechanism by which supervisors can require capital above the Pillar 1 minimum based on a bank's specific risk profile. This is where most real risk actually lives.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Pillar 3 — Market Discipline: disclosure requirements designed to allow markets and counterparties to assess a bank's risk profile. The assumption is that informed creditors impose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COMMUNITY INSIGHT</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framing of Basel as governance architecture rather than formula collection was contributed by Gellért Peti in response to Module 1. His observation — that 'Basel looks like a set of formulas; in reality it is a governance architecture designed to stabilise a fragile financial system' — is exactly right and deserves to sit at the front of this document, not the footnotes.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Expected Loss vs Unexpected Loss — The Capital Philosophy</w:t>
      </w:r>
    </w:p>
    <w:p>
      <w:pPr>
        <w:spacing w:before="60" w:after="60"/>
      </w:pPr>
      <w:r>
        <w:rPr>
          <w:rFonts w:ascii="Arial" w:cs="Arial" w:eastAsia="Arial" w:hAnsi="Arial"/>
          <w:b w:val="false"/>
          <w:bCs w:val="false"/>
          <w:i w:val="false"/>
          <w:iCs w:val="false"/>
          <w:color w:val="333333"/>
          <w:sz w:val="20"/>
          <w:szCs w:val="20"/>
        </w:rPr>
        <w:t xml:space="preserve">One of the most important conceptual distinctions in the Basel framework is between Expected Loss (EL) and Unexpected Loss (UL). These are not interchangeable — they are addressed by entirely different mechanisms, and conflating them is a common source of confusion.</w:t>
      </w:r>
    </w:p>
    <w:p>
      <w:pPr>
        <w:pStyle w:val="Heading3"/>
        <w:spacing w:before="160" w:after="40"/>
      </w:pPr>
      <w:r>
        <w:rPr>
          <w:rFonts w:ascii="Arial" w:cs="Arial" w:eastAsia="Arial" w:hAnsi="Arial"/>
          <w:b/>
          <w:bCs/>
          <w:color w:val="1B3A6B"/>
          <w:sz w:val="22"/>
          <w:szCs w:val="22"/>
        </w:rPr>
        <w:t xml:space="preserve">Expected Loss — Provisioned, Not Capitalised</w:t>
      </w:r>
    </w:p>
    <w:p>
      <w:pPr>
        <w:spacing w:before="60" w:after="60"/>
      </w:pPr>
      <w:r>
        <w:rPr>
          <w:rFonts w:ascii="Arial" w:cs="Arial" w:eastAsia="Arial" w:hAnsi="Arial"/>
          <w:b w:val="false"/>
          <w:bCs w:val="false"/>
          <w:i w:val="false"/>
          <w:iCs w:val="false"/>
          <w:color w:val="333333"/>
          <w:sz w:val="20"/>
          <w:szCs w:val="20"/>
        </w:rPr>
        <w:t xml:space="preserve">Expected Loss is the average loss a bank expects to realise over a given period. It is calculated as: EL = PD × LGD × EAD, where PD is the probability of default, LGD is the loss given default (as a fraction of exposure), and EAD is the exposure at default.</w:t>
      </w:r>
    </w:p>
    <w:p>
      <w:pPr>
        <w:spacing w:before="60" w:after="60"/>
      </w:pPr>
      <w:r>
        <w:rPr>
          <w:rFonts w:ascii="Arial" w:cs="Arial" w:eastAsia="Arial" w:hAnsi="Arial"/>
          <w:b w:val="false"/>
          <w:bCs w:val="false"/>
          <w:i w:val="false"/>
          <w:iCs w:val="false"/>
          <w:color w:val="333333"/>
          <w:sz w:val="20"/>
          <w:szCs w:val="20"/>
        </w:rPr>
        <w:t xml:space="preserve">Expected loss is not a capital item. It is covered by loan loss provisions — accounting entries that recognise anticipated credit costs before they crystallise. A bank that lends to a portfolio of sub-investment-grade borrowers expects some defaults; it sets aside provisions accordingly. This is not a capital question — it is a P&amp;L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EL EXAMPLE</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 bank holds €1bn of BBB-rated corporate loans. Historical PD = 0.20%, LGD = 45%, EAD = €1bn. EL = 0.0020 × 0.45 × €1bn = €900,000 per year. This €900k is provisioned in the accounts — it reduces pre-tax profits. It does not consume regulatory capital.</w:t>
            </w:r>
          </w:p>
        </w:tc>
      </w:tr>
    </w:tbl>
    <w:p>
      <w:pPr>
        <w:pStyle w:val="Heading3"/>
        <w:spacing w:before="160" w:after="40"/>
      </w:pPr>
      <w:r>
        <w:rPr>
          <w:rFonts w:ascii="Arial" w:cs="Arial" w:eastAsia="Arial" w:hAnsi="Arial"/>
          <w:b/>
          <w:bCs/>
          <w:color w:val="1B3A6B"/>
          <w:sz w:val="22"/>
          <w:szCs w:val="22"/>
        </w:rPr>
        <w:t xml:space="preserve">Unexpected Loss — The Job of Capital</w:t>
      </w:r>
    </w:p>
    <w:p>
      <w:pPr>
        <w:spacing w:before="60" w:after="60"/>
      </w:pPr>
      <w:r>
        <w:rPr>
          <w:rFonts w:ascii="Arial" w:cs="Arial" w:eastAsia="Arial" w:hAnsi="Arial"/>
          <w:b w:val="false"/>
          <w:bCs w:val="false"/>
          <w:i w:val="false"/>
          <w:iCs w:val="false"/>
          <w:color w:val="333333"/>
          <w:sz w:val="20"/>
          <w:szCs w:val="20"/>
        </w:rPr>
        <w:t xml:space="preserve">Unexpected Loss is the volatility of losses around the expected level — specifically, the loss that could be realised in an adverse but plausible scenario, above and beyond what was provisioned. Capital is the buffer designed to absorb unexpected losses.</w:t>
      </w:r>
    </w:p>
    <w:p>
      <w:pPr>
        <w:spacing w:before="60" w:after="60"/>
      </w:pPr>
      <w:r>
        <w:rPr>
          <w:rFonts w:ascii="Arial" w:cs="Arial" w:eastAsia="Arial" w:hAnsi="Arial"/>
          <w:b w:val="false"/>
          <w:bCs w:val="false"/>
          <w:i w:val="false"/>
          <w:iCs w:val="false"/>
          <w:color w:val="333333"/>
          <w:sz w:val="20"/>
          <w:szCs w:val="20"/>
        </w:rPr>
        <w:t xml:space="preserve">The Basel capital framework is almost entirely concerned with unexpected loss. When we say a portfolio of corporate loans requires 8% capital, we are saying: in a stressed scenario (at the confidence level implied by the IRB formula — 99.9% under Foundation IRB), losses could exceed the expected level by up to 8% of the risk-weighted exposure. Capital must be available to absorb that excess.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Concept</w:t>
            </w:r>
          </w:p>
        </w:tc>
        <w:tc>
          <w:tcPr>
            <w:tcW w:type="dxa" w:w="343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EL (Expected Loss)</w:t>
            </w:r>
          </w:p>
        </w:tc>
        <w:tc>
          <w:tcPr>
            <w:tcW w:type="dxa" w:w="343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UL (Unexpected Loss)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Definition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Average loss over the period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Loss above EL in adverse scenarios</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Formula</w:t>
            </w:r>
          </w:p>
        </w:tc>
        <w:tc>
          <w:tcPr>
            <w:tcW w:type="dxa" w:w="34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PD × LGD × EAD</w:t>
            </w:r>
          </w:p>
        </w:tc>
        <w:tc>
          <w:tcPr>
            <w:tcW w:type="dxa" w:w="34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Modelled at 99.9% confidence — IRB formula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Covered by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Loan loss provisions (P&amp;L)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Regulatory capital</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treatment</w:t>
            </w:r>
          </w:p>
        </w:tc>
        <w:tc>
          <w:tcPr>
            <w:tcW w:type="dxa" w:w="34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IFRS 9 / CECL provisioning</w:t>
            </w:r>
          </w:p>
        </w:tc>
        <w:tc>
          <w:tcPr>
            <w:tcW w:type="dxa" w:w="34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1 capital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Example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€900k expected credit loss / year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€8m capital against €100m BBB portfolio</w:t>
            </w:r>
          </w:p>
        </w:tc>
      </w:tr>
    </w:tbl>
    <w:p>
      <w:pPr>
        <w:spacing w:before="60" w:after="60"/>
      </w:pPr>
    </w:p>
    <w:p>
      <w:pPr>
        <w:pStyle w:val="Heading3"/>
        <w:spacing w:before="160" w:after="40"/>
      </w:pPr>
      <w:r>
        <w:rPr>
          <w:rFonts w:ascii="Arial" w:cs="Arial" w:eastAsia="Arial" w:hAnsi="Arial"/>
          <w:b/>
          <w:bCs/>
          <w:color w:val="1B3A6B"/>
          <w:sz w:val="22"/>
          <w:szCs w:val="22"/>
        </w:rPr>
        <w:t xml:space="preserve">Why This Distinction Determines Capital Architecture</w:t>
      </w:r>
    </w:p>
    <w:p>
      <w:pPr>
        <w:spacing w:before="60" w:after="60"/>
      </w:pPr>
      <w:r>
        <w:rPr>
          <w:rFonts w:ascii="Arial" w:cs="Arial" w:eastAsia="Arial" w:hAnsi="Arial"/>
          <w:b w:val="false"/>
          <w:bCs w:val="false"/>
          <w:i w:val="false"/>
          <w:iCs w:val="false"/>
          <w:color w:val="333333"/>
          <w:sz w:val="20"/>
          <w:szCs w:val="20"/>
        </w:rPr>
        <w:t xml:space="preserve">The EL/UL distinction explains several features of the Basel framework that otherwise appear arbitrary:</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Why IRB capital formulas produce a capital charge that increases sharply with PD and LGD — they are targeting the unexpected loss distribution, not the mean.</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Why the IRB formula is calibrated at 99.9% confidence — this targets the loss that would be exceeded only once in a thousand years of independent annual portfolio performance, which the BCBS judged sufficient to protect against insolvency in a stress year.</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Why provisions and capital interact — under Basel IV, excess provisions above EL can partially offset capital requirements (within limits), because they represent additional loss absorption capacity.</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Why a bank with excellent credit quality (low PD) still holds capital — the unexpected loss distribution still has a tail, even if the expected loss 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THE CRITICAL INSIGHT</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Capital is not a tax on lending — it is the price of operating with leverage. A bank that holds no capital against unexpected losses is implicitly asking depositors, guarantee schemes, and taxpayers to absorb those losses on its behalf. The Basel framework makes that implicit subsidy explicit and prices it.</w:t>
            </w:r>
          </w:p>
        </w:tc>
      </w:tr>
    </w:tbl>
    <w:p>
      <w:pPr>
        <w:pStyle w:val="Heading3"/>
        <w:spacing w:before="160" w:after="40"/>
      </w:pPr>
      <w:r>
        <w:rPr>
          <w:rFonts w:ascii="Arial" w:cs="Arial" w:eastAsia="Arial" w:hAnsi="Arial"/>
          <w:b/>
          <w:bCs/>
          <w:color w:val="1B3A6B"/>
          <w:sz w:val="22"/>
          <w:szCs w:val="22"/>
        </w:rPr>
        <w:t xml:space="preserve">The EL/UL Framework and Model Risk</w:t>
      </w:r>
    </w:p>
    <w:p>
      <w:pPr>
        <w:spacing w:before="60" w:after="60"/>
      </w:pPr>
      <w:r>
        <w:rPr>
          <w:rFonts w:ascii="Arial" w:cs="Arial" w:eastAsia="Arial" w:hAnsi="Arial"/>
          <w:b w:val="false"/>
          <w:bCs w:val="false"/>
          <w:i w:val="false"/>
          <w:iCs w:val="false"/>
          <w:color w:val="333333"/>
          <w:sz w:val="20"/>
          <w:szCs w:val="20"/>
        </w:rPr>
        <w:t xml:space="preserve">The EL/UL framework rests on two assumptions that deserve scrutiny. First, that PD and LGD can be reliably estimated from historical data. Second, that the distribution of losses is stable enough that a historically calibrated confidence level remains meaningful in stress.</w:t>
      </w:r>
    </w:p>
    <w:p>
      <w:pPr>
        <w:spacing w:before="60" w:after="60"/>
      </w:pPr>
      <w:r>
        <w:rPr>
          <w:rFonts w:ascii="Arial" w:cs="Arial" w:eastAsia="Arial" w:hAnsi="Arial"/>
          <w:b w:val="false"/>
          <w:bCs w:val="false"/>
          <w:i w:val="false"/>
          <w:iCs w:val="false"/>
          <w:color w:val="333333"/>
          <w:sz w:val="20"/>
          <w:szCs w:val="20"/>
        </w:rPr>
        <w:t xml:space="preserve">Both assumptions failed to some degree in the 2007–09 crisis. PD estimates for structured credit were dramatically underestimated — in part because the instruments had no long loss history, in part because ratings models were applied to fundamentally new asset classes. LGD estimates for mortgage-backed securities assumed recovery values that evaporated when housing markets fell simultaneously across geographies.</w:t>
      </w:r>
    </w:p>
    <w:p>
      <w:pPr>
        <w:spacing w:before="60" w:after="60"/>
      </w:pPr>
      <w:r>
        <w:rPr>
          <w:rFonts w:ascii="Arial" w:cs="Arial" w:eastAsia="Arial" w:hAnsi="Arial"/>
          <w:b w:val="false"/>
          <w:bCs w:val="false"/>
          <w:i w:val="false"/>
          <w:iCs w:val="false"/>
          <w:color w:val="333333"/>
          <w:sz w:val="20"/>
          <w:szCs w:val="20"/>
        </w:rPr>
        <w:t xml:space="preserve">The Basel Committee's response was not to abandon the EL/UL framework — it remains the foundation of Basel IV — but to impose floors on PD and LGD estimates, constrain the use of internal models, and require stressed calibration. The framework was patched, not redesigned. Whether the patches are sufficient is a live debate in the academic literature.</w:t>
      </w:r>
    </w:p>
    <w:p>
      <w:r>
        <w:br w:type="page"/>
      </w:r>
    </w:p>
    <w:p>
      <w:pPr>
        <w:pStyle w:val="Heading1"/>
        <w:spacing w:before="240" w:after="80"/>
      </w:pPr>
      <w:r>
        <w:rPr>
          <w:rFonts w:ascii="Arial" w:cs="Arial" w:eastAsia="Arial" w:hAnsi="Arial"/>
          <w:b/>
          <w:bCs/>
          <w:color w:val="1B3A6B"/>
          <w:sz w:val="32"/>
          <w:szCs w:val="32"/>
        </w:rPr>
        <w:t xml:space="preserve">What is Not Covered Here — Scope &amp; Future Modules</w:t>
      </w:r>
    </w:p>
    <w:p>
      <w:pPr>
        <w:spacing w:before="80" w:after="60"/>
      </w:pPr>
      <w:r>
        <w:rPr>
          <w:rFonts w:ascii="Arial" w:cs="Arial" w:eastAsia="Arial" w:hAnsi="Arial"/>
          <w:b w:val="false"/>
          <w:bCs w:val="false"/>
          <w:i w:val="false"/>
          <w:iCs w:val="false"/>
          <w:color w:val="333333"/>
          <w:sz w:val="20"/>
          <w:szCs w:val="20"/>
        </w:rPr>
        <w:t xml:space="preserve">This document focuses on the three Basel Pillar 1 risk types. Banking involves several other material risk types addressed under Pillar 2 (supervisory review) rather than Pillar 1 minimum capital. These will receive dedicated modules in this knowledge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Risk Type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Pillar 2 Treatment &amp; Future Module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Liquidity Risk</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LCR (30-day) and NSFR (1-year). Liquidity risk was arguably the primary cause of the 2007–09 crisis. Future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Concentration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Addressed under Pillar 2 and Large Exposures framework. Maximum 25% of Tier 1 to any single counterparty.</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IRRBB</w:t>
            </w:r>
          </w:p>
        </w:tc>
        <w:tc>
          <w:tcPr>
            <w:tcW w:type="dxa" w:w="7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2016 dedicated standard. Assessed under ICAAP Pillar 2 SREP. SVB failure (2023) was a classic IRRBB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Reputational &amp; Conduct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Not quantified in Pillar 1. Managed through governance and compliance. Conduct fines have exceeded Pillar 1 charges for major institutions.</w:t>
            </w:r>
          </w:p>
        </w:tc>
      </w:tr>
    </w:tbl>
    <w:p>
      <w:r>
        <w:br w:type="page"/>
      </w:r>
    </w:p>
    <w:p>
      <w:pPr>
        <w:pStyle w:val="Heading1"/>
        <w:spacing w:before="240" w:after="80"/>
      </w:pPr>
      <w:r>
        <w:rPr>
          <w:rFonts w:ascii="Arial" w:cs="Arial" w:eastAsia="Arial" w:hAnsi="Arial"/>
          <w:b/>
          <w:bCs/>
          <w:color w:val="1B3A6B"/>
          <w:sz w:val="32"/>
          <w:szCs w:val="32"/>
        </w:rPr>
        <w:t xml:space="preserve">Basel I — The Foundation Framework (1988)</w:t>
      </w:r>
    </w:p>
    <w:p>
      <w:pPr>
        <w:pStyle w:val="Heading2"/>
        <w:pBdr>
          <w:bottom w:val="single" w:color="0E6B8A" w:sz="6" w:space="1"/>
        </w:pBdr>
        <w:spacing w:before="200" w:after="60"/>
      </w:pPr>
      <w:r>
        <w:rPr>
          <w:rFonts w:ascii="Arial" w:cs="Arial" w:eastAsia="Arial" w:hAnsi="Arial"/>
          <w:b/>
          <w:bCs/>
          <w:color w:val="0E6B8A"/>
          <w:sz w:val="26"/>
          <w:szCs w:val="26"/>
        </w:rPr>
        <w:t xml:space="preserve">Context &amp; Origins</w:t>
      </w:r>
    </w:p>
    <w:p>
      <w:pPr>
        <w:spacing w:before="60" w:after="60"/>
      </w:pPr>
      <w:r>
        <w:rPr>
          <w:rFonts w:ascii="Arial" w:cs="Arial" w:eastAsia="Arial" w:hAnsi="Arial"/>
          <w:b w:val="false"/>
          <w:bCs w:val="false"/>
          <w:i w:val="false"/>
          <w:iCs w:val="false"/>
          <w:color w:val="333333"/>
          <w:sz w:val="20"/>
          <w:szCs w:val="20"/>
        </w:rPr>
        <w:t xml:space="preserve">The Basel I Accord — formally the International Convergence of Capital Measurement and Capital Standards — was published by the BCBS in July 1988. It emerged from growing alarm through the 1980s about deteriorating capital adequacy of international banks, amplified by the Latin American sovereign debt crisis and failures including Continental Illinois (1984) and Johnson Matthey Bankers (1984). [1]</w:t>
      </w:r>
    </w:p>
    <w:p>
      <w:pPr>
        <w:spacing w:before="60" w:after="60"/>
      </w:pPr>
      <w:r>
        <w:rPr>
          <w:rFonts w:ascii="Arial" w:cs="Arial" w:eastAsia="Arial" w:hAnsi="Arial"/>
          <w:b w:val="false"/>
          <w:bCs w:val="false"/>
          <w:i w:val="false"/>
          <w:iCs w:val="false"/>
          <w:color w:val="333333"/>
          <w:sz w:val="20"/>
          <w:szCs w:val="20"/>
        </w:rPr>
        <w:t xml:space="preserve">The Accord was developed by the G10 central bank governors' BCBS, comprising 12 member jurisdictions. Implementation was required by end-1992. Its primary goal: ensure internationally active banks held sufficient capital to absorb unexpected losses without triggering systemic failure.</w:t>
      </w:r>
    </w:p>
    <w:p>
      <w:pPr>
        <w:pStyle w:val="Heading2"/>
        <w:pBdr>
          <w:bottom w:val="single" w:color="0E6B8A" w:sz="6" w:space="1"/>
        </w:pBdr>
        <w:spacing w:before="200" w:after="60"/>
      </w:pPr>
      <w:r>
        <w:rPr>
          <w:rFonts w:ascii="Arial" w:cs="Arial" w:eastAsia="Arial" w:hAnsi="Arial"/>
          <w:b/>
          <w:bCs/>
          <w:color w:val="0E6B8A"/>
          <w:sz w:val="26"/>
          <w:szCs w:val="26"/>
        </w:rPr>
        <w:t xml:space="preserve">Core Architecture — The 8% Requirement</w:t>
      </w:r>
    </w:p>
    <w:p>
      <w:pPr>
        <w:spacing w:before="60" w:after="60"/>
      </w:pPr>
      <w:r>
        <w:rPr>
          <w:rFonts w:ascii="Arial" w:cs="Arial" w:eastAsia="Arial" w:hAnsi="Arial"/>
          <w:b w:val="false"/>
          <w:bCs w:val="false"/>
          <w:i w:val="false"/>
          <w:iCs w:val="false"/>
          <w:color w:val="333333"/>
          <w:sz w:val="20"/>
          <w:szCs w:val="20"/>
        </w:rPr>
        <w:t xml:space="preserve">Basel I established that internationally active banks must maintain a minimum ratio of capital to risk-weighted assets (RWA) of 8%, with at least 4% in Tier 1 (core) capital. This became the defining metric of bank capital adequacy for the following decade.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Tier</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Composition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Tier 1 (Core Capital)</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Common equity, disclosed reserves. Minimum 4% of RWA. The primary loss-absorbing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Tier 2 (Supplementary)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Undisclosed reserves, revaluation reserves, hybrid instruments, subordinated long-term debt (capped at 50% of Tier 1).</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Tier 3</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Short-term subordinated debt — introduced via the 1996 Market Risk Amendment exclusively for market risk capital.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FORMULA</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Capital Ratio = (Tier 1 + Tier 2 Capital) ÷ Risk-Weighted Assets ≥ 8%  |  Tier 1 ≥ 4% of RWA</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Risk Weight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Risk Weight</w:t>
            </w:r>
          </w:p>
        </w:tc>
        <w:tc>
          <w:tcPr>
            <w:tcW w:type="dxa" w:w="73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Asset Category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Cash, claims on OECD central governments denominated in national currency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Claims on domestic public-sector entities (national discretion)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Claims on multilateral development banks; OECD-incorporated banks ≤ 1yr residual maturity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50%</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Loans fully secured by mortgage on residential property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Claims on private sector, non-OECD bank claims, all other assets</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Dimension</w:t>
            </w:r>
          </w:p>
        </w:tc>
        <w:tc>
          <w:tcPr>
            <w:tcW w:type="dxa" w:w="35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Strengths</w:t>
            </w:r>
          </w:p>
        </w:tc>
        <w:tc>
          <w:tcPr>
            <w:tcW w:type="dxa" w:w="3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Limitations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Simplicity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Easy to understand; consistent international baseline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One-size-fits-all; no sensitivity to borrower creditworthiness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Scope</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Established credible international convergence</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risk only — market and operational risk 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Quality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Distinguished Tier 1 vs Tier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Tier 2 admitted instruments with questionable loss absorption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 Measurement</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Clear, transparent, auditable risk weights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Weights not calibrated to empirical default probability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Regulatory Arbitrage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Fixed weights enabled gaming via securitisation and off-balance-sheet structures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Geography</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t>
            </w:r>
          </w:p>
        </w:tc>
        <w:tc>
          <w:tcPr>
            <w:tcW w:type="dxa" w:w="35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OECD membership determined weights — crude and politically driven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LEGACY</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Basel I was never designed as a permanent solution, but its 8% minimum capital ratio and Tier 1/Tier 2 architecture persisted — in modified form — through every subsequent accord. It gave regulators a shared vocabulary.</w:t>
            </w:r>
          </w:p>
        </w:tc>
      </w:tr>
    </w:tbl>
    <w:p>
      <w:r>
        <w:br w:type="page"/>
      </w:r>
    </w:p>
    <w:p>
      <w:pPr>
        <w:pStyle w:val="Heading1"/>
        <w:spacing w:before="240" w:after="80"/>
      </w:pPr>
      <w:r>
        <w:rPr>
          <w:rFonts w:ascii="Arial" w:cs="Arial" w:eastAsia="Arial" w:hAnsi="Arial"/>
          <w:b/>
          <w:bCs/>
          <w:color w:val="1B3A6B"/>
          <w:sz w:val="32"/>
          <w:szCs w:val="32"/>
        </w:rPr>
        <w:t xml:space="preserve">Basel II — Risk Sensitivity and the Three Pillars (2004)</w:t>
      </w:r>
    </w:p>
    <w:p>
      <w:pPr>
        <w:pStyle w:val="Heading2"/>
        <w:pBdr>
          <w:bottom w:val="single" w:color="0E6B8A" w:sz="6" w:space="1"/>
        </w:pBdr>
        <w:spacing w:before="200" w:after="60"/>
      </w:pPr>
      <w:r>
        <w:rPr>
          <w:rFonts w:ascii="Arial" w:cs="Arial" w:eastAsia="Arial" w:hAnsi="Arial"/>
          <w:b/>
          <w:bCs/>
          <w:color w:val="0E6B8A"/>
          <w:sz w:val="26"/>
          <w:szCs w:val="26"/>
        </w:rPr>
        <w:t xml:space="preserve">Context &amp; Origins</w:t>
      </w:r>
    </w:p>
    <w:p>
      <w:pPr>
        <w:spacing w:before="60" w:after="60"/>
      </w:pPr>
      <w:r>
        <w:rPr>
          <w:rFonts w:ascii="Arial" w:cs="Arial" w:eastAsia="Arial" w:hAnsi="Arial"/>
          <w:b w:val="false"/>
          <w:bCs w:val="false"/>
          <w:i w:val="false"/>
          <w:iCs w:val="false"/>
          <w:color w:val="333333"/>
          <w:sz w:val="20"/>
          <w:szCs w:val="20"/>
        </w:rPr>
        <w:t xml:space="preserve">Basel II was published in June 2004 after six years of consultation and three quantitative impact studies. Its primary objective was to replace Basel I's crude risk weight buckets with a framework genuinely sensitive to borrower creditworthiness — allowing banks with superior risk management to hold less capital than those with inferior models.</w:t>
      </w:r>
    </w:p>
    <w:p>
      <w:pPr>
        <w:pStyle w:val="Heading2"/>
        <w:pBdr>
          <w:bottom w:val="single" w:color="0E6B8A" w:sz="6" w:space="1"/>
        </w:pBdr>
        <w:spacing w:before="200" w:after="60"/>
      </w:pPr>
      <w:r>
        <w:rPr>
          <w:rFonts w:ascii="Arial" w:cs="Arial" w:eastAsia="Arial" w:hAnsi="Arial"/>
          <w:b/>
          <w:bCs/>
          <w:color w:val="0E6B8A"/>
          <w:sz w:val="26"/>
          <w:szCs w:val="26"/>
        </w:rPr>
        <w:t xml:space="preserve">Core Architecture — Three Pillars</w:t>
      </w:r>
    </w:p>
    <w:p>
      <w:pPr>
        <w:spacing w:before="60" w:after="60"/>
      </w:pPr>
      <w:r>
        <w:rPr>
          <w:rFonts w:ascii="Arial" w:cs="Arial" w:eastAsia="Arial" w:hAnsi="Arial"/>
          <w:b w:val="false"/>
          <w:bCs w:val="false"/>
          <w:i w:val="false"/>
          <w:iCs w:val="false"/>
          <w:color w:val="333333"/>
          <w:sz w:val="20"/>
          <w:szCs w:val="20"/>
        </w:rPr>
        <w:t xml:space="preserve">Basel II retained the 8% total capital minimum but fundamentally restructured how it is calculated and supervised. The three-pillar framework became the defining architectural feature of all subsequent Basel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Pillar</w:t>
            </w:r>
          </w:p>
        </w:tc>
        <w:tc>
          <w:tcPr>
            <w:tcW w:type="dxa" w:w="34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Title</w:t>
            </w:r>
          </w:p>
        </w:tc>
        <w:tc>
          <w:tcPr>
            <w:tcW w:type="dxa" w:w="4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Minimum Capital Requirements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Quantitative rules for credit, market, and operational risk. SA or internal models.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 Review Process</w:t>
            </w:r>
          </w:p>
        </w:tc>
        <w:tc>
          <w:tcPr>
            <w:tcW w:type="dxa" w:w="4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Supervisors assess adequacy of banks' internal capital assessment. Add-ons above Pillar 1 minimum.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Market Discipline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Disclosure requirements enabling markets to assess risk profile. Complements supervisory oversight.</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Pillar 1 vs Pillar 2 — Where Real Risk Actually Lives</w:t>
      </w:r>
    </w:p>
    <w:p>
      <w:pPr>
        <w:spacing w:before="60" w:after="60"/>
      </w:pPr>
      <w:r>
        <w:rPr>
          <w:rFonts w:ascii="Arial" w:cs="Arial" w:eastAsia="Arial" w:hAnsi="Arial"/>
          <w:b w:val="false"/>
          <w:bCs w:val="false"/>
          <w:i w:val="false"/>
          <w:iCs w:val="false"/>
          <w:color w:val="333333"/>
          <w:sz w:val="20"/>
          <w:szCs w:val="20"/>
        </w:rPr>
        <w:t xml:space="preserve">The Basel framework's three-pillar structure is well known. What is less well understood is that Pillar 1 is the floor, not the ceiling, and that for most complex banks the most important capital decisions happen in Pillar 2 — where supervisors exercise discretion, banks conduct internal capital assessments, and the gap between modelled risk and actual risk is addressed.</w:t>
      </w:r>
    </w:p>
    <w:p>
      <w:pPr>
        <w:pStyle w:val="Heading3"/>
        <w:spacing w:before="160" w:after="40"/>
      </w:pPr>
      <w:r>
        <w:rPr>
          <w:rFonts w:ascii="Arial" w:cs="Arial" w:eastAsia="Arial" w:hAnsi="Arial"/>
          <w:b/>
          <w:bCs/>
          <w:color w:val="1B3A6B"/>
          <w:sz w:val="22"/>
          <w:szCs w:val="22"/>
        </w:rPr>
        <w:t xml:space="preserve">What Pillar 1 Covers — and What It Does Not</w:t>
      </w:r>
    </w:p>
    <w:p>
      <w:pPr>
        <w:spacing w:before="60" w:after="60"/>
      </w:pPr>
      <w:r>
        <w:rPr>
          <w:rFonts w:ascii="Arial" w:cs="Arial" w:eastAsia="Arial" w:hAnsi="Arial"/>
          <w:b w:val="false"/>
          <w:bCs w:val="false"/>
          <w:i w:val="false"/>
          <w:iCs w:val="false"/>
          <w:color w:val="333333"/>
          <w:sz w:val="20"/>
          <w:szCs w:val="20"/>
        </w:rPr>
        <w:t xml:space="preserve">Pillar 1 minimum capital covers three formally specified risk types: credit risk, market risk, and operational risk. Each has prescribed calculation methodologies (SA or internal models). The capital requirement is mandatory, uniform across jurisdictions (subject to local implementation), and auditable.</w:t>
      </w:r>
    </w:p>
    <w:p>
      <w:pPr>
        <w:spacing w:before="60" w:after="60"/>
      </w:pPr>
      <w:r>
        <w:rPr>
          <w:rFonts w:ascii="Arial" w:cs="Arial" w:eastAsia="Arial" w:hAnsi="Arial"/>
          <w:b w:val="false"/>
          <w:bCs w:val="false"/>
          <w:i w:val="false"/>
          <w:iCs w:val="false"/>
          <w:color w:val="333333"/>
          <w:sz w:val="20"/>
          <w:szCs w:val="20"/>
        </w:rPr>
        <w:t xml:space="preserve">What Pillar 1 does not cover — by design — includes: interest rate risk in the banking book (IRRBB), concentration risk, liquidity risk, business model risk, reputational risk, pension risk, and strategic risk. These are left to Pillar 2 because they are harder to model consistently, are bank-specific, or involve supervisory judgment that does not lend itself to universal formulae.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Risk Type</w:t>
            </w:r>
          </w:p>
        </w:tc>
        <w:tc>
          <w:tcPr>
            <w:tcW w:type="dxa" w:w="30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Pillar 1 or Pillar 2?</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 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Risk (loans, bonds, derivatives)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SA-CR or IRB. Mandatory minimum.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Market Risk (trading book)</w:t>
            </w:r>
          </w:p>
        </w:tc>
        <w:tc>
          <w:tcPr>
            <w:tcW w:type="dxa" w:w="3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1</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FRTB SA or IMA. Mandatory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Operational Risk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SMA. Mandatory minimum.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CVA Risk</w:t>
            </w:r>
          </w:p>
        </w:tc>
        <w:tc>
          <w:tcPr>
            <w:tcW w:type="dxa" w:w="3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1</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BA-CVA or SA-CVA. Mandatory under Basel IV.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IRRBB — Interest Rate Risk (banking book)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ICAAP / SREP. No Pillar 1 minimum — supervisor discretion.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Concentration Risk</w:t>
            </w:r>
          </w:p>
        </w:tc>
        <w:tc>
          <w:tcPr>
            <w:tcW w:type="dxa" w:w="3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ICAAP. Large Exposures framework sets limits, not capital.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Liquidity Risk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 LCR/NSFR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LCR/NSFR are liquidity standards, not capital requirements.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Model Risk</w:t>
            </w:r>
          </w:p>
        </w:tc>
        <w:tc>
          <w:tcPr>
            <w:tcW w:type="dxa" w:w="3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prescribed capital charge. Supervisory overlay in SREP.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Business Model / Strategy Risk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Pure supervisor discretion. No formula.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Climate / ESG Risk</w:t>
            </w:r>
          </w:p>
        </w:tc>
        <w:tc>
          <w:tcPr>
            <w:tcW w:type="dxa" w:w="3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(emerging)</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BCBS published principles 2022. No Pillar 1 charge yet.</w:t>
            </w:r>
          </w:p>
        </w:tc>
      </w:tr>
    </w:tbl>
    <w:p>
      <w:pPr>
        <w:spacing w:before="60" w:after="60"/>
      </w:pPr>
    </w:p>
    <w:p>
      <w:pPr>
        <w:pStyle w:val="Heading3"/>
        <w:spacing w:before="160" w:after="40"/>
      </w:pPr>
      <w:r>
        <w:rPr>
          <w:rFonts w:ascii="Arial" w:cs="Arial" w:eastAsia="Arial" w:hAnsi="Arial"/>
          <w:b/>
          <w:bCs/>
          <w:color w:val="1B3A6B"/>
          <w:sz w:val="22"/>
          <w:szCs w:val="22"/>
        </w:rPr>
        <w:t xml:space="preserve">ICAAP and SREP — The Pillar 2 Mechanism</w:t>
      </w:r>
    </w:p>
    <w:p>
      <w:pPr>
        <w:spacing w:before="60" w:after="60"/>
      </w:pPr>
      <w:r>
        <w:rPr>
          <w:rFonts w:ascii="Arial" w:cs="Arial" w:eastAsia="Arial" w:hAnsi="Arial"/>
          <w:b w:val="false"/>
          <w:bCs w:val="false"/>
          <w:i w:val="false"/>
          <w:iCs w:val="false"/>
          <w:color w:val="333333"/>
          <w:sz w:val="20"/>
          <w:szCs w:val="20"/>
        </w:rPr>
        <w:t xml:space="preserve">Under Pillar 2, banks are required to conduct an Internal Capital Adequacy Assessment Process (ICAAP) — a self-assessment of capital needs covering all material risks, including those outside Pillar 1. Supervisors review the ICAAP through the Supervisory Review and Evaluation Process (SREP) and may require additional capital — a Pillar 2 Requirement (P2R) or Pillar 2 Guidance (P2G) — above the Pillar 1 minimum.</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P2R (Pillar 2 Requirement): binding additional capital requirement set by the supervisor. Failure to meet it triggers supervisory action. Disclosed in some jurisdictions.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P2G (Pillar 2 Guidance): non-binding supervisory expectation. Breaching P2G does not automatically trigger action but signals the bank is operating closer to its capital floor than the supervisor is comfortable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PRACTITIONER REALITY</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For the largest global banks, Pillar 2 add-ons can be as large as or larger than Pillar 1 requirements. A G-SIB with a 4.5% CET1 Pillar 1 minimum, a 2.5% G-SIB surcharge, a 2.5% CCyB, and a 2–3% SREP P2R is effectively operating under a 12–13% CET1 requirement. The 4.5% Pillar 1 figure in the headline tells only a fraction of the story.</w:t>
            </w:r>
          </w:p>
        </w:tc>
      </w:tr>
    </w:tbl>
    <w:p>
      <w:pPr>
        <w:pStyle w:val="Heading3"/>
        <w:spacing w:before="160" w:after="40"/>
      </w:pPr>
      <w:r>
        <w:rPr>
          <w:rFonts w:ascii="Arial" w:cs="Arial" w:eastAsia="Arial" w:hAnsi="Arial"/>
          <w:b/>
          <w:bCs/>
          <w:color w:val="1B3A6B"/>
          <w:sz w:val="22"/>
          <w:szCs w:val="22"/>
        </w:rPr>
        <w:t xml:space="preserve">Why Pillar 2 Is Where Most Real Risk Lives</w:t>
      </w:r>
    </w:p>
    <w:p>
      <w:pPr>
        <w:spacing w:before="60" w:after="60"/>
      </w:pPr>
      <w:r>
        <w:rPr>
          <w:rFonts w:ascii="Arial" w:cs="Arial" w:eastAsia="Arial" w:hAnsi="Arial"/>
          <w:b w:val="false"/>
          <w:bCs w:val="false"/>
          <w:i w:val="false"/>
          <w:iCs w:val="false"/>
          <w:color w:val="333333"/>
          <w:sz w:val="20"/>
          <w:szCs w:val="20"/>
        </w:rPr>
        <w:t xml:space="preserve">Gellért Peti's observation that 'most real risks actually sit' in Pillar 2 is empirically well-supported. Several categories of risk that proved most damaging in recent crises were Pillar 2 items: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IRRBB — Silicon Valley Bank's failure in March 2023 was a classic IRRBB event: a banking book duration mismatch amplified by rapid rate rises. No Pillar 1 capital charge covered this. It was a Pillar 2 failure — inadequate ICAAP, inadequate supervisory intervention.</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Concentration Risk — several European banks' exposure to their home sovereign during the 2010–12 eurozone crisis was a concentration risk failure. Large concentrated government bond holdings attracted 0% Pillar 1 capital (sovereign risk weight). The risk was real; the Pillar 1 capital was zero.</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Model Risk — the systematic underestimation of structured credit risk pre-2008 was partly a Pillar 1 methodology failure (IRB and VaR) and partly a Pillar 2 failure to impose overlays where models were clearly calibrated on insufficient data.</w:t>
      </w:r>
    </w:p>
    <w:p>
      <w:pPr>
        <w:spacing w:before="60" w:after="60"/>
      </w:pPr>
      <w:r>
        <w:rPr>
          <w:rFonts w:ascii="Arial" w:cs="Arial" w:eastAsia="Arial" w:hAnsi="Arial"/>
          <w:b w:val="false"/>
          <w:bCs w:val="false"/>
          <w:i w:val="false"/>
          <w:iCs w:val="false"/>
          <w:color w:val="333333"/>
          <w:sz w:val="20"/>
          <w:szCs w:val="20"/>
        </w:rPr>
        <w:t xml:space="preserve">The lesson is not that Pillar 1 is unimportant — it provides the consistent international floor that makes cross-border comparison and supervision possible. The lesson is that Pillar 1 compliance is a necessary but not sufficient condition for safe bank operation.</w:t>
      </w:r>
    </w:p>
    <w:p>
      <w:pPr>
        <w:pStyle w:val="Heading2"/>
        <w:pBdr>
          <w:bottom w:val="single" w:color="0E6B8A" w:sz="6" w:space="1"/>
        </w:pBdr>
        <w:spacing w:before="200" w:after="60"/>
      </w:pPr>
      <w:r>
        <w:rPr>
          <w:rFonts w:ascii="Arial" w:cs="Arial" w:eastAsia="Arial" w:hAnsi="Arial"/>
          <w:b/>
          <w:bCs/>
          <w:color w:val="0E6B8A"/>
          <w:sz w:val="26"/>
          <w:szCs w:val="26"/>
        </w:rPr>
        <w:t xml:space="preserve">Credit Risk — The IRB Revolution</w:t>
      </w:r>
    </w:p>
    <w:p>
      <w:pPr>
        <w:spacing w:before="60" w:after="60"/>
      </w:pPr>
      <w:r>
        <w:rPr>
          <w:rFonts w:ascii="Arial" w:cs="Arial" w:eastAsia="Arial" w:hAnsi="Arial"/>
          <w:b w:val="false"/>
          <w:bCs w:val="false"/>
          <w:i w:val="false"/>
          <w:iCs w:val="false"/>
          <w:color w:val="333333"/>
          <w:sz w:val="20"/>
          <w:szCs w:val="20"/>
        </w:rPr>
        <w:t xml:space="preserve">Basel II's most significant innovation for credit risk was the Internal Ratings-Based (IRB) approach, which allowed banks with supervisor-approved models to use their own estimates of PD, LGD, and EAD to calculate capital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Approach</w:t>
            </w:r>
          </w:p>
        </w:tc>
        <w:tc>
          <w:tcPr>
            <w:tcW w:type="dxa" w:w="27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Bank Estimates</w:t>
            </w:r>
          </w:p>
        </w:tc>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Supervisory Input</w:t>
            </w:r>
          </w:p>
        </w:tc>
        <w:tc>
          <w:tcPr>
            <w:tcW w:type="dxa" w:w="21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 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(Standardised)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None — uses fixed regulatory risk weights by exposure class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External credit ratings or supervisory categories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Simple, conservative, consistent across banks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F-IRB (Foundation)</w:t>
            </w:r>
          </w:p>
        </w:tc>
        <w:tc>
          <w:tcPr>
            <w:tcW w:type="dxa" w:w="2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PD only (from internal rating system)</w:t>
            </w:r>
          </w:p>
        </w:tc>
        <w:tc>
          <w:tcPr>
            <w:tcW w:type="dxa" w:w="2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 LGD, EAD, maturity</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Moderate risk sensitivity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A-IRB (Advanced)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PD, LGD, EAD all from internal models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Model validation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Maximum risk sensitivity — most capital-efficient for high-quality portfolios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IRB KEY FORMULA</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K = LGD × N[(1-R)^-0.5 × G(PD) + (R/(1-R))^0.5 × G(0.999)] − PD × LGD  |  where R is the asset correlation (supervisory formula), N is standard normal CDF, G is inverse standard normal. Capital = K × 12.5 × EAD.</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Market Risk &amp; Operational Risk</w:t>
      </w:r>
    </w:p>
    <w:p>
      <w:pPr>
        <w:spacing w:before="60" w:after="60"/>
      </w:pPr>
      <w:r>
        <w:rPr>
          <w:rFonts w:ascii="Arial" w:cs="Arial" w:eastAsia="Arial" w:hAnsi="Arial"/>
          <w:b w:val="false"/>
          <w:bCs w:val="false"/>
          <w:i w:val="false"/>
          <w:iCs w:val="false"/>
          <w:color w:val="333333"/>
          <w:sz w:val="20"/>
          <w:szCs w:val="20"/>
        </w:rPr>
        <w:t xml:space="preserve">Basel II formally incorporated the 1996 Market Risk Amendment, allowing banks with approved internal VaR models to use them for market risk capital. For operational risk, Basel II introduced three methods: Basic Indicator Approach (15% × gross income), Standardised Approach (8–18% by business line), and Advanced Measurement Approach (AMA — internal models, later abolished by Basel IV).</w:t>
      </w:r>
    </w:p>
    <w:p>
      <w:pPr>
        <w:pStyle w:val="Heading2"/>
        <w:pBdr>
          <w:bottom w:val="single" w:color="0E6B8A" w:sz="6" w:space="1"/>
        </w:pBdr>
        <w:spacing w:before="200" w:after="60"/>
      </w:pPr>
      <w:r>
        <w:rPr>
          <w:rFonts w:ascii="Arial" w:cs="Arial" w:eastAsia="Arial" w:hAnsi="Arial"/>
          <w:b/>
          <w:bCs/>
          <w:color w:val="0E6B8A"/>
          <w:sz w:val="26"/>
          <w:szCs w:val="26"/>
        </w:rPr>
        <w:t xml:space="preserve">Basel II — Critical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Failure</w:t>
            </w:r>
          </w:p>
        </w:tc>
        <w:tc>
          <w:tcPr>
            <w:tcW w:type="dxa" w:w="34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Description</w:t>
            </w:r>
          </w:p>
        </w:tc>
        <w:tc>
          <w:tcPr>
            <w:tcW w:type="dxa" w:w="3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Consequence in 2007–09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Procyclicality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models calibrated to recent data produced low capital in boom, high capital in stress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Banks undercapitalised entering crisis; forced deleveraging in stress amplified losses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Trading Book Arbitrage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VaR-based market risk capital far below banking book credit risk capital for same exposure</w:t>
            </w:r>
          </w:p>
        </w:tc>
        <w:tc>
          <w:tcPr>
            <w:tcW w:type="dxa" w:w="3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Massive structured credit transferred to trading books with minimal capital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Model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models lacked data for structured products; parameter estimates unreliable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Catastrophic underestimation of CDO/ABS default correlations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Weakness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IRRBB, concentration risk, liquidity risk all left to Pillar 2 discretion</w:t>
            </w:r>
          </w:p>
        </w:tc>
        <w:tc>
          <w:tcPr>
            <w:tcW w:type="dxa" w:w="3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Supervisors failed to require adequate capital for these risks pre-crisis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Operational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AMA models produced widely varying outcomes with no consistency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not calibrated to actual operational risk exposure</w:t>
            </w:r>
          </w:p>
        </w:tc>
      </w:tr>
    </w:tbl>
    <w:p>
      <w:pPr>
        <w:spacing w:before="60" w:after="60"/>
      </w:pPr>
    </w:p>
    <w:p>
      <w:r>
        <w:br w:type="page"/>
      </w:r>
    </w:p>
    <w:p>
      <w:pPr>
        <w:pStyle w:val="Heading1"/>
        <w:spacing w:before="240" w:after="80"/>
      </w:pPr>
      <w:r>
        <w:rPr>
          <w:rFonts w:ascii="Arial" w:cs="Arial" w:eastAsia="Arial" w:hAnsi="Arial"/>
          <w:b/>
          <w:bCs/>
          <w:color w:val="1B3A6B"/>
          <w:sz w:val="32"/>
          <w:szCs w:val="32"/>
        </w:rPr>
        <w:t xml:space="preserve">Basel III — Capital Quality, Liquidity, and the Macroprudential Turn (2010)</w:t>
      </w:r>
    </w:p>
    <w:p>
      <w:pPr>
        <w:pStyle w:val="Heading2"/>
        <w:pBdr>
          <w:bottom w:val="single" w:color="0E6B8A" w:sz="6" w:space="1"/>
        </w:pBdr>
        <w:spacing w:before="200" w:after="60"/>
      </w:pPr>
      <w:r>
        <w:rPr>
          <w:rFonts w:ascii="Arial" w:cs="Arial" w:eastAsia="Arial" w:hAnsi="Arial"/>
          <w:b/>
          <w:bCs/>
          <w:color w:val="0E6B8A"/>
          <w:sz w:val="26"/>
          <w:szCs w:val="26"/>
        </w:rPr>
        <w:t xml:space="preserve">Context &amp; Origins</w:t>
      </w:r>
    </w:p>
    <w:p>
      <w:pPr>
        <w:spacing w:before="60" w:after="60"/>
      </w:pPr>
      <w:r>
        <w:rPr>
          <w:rFonts w:ascii="Arial" w:cs="Arial" w:eastAsia="Arial" w:hAnsi="Arial"/>
          <w:b w:val="false"/>
          <w:bCs w:val="false"/>
          <w:i w:val="false"/>
          <w:iCs w:val="false"/>
          <w:color w:val="333333"/>
          <w:sz w:val="20"/>
          <w:szCs w:val="20"/>
        </w:rPr>
        <w:t xml:space="preserve">Basel III was published in December 2010 following the 2007–09 Global Financial Crisis. Its diagnosis was precise: pre-crisis banks held too little capital, of too poor quality, with too little liquidity. Basel III addressed each dimension simultaneously — raising the minimum capital ratio, tightening the definition of qualifying capital, and introducing quantitative liquidity standards for the first time.</w:t>
      </w:r>
    </w:p>
    <w:p>
      <w:pPr>
        <w:pStyle w:val="Heading2"/>
        <w:pBdr>
          <w:bottom w:val="single" w:color="0E6B8A" w:sz="6" w:space="1"/>
        </w:pBdr>
        <w:spacing w:before="200" w:after="60"/>
      </w:pPr>
      <w:r>
        <w:rPr>
          <w:rFonts w:ascii="Arial" w:cs="Arial" w:eastAsia="Arial" w:hAnsi="Arial"/>
          <w:b/>
          <w:bCs/>
          <w:color w:val="0E6B8A"/>
          <w:sz w:val="26"/>
          <w:szCs w:val="26"/>
        </w:rPr>
        <w:t xml:space="preserve">Capital Quality — The CET1 Revolution</w:t>
      </w:r>
    </w:p>
    <w:p>
      <w:pPr>
        <w:spacing w:before="60" w:after="60"/>
      </w:pPr>
      <w:r>
        <w:rPr>
          <w:rFonts w:ascii="Arial" w:cs="Arial" w:eastAsia="Arial" w:hAnsi="Arial"/>
          <w:b w:val="false"/>
          <w:bCs w:val="false"/>
          <w:i w:val="false"/>
          <w:iCs w:val="false"/>
          <w:color w:val="333333"/>
          <w:sz w:val="20"/>
          <w:szCs w:val="20"/>
        </w:rPr>
        <w:t xml:space="preserve">Basel III's most important change was not the quantity of capital but its quality. Pre-crisis Tier 1 capital included hybrid instruments — Tier 1 CoCos, preference shares, and other instruments that absorbed losses only in theory. In practice, many failed to absorb losses when banks needed them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Capital Tier</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Basel III Definition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CET1 (Common Equity Tier 1)</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Common shares + retained earnings only. Strictest definition ever.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Additional Tier 1 (AT1)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CoCos and instruments with conversion/write-down triggers. Loss-absorbing in theory.</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Tier 2</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Subordinated debt, general provisions (within limits).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Capital Conservation 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2.5% CET1 above minimum. Distributions restricted if eroded.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G-SIB Surcharge</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1–3.5% additional CET1 for systemically important banks.</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The Macroprudential Layer — System-Level Stability Mechanisms</w:t>
      </w:r>
    </w:p>
    <w:p>
      <w:pPr>
        <w:spacing w:before="60" w:after="60"/>
      </w:pPr>
      <w:r>
        <w:rPr>
          <w:rFonts w:ascii="Arial" w:cs="Arial" w:eastAsia="Arial" w:hAnsi="Arial"/>
          <w:b w:val="false"/>
          <w:bCs w:val="false"/>
          <w:i w:val="false"/>
          <w:iCs w:val="false"/>
          <w:color w:val="333333"/>
          <w:sz w:val="20"/>
          <w:szCs w:val="20"/>
        </w:rPr>
        <w:t xml:space="preserve">Basel I and II were microprudential frameworks — they focused on the solvency of individual banks in isolation. A bank that met its capital ratios was, in theory, safe. The 2007–09 crisis demonstrated the inadequacy of this approach: a system in which every individual bank appeared adequately capitalised could still suffer systemic collapse if the risks were correlated and the aggregate leverage was excessive.</w:t>
      </w:r>
    </w:p>
    <w:p>
      <w:pPr>
        <w:spacing w:before="60" w:after="60"/>
      </w:pPr>
      <w:r>
        <w:rPr>
          <w:rFonts w:ascii="Arial" w:cs="Arial" w:eastAsia="Arial" w:hAnsi="Arial"/>
          <w:b w:val="false"/>
          <w:bCs w:val="false"/>
          <w:i w:val="false"/>
          <w:iCs w:val="false"/>
          <w:color w:val="333333"/>
          <w:sz w:val="20"/>
          <w:szCs w:val="20"/>
        </w:rPr>
        <w:t xml:space="preserve">Basel III introduced the first explicit macroprudential elements — tools designed to protect the financial system as a whole, not just individual institutions. These operate above and alongside the Pillar 1 minimum capital framework.</w:t>
      </w:r>
    </w:p>
    <w:p>
      <w:pPr>
        <w:pStyle w:val="Heading3"/>
        <w:spacing w:before="160" w:after="40"/>
      </w:pPr>
      <w:r>
        <w:rPr>
          <w:rFonts w:ascii="Arial" w:cs="Arial" w:eastAsia="Arial" w:hAnsi="Arial"/>
          <w:b/>
          <w:bCs/>
          <w:color w:val="1B3A6B"/>
          <w:sz w:val="22"/>
          <w:szCs w:val="22"/>
        </w:rPr>
        <w:t xml:space="preserve">The Capital Buffer Stack — Basel III /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200"/>
        <w:gridCol w:w="11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Buffer</w:t>
            </w:r>
          </w:p>
        </w:tc>
        <w:tc>
          <w:tcPr>
            <w:tcW w:type="dxa" w:w="20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Type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Amount</w:t>
            </w:r>
          </w:p>
        </w:tc>
        <w:tc>
          <w:tcPr>
            <w:tcW w:type="dxa" w:w="22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Purpose</w:t>
            </w:r>
          </w:p>
        </w:tc>
        <w:tc>
          <w:tcPr>
            <w:tcW w:type="dxa" w:w="1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Set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Minimum CET1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Microprudential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4.5% of RWA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Minimum loss absorption before insolvency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BCBS — fixed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Capital Conservation Buffer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Microprudential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2.5% of RWA</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Protects minimum — restrictions apply if eroded</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BCBS — fixed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Countercyclical Buffer (CCyB)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Macroprudential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0–2.5% of RWA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Dampens credit cycle — built up in booms, released in stress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National regulator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G-SIB Surcharge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Macroprudential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1.0–3.5% of RWA</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Systemic importance premium — covers contagion externality</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BCBS formula, 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D-SIB Surcharge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Macroprudential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National discretion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Domestic systemically important banks — national regulator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National regulator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Requirement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Bank-specific</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Bank-specific risks not covered by Pillar 1</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 (SREP)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Guidance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Bank-specific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 expectation — non-binding but monitored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 (SREP)</w:t>
            </w:r>
          </w:p>
        </w:tc>
      </w:tr>
    </w:tbl>
    <w:p>
      <w:pPr>
        <w:spacing w:before="60" w:after="60"/>
      </w:pPr>
    </w:p>
    <w:p>
      <w:pPr>
        <w:pStyle w:val="Heading3"/>
        <w:spacing w:before="160" w:after="40"/>
      </w:pPr>
      <w:r>
        <w:rPr>
          <w:rFonts w:ascii="Arial" w:cs="Arial" w:eastAsia="Arial" w:hAnsi="Arial"/>
          <w:b/>
          <w:bCs/>
          <w:color w:val="1B3A6B"/>
          <w:sz w:val="22"/>
          <w:szCs w:val="22"/>
        </w:rPr>
        <w:t xml:space="preserve">The G-SIB Framework — Pricing the Systemic Externality</w:t>
      </w:r>
    </w:p>
    <w:p>
      <w:pPr>
        <w:spacing w:before="60" w:after="60"/>
      </w:pPr>
      <w:r>
        <w:rPr>
          <w:rFonts w:ascii="Arial" w:cs="Arial" w:eastAsia="Arial" w:hAnsi="Arial"/>
          <w:b w:val="false"/>
          <w:bCs w:val="false"/>
          <w:i w:val="false"/>
          <w:iCs w:val="false"/>
          <w:color w:val="333333"/>
          <w:sz w:val="20"/>
          <w:szCs w:val="20"/>
        </w:rPr>
        <w:t xml:space="preserve">Globally Systemically Important Banks (G-SIBs) are subject to additional capital surcharges of 1.0–3.5% of RWA, on top of all other requirements. The surcharge is designed to force G-SIBs to internalise the cost of the implicit too-big-to-fail subsidy — the lower funding costs they enjoy because counterparties believe governments will not allow them to fail.</w:t>
      </w:r>
    </w:p>
    <w:p>
      <w:pPr>
        <w:spacing w:before="60" w:after="60"/>
      </w:pPr>
      <w:r>
        <w:rPr>
          <w:rFonts w:ascii="Arial" w:cs="Arial" w:eastAsia="Arial" w:hAnsi="Arial"/>
          <w:b w:val="false"/>
          <w:bCs w:val="false"/>
          <w:i w:val="false"/>
          <w:iCs w:val="false"/>
          <w:color w:val="333333"/>
          <w:sz w:val="20"/>
          <w:szCs w:val="20"/>
        </w:rPr>
        <w:t xml:space="preserve">G-SIBs are identified annually by the BCBS using a methodology based on five dimensions: size, interconnectedness, cross-jurisdictional activity, substitutability (can another bank take over their functions?), and complexity. Banks are bucketed into five tiers with surcharges of 1.0%, 1.5%, 2.0%, 2.5%, and 3.5%.</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Bucket 5 (3.5%): currently empty — the BCBS increased this bucket in 2022 specifically to create a disincentive for any bank to become 'super-systemic'.</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Bucket 4 (2.5%): JPMorgan Chase (the only current occupant — the world's largest bank by many measures).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Bucket 3 (2.0%): Citigroup, HSBC, BNP Paribas, Bank of America.</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Bucket 2 (1.5%): Goldman Sachs, Barclays, Deutsche Bank,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G-SIB LOGIC</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G-SIB surcharge attempts to solve a fundamental public goods problem: a bank that is too large to fail receives an implicit government subsidy (lower funding costs, higher risk appetite) that it does not pay for. The surcharge is the price of that subsidy. Whether it is set at the right level — whether 2.5% extra capital adequately compensates for the systemic externality of a JPMorgan failure — is an open and genuinely difficult question.</w:t>
            </w:r>
          </w:p>
        </w:tc>
      </w:tr>
    </w:tbl>
    <w:p>
      <w:pPr>
        <w:pStyle w:val="Heading3"/>
        <w:spacing w:before="160" w:after="40"/>
      </w:pPr>
      <w:r>
        <w:rPr>
          <w:rFonts w:ascii="Arial" w:cs="Arial" w:eastAsia="Arial" w:hAnsi="Arial"/>
          <w:b/>
          <w:bCs/>
          <w:color w:val="1B3A6B"/>
          <w:sz w:val="22"/>
          <w:szCs w:val="22"/>
        </w:rPr>
        <w:t xml:space="preserve">Stress Testing as a Macroprudential Tool</w:t>
      </w:r>
    </w:p>
    <w:p>
      <w:pPr>
        <w:spacing w:before="60" w:after="60"/>
      </w:pPr>
      <w:r>
        <w:rPr>
          <w:rFonts w:ascii="Arial" w:cs="Arial" w:eastAsia="Arial" w:hAnsi="Arial"/>
          <w:b w:val="false"/>
          <w:bCs w:val="false"/>
          <w:i w:val="false"/>
          <w:iCs w:val="false"/>
          <w:color w:val="333333"/>
          <w:sz w:val="20"/>
          <w:szCs w:val="20"/>
        </w:rPr>
        <w:t xml:space="preserve">Supervisory stress tests — the Federal Reserve's CCAR/DFAST in the US, the EBA stress tests in Europe, the Bank of England's annual cyclical scenario — are not Basel Pillar 1 tools. They operate alongside the framework and serve different purposes: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They test whether banks can survive a specific severe but plausible macroeconomic scenario, not just meet a formula-based capital ratio under current conditions.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They are conducted using supervisory models, not bank internal models — removing the incentive to use optimistic internal assumptions to manage capital consumption.</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Results are publicly disclosed, activating Pillar 3 market discipline: a bank that performs poorly in a stress test faces market pressure (funding costs, equity price) even before any supervisory action is taken.</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In the US, stress test results directly determine dividend and buyback capacity — making the stress test a binding capital constraint for large banks, often more binding in practice than the Pillar 1 minimum.</w:t>
      </w:r>
    </w:p>
    <w:p>
      <w:pPr>
        <w:spacing w:before="60" w:after="60"/>
      </w:pPr>
      <w:r>
        <w:rPr>
          <w:rFonts w:ascii="Arial" w:cs="Arial" w:eastAsia="Arial" w:hAnsi="Arial"/>
          <w:b w:val="false"/>
          <w:bCs w:val="false"/>
          <w:i w:val="false"/>
          <w:iCs w:val="false"/>
          <w:color w:val="333333"/>
          <w:sz w:val="20"/>
          <w:szCs w:val="20"/>
        </w:rPr>
        <w:t xml:space="preserve">The macroprudential layer — CCyB, G-SIB surcharges, stress testing — represents Basel's attempt to address systemic risk transmission across institutions, not just single-bank capital adequacy. It is the part of the framework most directly responsive to Gellért Peti's observation that Basel must address systemic risk transmission, not just individual bank solvency.</w:t>
      </w:r>
    </w:p>
    <w:p>
      <w:pPr>
        <w:pStyle w:val="Heading2"/>
        <w:pBdr>
          <w:bottom w:val="single" w:color="0E6B8A" w:sz="6" w:space="1"/>
        </w:pBdr>
        <w:spacing w:before="200" w:after="60"/>
      </w:pPr>
      <w:r>
        <w:rPr>
          <w:rFonts w:ascii="Arial" w:cs="Arial" w:eastAsia="Arial" w:hAnsi="Arial"/>
          <w:b/>
          <w:bCs/>
          <w:color w:val="0E6B8A"/>
          <w:sz w:val="26"/>
          <w:szCs w:val="26"/>
        </w:rPr>
        <w:t xml:space="preserve">Procyclicality — How Risk Metrics Amplify the Cycle They Measure</w:t>
      </w:r>
    </w:p>
    <w:p>
      <w:pPr>
        <w:spacing w:before="60" w:after="60"/>
      </w:pPr>
      <w:r>
        <w:rPr>
          <w:rFonts w:ascii="Arial" w:cs="Arial" w:eastAsia="Arial" w:hAnsi="Arial"/>
          <w:b w:val="false"/>
          <w:bCs w:val="false"/>
          <w:i w:val="false"/>
          <w:iCs w:val="false"/>
          <w:color w:val="333333"/>
          <w:sz w:val="20"/>
          <w:szCs w:val="20"/>
        </w:rPr>
        <w:t xml:space="preserve">One of the most important and least discussed properties of model-based capital frameworks is procyclicality: the tendency for capital requirements to fall in booms (when losses are low and models estimate low risk) and rise in recessions (when losses materialise and models estimate high risk). This is the opposite of the prudential intent of capital regulation.</w:t>
      </w:r>
    </w:p>
    <w:p>
      <w:pPr>
        <w:pStyle w:val="Heading3"/>
        <w:spacing w:before="160" w:after="40"/>
      </w:pPr>
      <w:r>
        <w:rPr>
          <w:rFonts w:ascii="Arial" w:cs="Arial" w:eastAsia="Arial" w:hAnsi="Arial"/>
          <w:b/>
          <w:bCs/>
          <w:color w:val="1B3A6B"/>
          <w:sz w:val="22"/>
          <w:szCs w:val="22"/>
        </w:rPr>
        <w:t xml:space="preserve">The VaR Amplification Mechanism</w:t>
      </w:r>
    </w:p>
    <w:p>
      <w:pPr>
        <w:spacing w:before="60" w:after="60"/>
      </w:pPr>
      <w:r>
        <w:rPr>
          <w:rFonts w:ascii="Arial" w:cs="Arial" w:eastAsia="Arial" w:hAnsi="Arial"/>
          <w:b w:val="false"/>
          <w:bCs w:val="false"/>
          <w:i w:val="false"/>
          <w:iCs w:val="false"/>
          <w:color w:val="333333"/>
          <w:sz w:val="20"/>
          <w:szCs w:val="20"/>
        </w:rPr>
        <w:t xml:space="preserve">The procyclicality problem is clearest in market risk capital. Pre-FRTB VaR models were calibrated on recent historical data — typically one year of daily returns. In a benign market environment (2003–2006), daily volatility was low, correlations between asset classes were stable, and VaR estimates were low. Capital requirements were low. Banks used the 'freed-up' capital to increase position sizes — amplifying the exposure that would generate losses in the subsequent downturn.</w:t>
      </w:r>
    </w:p>
    <w:p>
      <w:pPr>
        <w:spacing w:before="60" w:after="60"/>
      </w:pPr>
      <w:r>
        <w:rPr>
          <w:rFonts w:ascii="Arial" w:cs="Arial" w:eastAsia="Arial" w:hAnsi="Arial"/>
          <w:b w:val="false"/>
          <w:bCs w:val="false"/>
          <w:i w:val="false"/>
          <w:iCs w:val="false"/>
          <w:color w:val="333333"/>
          <w:sz w:val="20"/>
          <w:szCs w:val="20"/>
        </w:rPr>
        <w:t xml:space="preserve">When the crisis arrived in 2007, the same mechanism operated in reverse. Rising volatility pushed VaR estimates up, capital requirements increased, banks were forced to reduce positions (deleveraging), which further depressed prices, which further raised volatility and VaR. The capital model was not just failing to constrain the cycle — it was actively amplifying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1680"/>
        <w:gridCol w:w="2000"/>
        <w:gridCol w:w="1880"/>
        <w:gridCol w:w="1920"/>
      </w:tblGrid>
      <w:tr>
        <w:tc>
          <w:tcPr>
            <w:tcW w:type="dxa" w:w="1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Phase</w:t>
            </w:r>
          </w:p>
        </w:tc>
        <w:tc>
          <w:tcPr>
            <w:tcW w:type="dxa" w:w="16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Conditions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VaR/RWA Effect</w:t>
            </w:r>
          </w:p>
        </w:tc>
        <w:tc>
          <w:tcPr>
            <w:tcW w:type="dxa" w:w="18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Bank Behaviour</w:t>
            </w:r>
          </w:p>
        </w:tc>
        <w:tc>
          <w:tcPr>
            <w:tcW w:type="dxa" w:w="19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Systemic Effect</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Boom (2004–06)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Low vol, tight spreads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falls → lower capital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Increase leverage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expansion, asset inflation</w:t>
            </w:r>
          </w:p>
        </w:tc>
      </w:tr>
      <w:tr>
        <w:tc>
          <w:tcPr>
            <w:tcW w:type="dxa" w:w="1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Late Boom (2006–07)</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Vol still low, peak valuations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near historic lows</w:t>
            </w:r>
          </w:p>
        </w:tc>
        <w:tc>
          <w:tcPr>
            <w:tcW w:type="dxa" w:w="1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Maximum leverage</w:t>
            </w:r>
          </w:p>
        </w:tc>
        <w:tc>
          <w:tcPr>
            <w:tcW w:type="dxa" w:w="19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System at peak fragility</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Crisis Onset (2007–08)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Vol spikes, spreads widen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surges → capital rises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Forced deleveraging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Price collapse, liquidity freeze</w:t>
            </w:r>
          </w:p>
        </w:tc>
      </w:tr>
      <w:tr>
        <w:tc>
          <w:tcPr>
            <w:tcW w:type="dxa" w:w="1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Crisis Depth (2008–09)</w:t>
            </w:r>
          </w:p>
        </w:tc>
        <w:tc>
          <w:tcPr>
            <w:tcW w:type="dxa" w:w="1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Extreme vol, correlations=1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RWA doubles/triples</w:t>
            </w:r>
          </w:p>
        </w:tc>
        <w:tc>
          <w:tcPr>
            <w:tcW w:type="dxa" w:w="1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Emergency capital raises</w:t>
            </w:r>
          </w:p>
        </w:tc>
        <w:tc>
          <w:tcPr>
            <w:tcW w:type="dxa" w:w="19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Systemic credit contraction</w:t>
            </w:r>
          </w:p>
        </w:tc>
      </w:tr>
    </w:tbl>
    <w:p>
      <w:pPr>
        <w:spacing w:before="60" w:after="60"/>
      </w:pPr>
    </w:p>
    <w:p>
      <w:pPr>
        <w:pStyle w:val="Heading3"/>
        <w:spacing w:before="160" w:after="40"/>
      </w:pPr>
      <w:r>
        <w:rPr>
          <w:rFonts w:ascii="Arial" w:cs="Arial" w:eastAsia="Arial" w:hAnsi="Arial"/>
          <w:b/>
          <w:bCs/>
          <w:color w:val="1B3A6B"/>
          <w:sz w:val="22"/>
          <w:szCs w:val="22"/>
        </w:rPr>
        <w:t xml:space="preserve">How Basel Attempted to Address Procyclicality</w:t>
      </w:r>
    </w:p>
    <w:p>
      <w:pPr>
        <w:spacing w:before="60" w:after="60"/>
      </w:pPr>
      <w:r>
        <w:rPr>
          <w:rFonts w:ascii="Arial" w:cs="Arial" w:eastAsia="Arial" w:hAnsi="Arial"/>
          <w:b w:val="false"/>
          <w:bCs w:val="false"/>
          <w:i w:val="false"/>
          <w:iCs w:val="false"/>
          <w:color w:val="333333"/>
          <w:sz w:val="20"/>
          <w:szCs w:val="20"/>
        </w:rPr>
        <w:t xml:space="preserve">The BCBS recognised the procyclicality problem explicitly in the Basel III reform. Several mechanisms were introduced to dampen the cycle:</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Stressed VaR (SVaR) — requiring VaR to be recalculated using a historical stress period (typically 2007–09). By anchoring part of the capital calculation to a crisis period, the Basel III framework prevented capital from collapsing to near-zero in benign markets. FRTB's ES framework extended this by requiring a fully stressed calibration for the entire ES model.</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Countercyclical Capital Buffer (CCyB) — a 0–2.5% CET1 buffer set by national regulators based on credit-to-GDP gap and other indicators of excess credit growth. The CCyB is built up in booms and released rapidly in downturns, providing banks with additional loss-absorbing capacity precisely when it is most needed.</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Through-the-Cycle PD Estimates — Basel II IRB requires banks to estimate PD on a through-the-cycle basis, not point-in-time, reducing the swing in credit capital requirements across the cycle. In practice, implementation varied significantly and point-in-time elements persisted in many internal models.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Capital Conservation Buffer — the 2.5% CET1 buffer above the minimum creates a graduated constraint: as capital erodes into the buffer, dividend and bonus distributions are restricted, forcing earnings retention before any formal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THE UNSOLVED PROBLEM</w:t>
            </w:r>
          </w:p>
        </w:tc>
        <w:tc>
          <w:tcPr>
            <w:tcW w:type="dxa" w:w="7960"/>
            <w:tcBorders>
              <w:top w:val="single" w:color="8B0000" w:sz="1"/>
              <w:left w:val="single" w:color="8B0000" w:sz="1"/>
              <w:bottom w:val="single" w:color="8B0000" w:sz="1"/>
              <w:right w:val="single" w:color="8B0000"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Despite these measures, procyclicality remains structurally embedded in model-based capital frameworks. ES is less procyclical than VaR (stressed calibration helps), but any model that responds to recent data will exhibit some degree of procyclicality. The CCyB helps at the macro level but depends on supervisors setting it correctly and early — which requires identifying the boom phase in real time, which is genuinely difficult.</w:t>
            </w:r>
          </w:p>
        </w:tc>
      </w:tr>
    </w:tbl>
    <w:p>
      <w:pPr>
        <w:pStyle w:val="Heading3"/>
        <w:spacing w:before="160" w:after="40"/>
      </w:pPr>
      <w:r>
        <w:rPr>
          <w:rFonts w:ascii="Arial" w:cs="Arial" w:eastAsia="Arial" w:hAnsi="Arial"/>
          <w:b/>
          <w:bCs/>
          <w:color w:val="1B3A6B"/>
          <w:sz w:val="22"/>
          <w:szCs w:val="22"/>
        </w:rPr>
        <w:t xml:space="preserve">ES as an Improvement — But Not a Solution</w:t>
      </w:r>
    </w:p>
    <w:p>
      <w:pPr>
        <w:spacing w:before="60" w:after="60"/>
      </w:pPr>
      <w:r>
        <w:rPr>
          <w:rFonts w:ascii="Arial" w:cs="Arial" w:eastAsia="Arial" w:hAnsi="Arial"/>
          <w:b w:val="false"/>
          <w:bCs w:val="false"/>
          <w:i w:val="false"/>
          <w:iCs w:val="false"/>
          <w:color w:val="333333"/>
          <w:sz w:val="20"/>
          <w:szCs w:val="20"/>
        </w:rPr>
        <w:t xml:space="preserve">FRTB's Expected Shortfall measure, calibrated to a stressed period, is less procyclical than the old VaR approach. A bank cannot 'earn' lower ES capital merely by operating in a calm market — the stressed calibration creates a floor. But ES still responds to changes in portfolio composition and to the identity of the chosen stress period. A bank that argues its 2007-09 stress period is no longer representative of current risks has a plausible case — and the ability to compress capital by selecting a more favourable period.</w:t>
      </w:r>
    </w:p>
    <w:p>
      <w:pPr>
        <w:spacing w:before="60" w:after="60"/>
      </w:pPr>
      <w:r>
        <w:rPr>
          <w:rFonts w:ascii="Arial" w:cs="Arial" w:eastAsia="Arial" w:hAnsi="Arial"/>
          <w:b w:val="false"/>
          <w:bCs w:val="false"/>
          <w:i w:val="false"/>
          <w:iCs w:val="false"/>
          <w:color w:val="333333"/>
          <w:sz w:val="20"/>
          <w:szCs w:val="20"/>
        </w:rPr>
        <w:t xml:space="preserve">The deeper problem — identified by Gellért Peti — is that any statistical model calibrated to historical data will exhibit some degree of procyclicality, because the data it is calibrated to reflects the very conditions it is trying to manage.</w:t>
      </w:r>
    </w:p>
    <w:p>
      <w:pPr>
        <w:pStyle w:val="Heading2"/>
        <w:pBdr>
          <w:bottom w:val="single" w:color="0E6B8A" w:sz="6" w:space="1"/>
        </w:pBdr>
        <w:spacing w:before="200" w:after="60"/>
      </w:pPr>
      <w:r>
        <w:rPr>
          <w:rFonts w:ascii="Arial" w:cs="Arial" w:eastAsia="Arial" w:hAnsi="Arial"/>
          <w:b/>
          <w:bCs/>
          <w:color w:val="0E6B8A"/>
          <w:sz w:val="26"/>
          <w:szCs w:val="26"/>
        </w:rPr>
        <w:t xml:space="preserve">Liquidity Standards — LCR and NSFR</w:t>
      </w:r>
    </w:p>
    <w:p>
      <w:pPr>
        <w:spacing w:before="60" w:after="60"/>
      </w:pPr>
      <w:r>
        <w:rPr>
          <w:rFonts w:ascii="Arial" w:cs="Arial" w:eastAsia="Arial" w:hAnsi="Arial"/>
          <w:b w:val="false"/>
          <w:bCs w:val="false"/>
          <w:i w:val="false"/>
          <w:iCs w:val="false"/>
          <w:color w:val="333333"/>
          <w:sz w:val="20"/>
          <w:szCs w:val="20"/>
        </w:rPr>
        <w:t xml:space="preserve">Basel III introduced the first quantitative liquidity requirements. The Liquidity Coverage Ratio (LCR) requires banks to hold sufficient High Quality Liquid Assets (HQLA) to survive 30 days of net stressed outflows: HQLA / Net Stressed Outflows ≥ 100%. The Net Stable Funding Ratio (NSFR) addresses structural funding risk over a 1-year horizon: Available Stable Funding / Required Stable Funding ≥ 100%.</w:t>
      </w:r>
    </w:p>
    <w:p>
      <w:pPr>
        <w:pStyle w:val="Heading2"/>
        <w:pBdr>
          <w:bottom w:val="single" w:color="0E6B8A" w:sz="6" w:space="1"/>
        </w:pBdr>
        <w:spacing w:before="200" w:after="60"/>
      </w:pPr>
      <w:r>
        <w:rPr>
          <w:rFonts w:ascii="Arial" w:cs="Arial" w:eastAsia="Arial" w:hAnsi="Arial"/>
          <w:b/>
          <w:bCs/>
          <w:color w:val="0E6B8A"/>
          <w:sz w:val="26"/>
          <w:szCs w:val="26"/>
        </w:rPr>
        <w:t xml:space="preserve">Market Risk — SVaR, IRC, and CVA</w:t>
      </w:r>
    </w:p>
    <w:p>
      <w:pPr>
        <w:spacing w:before="60" w:after="60"/>
      </w:pPr>
      <w:r>
        <w:rPr>
          <w:rFonts w:ascii="Arial" w:cs="Arial" w:eastAsia="Arial" w:hAnsi="Arial"/>
          <w:b w:val="false"/>
          <w:bCs w:val="false"/>
          <w:i w:val="false"/>
          <w:iCs w:val="false"/>
          <w:color w:val="333333"/>
          <w:sz w:val="20"/>
          <w:szCs w:val="20"/>
        </w:rPr>
        <w:t xml:space="preserve">Basel III introduced three significant market risk additions: Stressed VaR (SVaR), requiring VaR recalculation using a 12-month stress period (typically 2007–09); the Incremental Risk Charge (IRC), a 99.9% 1-year capital charge for default and migration risk on credit-sensitive trading book positions; and CVA Capital, a charge for the credit valuation adjustment on derivatives portfolios — the largest single source of GFC trading book losses not previously capitalised.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COUNTERCYCLICAL BUFFER</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CCyB was described in an earlier version of this document only as being 'set in periods of excess credit growth'. Correction: the release mechanism is equally important — the CCyB is explicitly designed to be released rapidly in downturns to support bank lending capacity. The release function is central to the macroprudential logic.</w:t>
            </w:r>
          </w:p>
        </w:tc>
      </w:tr>
    </w:tbl>
    <w:p>
      <w:r>
        <w:br w:type="page"/>
      </w:r>
    </w:p>
    <w:p>
      <w:pPr>
        <w:pStyle w:val="Heading1"/>
        <w:spacing w:before="240" w:after="80"/>
      </w:pPr>
      <w:r>
        <w:rPr>
          <w:rFonts w:ascii="Arial" w:cs="Arial" w:eastAsia="Arial" w:hAnsi="Arial"/>
          <w:b/>
          <w:bCs/>
          <w:color w:val="1B3A6B"/>
          <w:sz w:val="32"/>
          <w:szCs w:val="32"/>
        </w:rPr>
        <w:t xml:space="preserve">Basel IV — Finalising the Post-Crisis Architecture (2017)</w:t>
      </w:r>
    </w:p>
    <w:p>
      <w:pPr>
        <w:pStyle w:val="Heading2"/>
        <w:pBdr>
          <w:bottom w:val="single" w:color="0E6B8A" w:sz="6" w:space="1"/>
        </w:pBdr>
        <w:spacing w:before="200" w:after="60"/>
      </w:pPr>
      <w:r>
        <w:rPr>
          <w:rFonts w:ascii="Arial" w:cs="Arial" w:eastAsia="Arial" w:hAnsi="Arial"/>
          <w:b/>
          <w:bCs/>
          <w:color w:val="0E6B8A"/>
          <w:sz w:val="26"/>
          <w:szCs w:val="26"/>
        </w:rPr>
        <w:t xml:space="preserve">Context &amp; Origins</w:t>
      </w:r>
    </w:p>
    <w:p>
      <w:pPr>
        <w:spacing w:before="60" w:after="60"/>
      </w:pPr>
      <w:r>
        <w:rPr>
          <w:rFonts w:ascii="Arial" w:cs="Arial" w:eastAsia="Arial" w:hAnsi="Arial"/>
          <w:b w:val="false"/>
          <w:bCs w:val="false"/>
          <w:i w:val="false"/>
          <w:iCs w:val="false"/>
          <w:color w:val="333333"/>
          <w:sz w:val="20"/>
          <w:szCs w:val="20"/>
        </w:rPr>
        <w:t xml:space="preserve">Basel IV — formally 'Basel III: Finalising Post-Crisis Reforms' (BCBS 2017) — completed the post-GFC reform agenda. Its primary objectives were to restore credibility to internal model outputs (where years of optimisation had compressed IMA capital below defensible levels), constrain model variability, and ensure a minimum floor below which no bank's capital could fall regardless of its model sophistication.</w:t>
      </w:r>
    </w:p>
    <w:p>
      <w:pPr>
        <w:pStyle w:val="Heading2"/>
        <w:pBdr>
          <w:bottom w:val="single" w:color="0E6B8A" w:sz="6" w:space="1"/>
        </w:pBdr>
        <w:spacing w:before="200" w:after="60"/>
      </w:pPr>
      <w:r>
        <w:rPr>
          <w:rFonts w:ascii="Arial" w:cs="Arial" w:eastAsia="Arial" w:hAnsi="Arial"/>
          <w:b/>
          <w:bCs/>
          <w:color w:val="0E6B8A"/>
          <w:sz w:val="26"/>
          <w:szCs w:val="26"/>
        </w:rPr>
        <w:t xml:space="preserve">The Output Floor — The Framework's Most Consequential Innovation</w:t>
      </w:r>
    </w:p>
    <w:p>
      <w:pPr>
        <w:spacing w:before="60" w:after="60"/>
      </w:pPr>
      <w:r>
        <w:rPr>
          <w:rFonts w:ascii="Arial" w:cs="Arial" w:eastAsia="Arial" w:hAnsi="Arial"/>
          <w:b w:val="false"/>
          <w:bCs w:val="false"/>
          <w:i w:val="false"/>
          <w:iCs w:val="false"/>
          <w:color w:val="333333"/>
          <w:sz w:val="20"/>
          <w:szCs w:val="20"/>
        </w:rPr>
        <w:t xml:space="preserve">Basel IV's output floor requires that aggregate RWA under internal models cannot fall below 72.5% of the RWA that would result from applying the standardised approaches. This is the most significant acknowledgement in the Basel framework's history that internal models, left unconstrained, produce capital figures that are insufficiently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OUTPUT FLOOR LOGIC</w:t>
            </w:r>
          </w:p>
        </w:tc>
        <w:tc>
          <w:tcPr>
            <w:tcW w:type="dxa" w:w="7960"/>
            <w:tcBorders>
              <w:top w:val="single" w:color="1B3A6B" w:sz="1"/>
              <w:left w:val="single" w:color="1B3A6B" w:sz="1"/>
              <w:bottom w:val="single" w:color="1B3A6B" w:sz="1"/>
              <w:right w:val="single" w:color="1B3A6B"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 bank with highly optimised IRB and IMA models might produce total RWA of €50bn. The SA across the same portfolio might produce €100bn. Pre-floor, the bank holds capital against €50bn. Post-floor, minimum capital must reflect €72.5bn (72.5% × €100bn). The floor operates at aggregate level across all risk types.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Credit Risk — IRB Constraints</w:t>
      </w:r>
    </w:p>
    <w:p>
      <w:pPr>
        <w:spacing w:before="60" w:after="60"/>
      </w:pPr>
      <w:r>
        <w:rPr>
          <w:rFonts w:ascii="Arial" w:cs="Arial" w:eastAsia="Arial" w:hAnsi="Arial"/>
          <w:b w:val="false"/>
          <w:bCs w:val="false"/>
          <w:i w:val="false"/>
          <w:iCs w:val="false"/>
          <w:color w:val="333333"/>
          <w:sz w:val="20"/>
          <w:szCs w:val="20"/>
        </w:rPr>
        <w:t xml:space="preserve">Basel IV retained the IRB framework but imposed significant constraints: PD floors (minimum 0.05% for all exposures), LGD floors (25% for secured residential mortgages, 45% for unsecured corporate), removal of A-IRB for certain exposure classes (financial institutions, large corporates), and reduced scope for supervisory approval of parameter estimates.</w:t>
      </w:r>
    </w:p>
    <w:p>
      <w:pPr>
        <w:pStyle w:val="Heading2"/>
        <w:pBdr>
          <w:bottom w:val="single" w:color="0E6B8A" w:sz="6" w:space="1"/>
        </w:pBdr>
        <w:spacing w:before="200" w:after="60"/>
      </w:pPr>
      <w:r>
        <w:rPr>
          <w:rFonts w:ascii="Arial" w:cs="Arial" w:eastAsia="Arial" w:hAnsi="Arial"/>
          <w:b/>
          <w:bCs/>
          <w:color w:val="0E6B8A"/>
          <w:sz w:val="26"/>
          <w:szCs w:val="26"/>
        </w:rPr>
        <w:t xml:space="preserve">FRTB — Complete Market Risk Redesign</w:t>
      </w:r>
    </w:p>
    <w:p>
      <w:pPr>
        <w:spacing w:before="60" w:after="60"/>
      </w:pPr>
      <w:r>
        <w:rPr>
          <w:rFonts w:ascii="Arial" w:cs="Arial" w:eastAsia="Arial" w:hAnsi="Arial"/>
          <w:b w:val="false"/>
          <w:bCs w:val="false"/>
          <w:i w:val="false"/>
          <w:iCs w:val="false"/>
          <w:color w:val="333333"/>
          <w:sz w:val="20"/>
          <w:szCs w:val="20"/>
        </w:rPr>
        <w:t xml:space="preserve">FRTB (Fundamental Review of the Trading Book) replaced the entire Basel II/III market risk framework. Key changes: ES replacing VaR (capturing tail severity, not just threshold), desk-level IMA approval with P&amp;L Attribution Test, liquidity horizons of 10–250 days by risk factor, and NMRF charges for risk factors with insufficient price observations. See Module 2 for detailed FRTB coverage.</w:t>
      </w:r>
    </w:p>
    <w:p>
      <w:pPr>
        <w:pStyle w:val="Heading2"/>
        <w:pBdr>
          <w:bottom w:val="single" w:color="0E6B8A" w:sz="6" w:space="1"/>
        </w:pBdr>
        <w:spacing w:before="200" w:after="60"/>
      </w:pPr>
      <w:r>
        <w:rPr>
          <w:rFonts w:ascii="Arial" w:cs="Arial" w:eastAsia="Arial" w:hAnsi="Arial"/>
          <w:b/>
          <w:bCs/>
          <w:color w:val="0E6B8A"/>
          <w:sz w:val="26"/>
          <w:szCs w:val="26"/>
        </w:rPr>
        <w:t xml:space="preserve">Operational Risk — SMA Replaces All Models</w:t>
      </w:r>
    </w:p>
    <w:p>
      <w:pPr>
        <w:spacing w:before="60" w:after="60"/>
      </w:pPr>
      <w:r>
        <w:rPr>
          <w:rFonts w:ascii="Arial" w:cs="Arial" w:eastAsia="Arial" w:hAnsi="Arial"/>
          <w:b w:val="false"/>
          <w:bCs w:val="false"/>
          <w:i w:val="false"/>
          <w:iCs w:val="false"/>
          <w:color w:val="333333"/>
          <w:sz w:val="20"/>
          <w:szCs w:val="20"/>
        </w:rPr>
        <w:t xml:space="preserve">The Standardised Measurement Approach (SMA) replaced the Basic Indicator Approach, Standardised Approach, and Advanced Measurement Approach (AMA) with a single formula: BI Component (based on Business Indicator) × Internal Loss Multiplier (based on actual historical losses). The AMA was abolished due to excessive variability — banks using AMA held capital 10× different from comparable peers.</w:t>
      </w:r>
    </w:p>
    <w:p>
      <w:pPr>
        <w:pStyle w:val="Heading2"/>
        <w:pBdr>
          <w:bottom w:val="single" w:color="0E6B8A" w:sz="6" w:space="1"/>
        </w:pBdr>
        <w:spacing w:before="200" w:after="60"/>
      </w:pPr>
      <w:r>
        <w:rPr>
          <w:rFonts w:ascii="Arial" w:cs="Arial" w:eastAsia="Arial" w:hAnsi="Arial"/>
          <w:b/>
          <w:bCs/>
          <w:color w:val="0E6B8A"/>
          <w:sz w:val="26"/>
          <w:szCs w:val="26"/>
        </w:rPr>
        <w:t xml:space="preserve">SA-CCR — Counterparty Credit Risk</w:t>
      </w:r>
    </w:p>
    <w:p>
      <w:pPr>
        <w:spacing w:before="60" w:after="60"/>
      </w:pPr>
      <w:r>
        <w:rPr>
          <w:rFonts w:ascii="Arial" w:cs="Arial" w:eastAsia="Arial" w:hAnsi="Arial"/>
          <w:b w:val="false"/>
          <w:bCs w:val="false"/>
          <w:i w:val="false"/>
          <w:iCs w:val="false"/>
          <w:color w:val="333333"/>
          <w:sz w:val="20"/>
          <w:szCs w:val="20"/>
        </w:rPr>
        <w:t xml:space="preserve">The Standardised Approach for Counterparty Credit Risk (SA-CCR) replaced the Current Exposure Method (CEM) for measuring derivatives CCR. SA-CCR recognises netting benefits, margin agreements, and delta-adjusted notionals, applying an alpha multiplier of 1.4×. Note: SA-CCR was finalised by BCBS in March 2014 and is correctly attributed to Basel IV/CRR2, not Basel III as incorrectly described in earlier versions of this document.</w:t>
      </w:r>
    </w:p>
    <w:p>
      <w:r>
        <w:br w:type="page"/>
      </w:r>
    </w:p>
    <w:p>
      <w:pPr>
        <w:pStyle w:val="Heading1"/>
        <w:spacing w:before="240" w:after="80"/>
      </w:pPr>
      <w:r>
        <w:rPr>
          <w:rFonts w:ascii="Arial" w:cs="Arial" w:eastAsia="Arial" w:hAnsi="Arial"/>
          <w:b/>
          <w:bCs/>
          <w:color w:val="1B3A6B"/>
          <w:sz w:val="32"/>
          <w:szCs w:val="32"/>
        </w:rPr>
        <w:t xml:space="preserve">Risk Framework Evolution — Basel I to Basel IV</w:t>
      </w:r>
    </w:p>
    <w:p>
      <w:pPr>
        <w:pStyle w:val="Heading2"/>
        <w:pBdr>
          <w:bottom w:val="single" w:color="0E6B8A" w:sz="6" w:space="1"/>
        </w:pBdr>
        <w:spacing w:before="200" w:after="60"/>
      </w:pPr>
      <w:r>
        <w:rPr>
          <w:rFonts w:ascii="Arial" w:cs="Arial" w:eastAsia="Arial" w:hAnsi="Arial"/>
          <w:b/>
          <w:bCs/>
          <w:color w:val="0E6B8A"/>
          <w:sz w:val="26"/>
          <w:szCs w:val="26"/>
        </w:rPr>
        <w:t xml:space="preserve">Credit Risk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80"/>
        <w:gridCol w:w="228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26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Approach</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Features</w:t>
            </w:r>
          </w:p>
        </w:tc>
        <w:tc>
          <w:tcPr>
            <w:tcW w:type="dxa" w:w="22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Limitations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 (1988)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Fixed risk weights (0/10/20/50/100%)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Simple; internationally consistent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credit quality differentiation; OECD bias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 (2004)</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(external ratings) or IRB (internal models)</w:t>
            </w:r>
          </w:p>
        </w:tc>
        <w:tc>
          <w:tcPr>
            <w:tcW w:type="dxa" w:w="2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Risk-sensitive; reward for good models</w:t>
            </w:r>
          </w:p>
        </w:tc>
        <w:tc>
          <w:tcPr>
            <w:tcW w:type="dxa" w:w="2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gaming; procyclicality; model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 (2010)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and IRB retained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SVaR; IRC; CVA capital introduced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Output floor absent; IRB variability continues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(2017)</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and constrained IRB; output floor at 72.5%</w:t>
            </w:r>
          </w:p>
        </w:tc>
        <w:tc>
          <w:tcPr>
            <w:tcW w:type="dxa" w:w="2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floors; SA recalibrated; model variability constrained</w:t>
            </w:r>
          </w:p>
        </w:tc>
        <w:tc>
          <w:tcPr>
            <w:tcW w:type="dxa" w:w="2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Phase-in complexity; US delay</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Market Risk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80"/>
        <w:gridCol w:w="228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2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Risk Measure</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Innovation</w:t>
            </w:r>
          </w:p>
        </w:tc>
        <w:tc>
          <w:tcPr>
            <w:tcW w:type="dxa" w:w="228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Structural Flaw Addressed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Pre-1996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None — no formal market risk capital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1996 Amendment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(99%, 10-day)</w:t>
            </w:r>
          </w:p>
        </w:tc>
        <w:tc>
          <w:tcPr>
            <w:tcW w:type="dxa" w:w="2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Internal models first allowed for regulatory capital</w:t>
            </w:r>
          </w:p>
        </w:tc>
        <w:tc>
          <w:tcPr>
            <w:tcW w:type="dxa" w:w="2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stressed calibration; 10-day LH uniform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2.5 (2009)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 SVaR + IRC + CRM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Stressed calibration introduced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Still VaR-based; porous boundary; complex layering</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 FRTB (2019)</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Expected Shortfall (97.5%, stressed)</w:t>
            </w:r>
          </w:p>
        </w:tc>
        <w:tc>
          <w:tcPr>
            <w:tcW w:type="dxa" w:w="2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ES replaces VaR; desk-level IMA; variable LH; PLAT</w:t>
            </w:r>
          </w:p>
        </w:tc>
        <w:tc>
          <w:tcPr>
            <w:tcW w:type="dxa" w:w="2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Procyclicality reduced but not eliminated</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Operational Risk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38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Approach</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Basis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 BIA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Basic Indicator Approach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15% × 3-year average gross income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 TSA</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8–18% by business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 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Advanced Measurement Approach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Internal models — abolished Basel IV</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SMA</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Measurement Approach</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BI Component × Internal Loss Multiplier</w:t>
            </w:r>
          </w:p>
        </w:tc>
      </w:tr>
    </w:tbl>
    <w:p>
      <w:r>
        <w:br w:type="page"/>
      </w:r>
    </w:p>
    <w:p>
      <w:pPr>
        <w:pStyle w:val="Heading1"/>
        <w:spacing w:before="240" w:after="80"/>
      </w:pPr>
      <w:r>
        <w:rPr>
          <w:rFonts w:ascii="Arial" w:cs="Arial" w:eastAsia="Arial" w:hAnsi="Arial"/>
          <w:b/>
          <w:bCs/>
          <w:color w:val="1B3A6B"/>
          <w:sz w:val="32"/>
          <w:szCs w:val="32"/>
        </w:rPr>
        <w:t xml:space="preserve">Worked Examples</w:t>
      </w:r>
    </w:p>
    <w:p>
      <w:pPr>
        <w:spacing w:before="80" w:after="60"/>
      </w:pPr>
      <w:r>
        <w:rPr>
          <w:rFonts w:ascii="Arial" w:cs="Arial" w:eastAsia="Arial" w:hAnsi="Arial"/>
          <w:b w:val="false"/>
          <w:bCs w:val="false"/>
          <w:i w:val="false"/>
          <w:iCs w:val="false"/>
          <w:color w:val="333333"/>
          <w:sz w:val="20"/>
          <w:szCs w:val="20"/>
        </w:rPr>
        <w:t xml:space="preserve">The following five worked examples apply successive Basel frameworks to the same or similar instruments, illustrating how capital requirements have changed from Basel I through Basel IV. All figures are standalone illustrative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IMPORTANT CAVEAT</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All capital figures in worked examples are single-trade, standalone calculations. In practice, capital is calculated at portfolio level with netting sets, margin agreements, and diversification effects that can substantially reduce or increase the figures shown. These examples are pedagogically correct, not production calculations.</w:t>
            </w:r>
          </w:p>
        </w:tc>
      </w:tr>
    </w:tbl>
    <w:p>
      <w:pPr>
        <w:pStyle w:val="Heading2"/>
        <w:pBdr>
          <w:bottom w:val="single" w:color="0E6B8A" w:sz="6" w:space="1"/>
        </w:pBdr>
        <w:spacing w:before="200" w:after="60"/>
      </w:pPr>
      <w:r>
        <w:rPr>
          <w:rFonts w:ascii="Arial" w:cs="Arial" w:eastAsia="Arial" w:hAnsi="Arial"/>
          <w:b/>
          <w:bCs/>
          <w:color w:val="0E6B8A"/>
          <w:sz w:val="26"/>
          <w:szCs w:val="26"/>
        </w:rPr>
        <w:t xml:space="preserve">Example 1: FX Forward — EUR/USD</w:t>
      </w:r>
    </w:p>
    <w:p>
      <w:pPr>
        <w:spacing w:before="60" w:after="60"/>
      </w:pPr>
      <w:r>
        <w:rPr>
          <w:rFonts w:ascii="Arial" w:cs="Arial" w:eastAsia="Arial" w:hAnsi="Arial"/>
          <w:b w:val="false"/>
          <w:bCs w:val="false"/>
          <w:i w:val="false"/>
          <w:iCs w:val="false"/>
          <w:color w:val="333333"/>
          <w:sz w:val="20"/>
          <w:szCs w:val="20"/>
        </w:rPr>
        <w:t xml:space="preserve">A UK bank enters a 3-month EUR/USD forward contract to sell €10,000,000 and receive USD at the forward rate. Counterparty: investment-grade US corporate.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30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 Component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 Amount</w:t>
            </w:r>
          </w:p>
        </w:tc>
        <w:tc>
          <w:tcPr>
            <w:tcW w:type="dxa" w:w="23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Risk Equivalent × RW × 8%. CRE = 0% (0–1yr) → minimal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 (minimal CCR charge)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formal CCR add-on methodology for short-dated FX</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 (SA)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SA-CR: IG corporate 100% RW. CEM: RC + 1% add-on. EAD ≈ €100k. Capital = €100k × 100% × 8%</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~€8,000</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CEM add-on + notional CCR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 (SA)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SA-CCR replaces CEM. Delta × Notional × Supervisory Factor. FX: SF =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~€32,000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SA-CCR captures delta and notional more precisely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SA-CCR with alpha 1.4×. Same mechanics; floor application at portfolio level.</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~€44,800</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Alpha multiplier 1.4× added to SA-CCR output</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Example 2: Equity Derivative — FTSE 100 Index Call Option</w:t>
      </w:r>
    </w:p>
    <w:p>
      <w:pPr>
        <w:spacing w:before="60" w:after="60"/>
      </w:pPr>
      <w:r>
        <w:rPr>
          <w:rFonts w:ascii="Arial" w:cs="Arial" w:eastAsia="Arial" w:hAnsi="Arial"/>
          <w:b w:val="false"/>
          <w:bCs w:val="false"/>
          <w:i w:val="false"/>
          <w:iCs w:val="false"/>
          <w:color w:val="333333"/>
          <w:sz w:val="20"/>
          <w:szCs w:val="20"/>
        </w:rPr>
        <w:t xml:space="preserve">A bank holds a long call option on the FTSE 100 index: notional £5,000,000, 3-month maturity, delta =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30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Approach</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w:t>
            </w:r>
          </w:p>
        </w:tc>
        <w:tc>
          <w:tcPr>
            <w:tcW w:type="dxa" w:w="23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Comment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market risk capital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Market risk entirely absent from Basel I</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1996 Amendment / Basel II</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General market risk: 8% × delta × notional. Specific risk: 0% (diversified index).</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£240,000</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Specific risk 0% for qualifying index (correction from v6)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 (SVaR)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 SVaR. In benign markets VaR ≈ £80k. SVaR (2008 stress) ≈ £200k. Total × 3 multiplier.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~£840,000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SVaR substantially increases trading book capital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(FRTB SA)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SBM: delta (8% RW × delta × notional) + vega + curvature charges.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~£480,000</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deterministic; lower than stressed VaR in some periods</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Example 3: Interest Rate Swap — 5-Year EUR Fixed/Floating</w:t>
      </w:r>
    </w:p>
    <w:p>
      <w:pPr>
        <w:spacing w:before="60" w:after="60"/>
      </w:pPr>
      <w:r>
        <w:rPr>
          <w:rFonts w:ascii="Arial" w:cs="Arial" w:eastAsia="Arial" w:hAnsi="Arial"/>
          <w:b w:val="false"/>
          <w:bCs w:val="false"/>
          <w:i w:val="false"/>
          <w:iCs w:val="false"/>
          <w:color w:val="333333"/>
          <w:sz w:val="20"/>
          <w:szCs w:val="20"/>
        </w:rPr>
        <w:t xml:space="preserve">A bank enters a 5-year EUR interest rate swap: receives fixed 3.00%, pays floating EURIBOR 6M. Notional €20,000,000. Counterparty: European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26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CCR EAD Method</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EAD</w:t>
            </w:r>
          </w:p>
        </w:tc>
        <w:tc>
          <w:tcPr>
            <w:tcW w:type="dxa" w:w="29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 RC + 0.5% add-on (1–5yr IRS). EAD = MTM + €100k notional add-on.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€100k × 20% RW (OECD bank) × 8% ≈ €1,600</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CEM: RC + 0.5% add-on. Netting benefits if CSA.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~€130,000</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€130k × 20% RW × 8% ≈ €2,080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CEM still operative. CVA capital introduced: €13,900 (BA-CVA 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~€130,000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CCR capital ≈ €2,080 + CVA ≈ €13,900 = €15,980</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SA-CCR: delta-adjusted notional × supervisory duration × SF 0.5%. Alpha 1.4×. SA-CVA.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~€155,000</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CCR ≈ €2,480 + SA-CVA ≈ €18,600 = €21,080</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Example 4: Credit Derivative — CDS Protection Sold on Investment-Grade Corporate</w:t>
      </w:r>
    </w:p>
    <w:p>
      <w:pPr>
        <w:spacing w:before="60" w:after="60"/>
      </w:pPr>
      <w:r>
        <w:rPr>
          <w:rFonts w:ascii="Arial" w:cs="Arial" w:eastAsia="Arial" w:hAnsi="Arial"/>
          <w:b w:val="false"/>
          <w:bCs w:val="false"/>
          <w:i w:val="false"/>
          <w:iCs w:val="false"/>
          <w:color w:val="333333"/>
          <w:sz w:val="20"/>
          <w:szCs w:val="20"/>
        </w:rPr>
        <w:t xml:space="preserve">A bank sells 5-year CDS protection on a BBB-rated corporate reference entity. Notional £10,000,000. Protection buyer: hedge fund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26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Approach</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w:t>
            </w:r>
          </w:p>
        </w:tc>
        <w:tc>
          <w:tcPr>
            <w:tcW w:type="dxa" w:w="29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Comment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On-balance-sheet equivalent: 100% RW × 8%. No specific CDS treatment.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~£800,000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Crude — no credit quality differentiation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 IRB</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PD 0.20%, LGD 45%, M 5yr. IRB formula: ≈ 6% RW density. Capital = £10m × 6% × 8%.</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~£48,000</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Risk-sensitive; significantly lower for IG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capital + CVA charge for counterparty (hedge fund). CVA ≈ £25,000.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~£73,000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CVA charge material for non-cleared hedge fund counterparty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Constrained IRB: LGD floor 45% confirmed. CCyB and G-SIB surcharges add 2–5% at bank level.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~£48,000 (Pillar 1)</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surcharges and CCyB may add 20–50% on top</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Example 5: Precious Metal Forward — Gold</w:t>
      </w:r>
    </w:p>
    <w:p>
      <w:pPr>
        <w:spacing w:before="60" w:after="60"/>
      </w:pPr>
      <w:r>
        <w:rPr>
          <w:rFonts w:ascii="Arial" w:cs="Arial" w:eastAsia="Arial" w:hAnsi="Arial"/>
          <w:b w:val="false"/>
          <w:bCs w:val="false"/>
          <w:i w:val="false"/>
          <w:iCs w:val="false"/>
          <w:color w:val="333333"/>
          <w:sz w:val="20"/>
          <w:szCs w:val="20"/>
        </w:rPr>
        <w:t xml:space="preserve">A bank enters a 6-month gold forward contract: buys 500 troy oz at $1,850/oz forward. Counterparty: commodity trading firm. Total notional: $925,000.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Framework</w:t>
            </w:r>
          </w:p>
        </w:tc>
        <w:tc>
          <w:tcPr>
            <w:tcW w:type="dxa" w:w="28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 Component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w:t>
            </w:r>
          </w:p>
        </w:tc>
        <w:tc>
          <w:tcPr>
            <w:tcW w:type="dxa" w:w="27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Comment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Commodity risk absent. CCR: 100% RW ×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~$74,000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commodity market risk capital — entire amount CCR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1996 Amendment</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Commodity risk: 15% × net position + 3% carry charge. Market risk = $138,750 + $27,750.</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~$166,500</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Market risk capital now explicit and significant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 + SVaR. Low gold vol in 2012: VaR ≈ $30k × 3× multiplier = $90k. SVaR adds $150k.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~$240,000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Stressed period calibration (2008–11 gold vol spike)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(FRTB SA)</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Commodity SBM: 18% RW × notional × delta. No optionality (forward = delta 1).</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~$166,500</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 deterministic; consistent regardless of market conditions</w:t>
            </w:r>
          </w:p>
        </w:tc>
      </w:tr>
    </w:tbl>
    <w:p>
      <w:pPr>
        <w:spacing w:before="60" w:after="60"/>
      </w:pPr>
    </w:p>
    <w:p>
      <w:r>
        <w:br w:type="page"/>
      </w:r>
    </w:p>
    <w:p>
      <w:pPr>
        <w:pStyle w:val="Heading1"/>
        <w:spacing w:before="240" w:after="80"/>
      </w:pPr>
      <w:r>
        <w:rPr>
          <w:rFonts w:ascii="Arial" w:cs="Arial" w:eastAsia="Arial" w:hAnsi="Arial"/>
          <w:b/>
          <w:bCs/>
          <w:color w:val="1B3A6B"/>
          <w:sz w:val="32"/>
          <w:szCs w:val="32"/>
        </w:rPr>
        <w:t xml:space="preserve">Summary Reference — Basel I through Basel IV</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200"/>
        <w:gridCol w:w="2600"/>
        <w:gridCol w:w="1800"/>
        <w:gridCol w:w="25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Accord</w:t>
            </w:r>
          </w:p>
        </w:tc>
        <w:tc>
          <w:tcPr>
            <w:tcW w:type="dxa" w:w="8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Year</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Driver</w:t>
            </w:r>
          </w:p>
        </w:tc>
        <w:tc>
          <w:tcPr>
            <w:tcW w:type="dxa" w:w="26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Core Innovation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Capital Minimum</w:t>
            </w:r>
          </w:p>
        </w:tc>
        <w:tc>
          <w:tcPr>
            <w:tcW w:type="dxa" w:w="256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Key Limitation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Latin American debt crisis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 RWA minimum; 5 risk weight buckets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 total; 4% Tier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 credit quality differentiation; market/op risk absent</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1996 Amendment</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1996</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Growth of trading books</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VaR-based market risk capital; internal models allowed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Basel I</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10-day uniform LH; no stressed calibration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Need for risk sensitivity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credit models; three pillars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 total; 4% Tier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Procyclicality; trading book arbitrage; model risk</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2.5</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2009</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GFC emergency patch</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SVaR; IRC; CRM</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As Basel II</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Layered complexity; still VaR-based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III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GFC capital quality failures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CET1 4.5% minimum; LCR/NSFR; CVA capital; CCyB; G-SIB surcharges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7% CET1 (incl. conservation buffer)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IRRBB/concentration in Pillar 2; procyclicality remains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2017</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Output floor; IMA variability</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72.5% output floor; SA-CCR; SMA; FRTB; IRB floors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Same minimums; SA floor at 72.5%</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Long phase-in; US delay; distributional assumption unsolved</w:t>
            </w:r>
          </w:p>
        </w:tc>
      </w:tr>
    </w:tbl>
    <w:p>
      <w:r>
        <w:br w:type="page"/>
      </w:r>
    </w:p>
    <w:p>
      <w:pPr>
        <w:pStyle w:val="Heading1"/>
        <w:spacing w:before="240" w:after="80"/>
      </w:pPr>
      <w:r>
        <w:rPr>
          <w:rFonts w:ascii="Arial" w:cs="Arial" w:eastAsia="Arial" w:hAnsi="Arial"/>
          <w:b/>
          <w:bCs/>
          <w:color w:val="1B3A6B"/>
          <w:sz w:val="32"/>
          <w:szCs w:val="32"/>
        </w:rPr>
        <w:t xml:space="preserve">Critical Review &amp; Corrections</w:t>
      </w:r>
    </w:p>
    <w:p>
      <w:pPr>
        <w:pStyle w:val="Heading2"/>
        <w:pBdr>
          <w:bottom w:val="single" w:color="0E6B8A" w:sz="6" w:space="1"/>
        </w:pBdr>
        <w:spacing w:before="200" w:after="60"/>
      </w:pPr>
      <w:r>
        <w:rPr>
          <w:rFonts w:ascii="Arial" w:cs="Arial" w:eastAsia="Arial" w:hAnsi="Arial"/>
          <w:b/>
          <w:bCs/>
          <w:color w:val="0E6B8A"/>
          <w:sz w:val="26"/>
          <w:szCs w:val="26"/>
        </w:rPr>
        <w:t xml:space="preserve">Self-Assessment and Community Review — v7</w:t>
      </w:r>
    </w:p>
    <w:p>
      <w:pPr>
        <w:spacing w:before="80" w:after="60"/>
      </w:pPr>
      <w:r>
        <w:rPr>
          <w:rFonts w:ascii="Arial" w:cs="Arial" w:eastAsia="Arial" w:hAnsi="Arial"/>
          <w:b w:val="false"/>
          <w:bCs w:val="false"/>
          <w:i w:val="false"/>
          <w:iCs w:val="false"/>
          <w:color w:val="333333"/>
          <w:sz w:val="20"/>
          <w:szCs w:val="20"/>
        </w:rPr>
        <w:t xml:space="preserve">This section documents confirmed errors corrected in previous versions, analytical caveats, and substantive additions made in response to community feedback. Version 7 incorporates the most significant additions since the original publication.</w:t>
      </w:r>
    </w:p>
    <w:p>
      <w:pPr>
        <w:pStyle w:val="Heading2"/>
        <w:pBdr>
          <w:bottom w:val="single" w:color="0E6B8A" w:sz="6" w:space="1"/>
        </w:pBdr>
        <w:spacing w:before="200" w:after="60"/>
      </w:pPr>
      <w:r>
        <w:rPr>
          <w:rFonts w:ascii="Arial" w:cs="Arial" w:eastAsia="Arial" w:hAnsi="Arial"/>
          <w:b/>
          <w:bCs/>
          <w:color w:val="0E6B8A"/>
          <w:sz w:val="26"/>
          <w:szCs w:val="26"/>
        </w:rPr>
        <w:t xml:space="preserve">COMMUNITY REVIEW — Gellért Peti</w:t>
      </w:r>
    </w:p>
    <w:p>
      <w:pPr>
        <w:spacing w:before="60" w:after="60"/>
      </w:pPr>
      <w:r>
        <w:rPr>
          <w:rFonts w:ascii="Arial" w:cs="Arial" w:eastAsia="Arial" w:hAnsi="Arial"/>
          <w:b w:val="false"/>
          <w:bCs w:val="false"/>
          <w:i w:val="false"/>
          <w:iCs w:val="false"/>
          <w:color w:val="333333"/>
          <w:sz w:val="20"/>
          <w:szCs w:val="20"/>
        </w:rPr>
        <w:t xml:space="preserve">Following publication of Module 1 on LinkedIn, Gellért Peti provided a substantive critique identifying structural layers of the Basel framework that were absent from the original document. His full comment is reproduced below in edited form, followed by our response and the additions made to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GELLÉRT PETI — CRITIQUE SUMMARY</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document operated at the framework-description level rather than the prudential architecture level. Missing layers identified: (1) EL vs UL capital philosophy; (2) Pillar 1 vs Pillar 2 — where real risk lives; (3) procyclicality of risk metrics and VaR/ES amplification; (4) the macroprudential layer (CCyB, G-SIB, stress testing); (5) the distributional assumption problem and whether models remain valid when the distribution changes; (6) the governance architecture framing.</w:t>
            </w:r>
          </w:p>
        </w:tc>
      </w:tr>
    </w:tbl>
    <w:p>
      <w:pPr>
        <w:spacing w:before="60" w:after="60"/>
      </w:pPr>
      <w:r>
        <w:rPr>
          <w:rFonts w:ascii="Arial" w:cs="Arial" w:eastAsia="Arial" w:hAnsi="Arial"/>
          <w:b w:val="false"/>
          <w:bCs w:val="false"/>
          <w:i w:val="false"/>
          <w:iCs w:val="false"/>
          <w:color w:val="333333"/>
          <w:sz w:val="20"/>
          <w:szCs w:val="20"/>
        </w:rPr>
        <w:t xml:space="preserve">Our partial response: some of the identified gaps — tail dependence, copula models, systemic risk transmission mechanisms, capital/liquidity feedback loops, political economy of Basel — are intentionally out of scope for an introduction and will be addressed in dedicated future modules. However, the following were accepted as genuine gaps in Module 1 scope and have been incorporated in v7:</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The governance architecture framing — now the opening conceptual lens of the document.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Expected Loss vs Unexpected Loss — now a dedicated section in the risk types chapter.</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Pillar 1 vs Pillar 2 boundary — now a dedicated section within the Basel II chapter.</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Procyclicality of risk metrics — now a dedicated section within the Basel III chapter.</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The macroprudential layer — now a dedicated section within the Basel III chapter.</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The distributional assumption problem — now a dedicated section in this Critical Review.</w:t>
      </w:r>
    </w:p>
    <w:p>
      <w:pPr>
        <w:pStyle w:val="Heading2"/>
        <w:pBdr>
          <w:bottom w:val="single" w:color="0E6B8A" w:sz="6" w:space="1"/>
        </w:pBdr>
        <w:spacing w:before="200" w:after="60"/>
      </w:pPr>
      <w:r>
        <w:rPr>
          <w:rFonts w:ascii="Arial" w:cs="Arial" w:eastAsia="Arial" w:hAnsi="Arial"/>
          <w:b/>
          <w:bCs/>
          <w:color w:val="0E6B8A"/>
          <w:sz w:val="26"/>
          <w:szCs w:val="26"/>
        </w:rPr>
        <w:t xml:space="preserve">The Distributional Assumption Problem — When the Model Invalidates Itself</w:t>
      </w:r>
    </w:p>
    <w:p>
      <w:pPr>
        <w:spacing w:before="60" w:after="60"/>
      </w:pPr>
      <w:r>
        <w:rPr>
          <w:rFonts w:ascii="Arial" w:cs="Arial" w:eastAsia="Arial" w:hAnsi="Arial"/>
          <w:b w:val="false"/>
          <w:bCs w:val="false"/>
          <w:i w:val="false"/>
          <w:iCs w:val="false"/>
          <w:color w:val="333333"/>
          <w:sz w:val="20"/>
          <w:szCs w:val="20"/>
        </w:rPr>
        <w:t xml:space="preserve">The deepest critique of the Basel capital framework — one that cannot be answered by calibration improvements or additional buffers — is the question of whether the statistical models underlying capital calculations remain valid when the distribution of outcomes itself changes.</w:t>
      </w:r>
    </w:p>
    <w:p>
      <w:pPr>
        <w:pStyle w:val="Heading3"/>
        <w:spacing w:before="160" w:after="40"/>
      </w:pPr>
      <w:r>
        <w:rPr>
          <w:rFonts w:ascii="Arial" w:cs="Arial" w:eastAsia="Arial" w:hAnsi="Arial"/>
          <w:b/>
          <w:bCs/>
          <w:color w:val="1B3A6B"/>
          <w:sz w:val="22"/>
          <w:szCs w:val="22"/>
        </w:rPr>
        <w:t xml:space="preserve">The Problem Stated</w:t>
      </w:r>
    </w:p>
    <w:p>
      <w:pPr>
        <w:spacing w:before="60" w:after="60"/>
      </w:pPr>
      <w:r>
        <w:rPr>
          <w:rFonts w:ascii="Arial" w:cs="Arial" w:eastAsia="Arial" w:hAnsi="Arial"/>
          <w:b w:val="false"/>
          <w:bCs w:val="false"/>
          <w:i w:val="false"/>
          <w:iCs w:val="false"/>
          <w:color w:val="333333"/>
          <w:sz w:val="20"/>
          <w:szCs w:val="20"/>
        </w:rPr>
        <w:t xml:space="preserve">Every Basel capital model, from the IRB credit risk formula to FRTB's Expected Shortfall, rests on an assumption: that the future distribution of losses resembles the historical distribution used to calibrate the model. PD estimates are derived from historical default rates. VaR and ES are calibrated to historical return distributions. Correlation matrices are estimated from historical time series.</w:t>
      </w:r>
    </w:p>
    <w:p>
      <w:pPr>
        <w:spacing w:before="60" w:after="60"/>
      </w:pPr>
      <w:r>
        <w:rPr>
          <w:rFonts w:ascii="Arial" w:cs="Arial" w:eastAsia="Arial" w:hAnsi="Arial"/>
          <w:b w:val="false"/>
          <w:bCs w:val="false"/>
          <w:i w:val="false"/>
          <w:iCs w:val="false"/>
          <w:color w:val="333333"/>
          <w:sz w:val="20"/>
          <w:szCs w:val="20"/>
        </w:rPr>
        <w:t xml:space="preserve">This assumption is problematic in two distinct ways. The first is the standard statistical problem of estimation error — the historical sample may not be representative of the true underlying distribution, particularly for rare events. The second is more fundamental: the regulatory framework itself changes the distribution it is trying to measure.</w:t>
      </w:r>
    </w:p>
    <w:p>
      <w:pPr>
        <w:pStyle w:val="Heading3"/>
        <w:spacing w:before="160" w:after="40"/>
      </w:pPr>
      <w:r>
        <w:rPr>
          <w:rFonts w:ascii="Arial" w:cs="Arial" w:eastAsia="Arial" w:hAnsi="Arial"/>
          <w:b/>
          <w:bCs/>
          <w:color w:val="1B3A6B"/>
          <w:sz w:val="22"/>
          <w:szCs w:val="22"/>
        </w:rPr>
        <w:t xml:space="preserve">The Lucas Critique Applied to Bank Regulation</w:t>
      </w:r>
    </w:p>
    <w:p>
      <w:pPr>
        <w:spacing w:before="60" w:after="60"/>
      </w:pPr>
      <w:r>
        <w:rPr>
          <w:rFonts w:ascii="Arial" w:cs="Arial" w:eastAsia="Arial" w:hAnsi="Arial"/>
          <w:b w:val="false"/>
          <w:bCs w:val="false"/>
          <w:i w:val="false"/>
          <w:iCs w:val="false"/>
          <w:color w:val="333333"/>
          <w:sz w:val="20"/>
          <w:szCs w:val="20"/>
        </w:rPr>
        <w:t xml:space="preserve">The economist Robert Lucas argued in 1976 that macroeconomic models break down when used as the basis for policy, because rational agents change their behaviour in response to the policy. The same logic applies with particular force to capital regulation.</w:t>
      </w:r>
    </w:p>
    <w:p>
      <w:pPr>
        <w:spacing w:before="60" w:after="60"/>
      </w:pPr>
      <w:r>
        <w:rPr>
          <w:rFonts w:ascii="Arial" w:cs="Arial" w:eastAsia="Arial" w:hAnsi="Arial"/>
          <w:b w:val="false"/>
          <w:bCs w:val="false"/>
          <w:i w:val="false"/>
          <w:iCs w:val="false"/>
          <w:color w:val="333333"/>
          <w:sz w:val="20"/>
          <w:szCs w:val="20"/>
        </w:rPr>
        <w:t xml:space="preserve">When regulators specify that a particular internal model will determine capital, banks optimise their portfolios, their model structures, and their data selection processes around minimising capital for a given return — not around accurately representing their risk. The model becomes a target, not a measurement tool. And as Goodhart's Law states: when a measure becomes a target, it ceases to be a good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Mechanism</w:t>
            </w:r>
          </w:p>
        </w:tc>
        <w:tc>
          <w:tcPr>
            <w:tcW w:type="dxa" w:w="328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How It Manifests</w:t>
            </w:r>
          </w:p>
        </w:tc>
        <w:tc>
          <w:tcPr>
            <w:tcW w:type="dxa" w:w="3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Basel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Model Optimisation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Banks choose model specs that minimise capital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IRB banks select LGD estimates at supervisory floors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Portfolio Optimisation</w:t>
            </w:r>
          </w:p>
        </w:tc>
        <w:tc>
          <w:tcPr>
            <w:tcW w:type="dxa" w:w="3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Banks shift portfolios toward favourable model treatment</w:t>
            </w:r>
          </w:p>
        </w:tc>
        <w:tc>
          <w:tcPr>
            <w:tcW w:type="dxa" w:w="3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Pre-FRTB shift of credit to trading book for lower VaR capital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Regulatory Arbitrage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Structures to achieve economic exposure with less capital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Synthetic securitisation, SPV structures, covered bonds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Correlation Regime Change</w:t>
            </w:r>
          </w:p>
        </w:tc>
        <w:tc>
          <w:tcPr>
            <w:tcW w:type="dxa" w:w="3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Diversification benefits vanish in stress</w:t>
            </w:r>
          </w:p>
        </w:tc>
        <w:tc>
          <w:tcPr>
            <w:tcW w:type="dxa" w:w="3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2008: all asset classes fell together — cross-asset diversification eliminated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Tail Fattening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Riskier assets migrate to regulated banks if capital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Sub-prime originate-to-distribute concentrated tail risk in banks</w:t>
            </w:r>
          </w:p>
        </w:tc>
      </w:tr>
    </w:tbl>
    <w:p>
      <w:pPr>
        <w:spacing w:before="60" w:after="60"/>
      </w:pPr>
    </w:p>
    <w:p>
      <w:pPr>
        <w:pStyle w:val="Heading3"/>
        <w:spacing w:before="160" w:after="40"/>
      </w:pPr>
      <w:r>
        <w:rPr>
          <w:rFonts w:ascii="Arial" w:cs="Arial" w:eastAsia="Arial" w:hAnsi="Arial"/>
          <w:b/>
          <w:bCs/>
          <w:color w:val="1B3A6B"/>
          <w:sz w:val="22"/>
          <w:szCs w:val="22"/>
        </w:rPr>
        <w:t xml:space="preserve">Basel's Response — and Its Limits</w:t>
      </w:r>
    </w:p>
    <w:p>
      <w:pPr>
        <w:spacing w:before="60" w:after="60"/>
      </w:pPr>
      <w:r>
        <w:rPr>
          <w:rFonts w:ascii="Arial" w:cs="Arial" w:eastAsia="Arial" w:hAnsi="Arial"/>
          <w:b w:val="false"/>
          <w:bCs w:val="false"/>
          <w:i w:val="false"/>
          <w:iCs w:val="false"/>
          <w:color w:val="333333"/>
          <w:sz w:val="20"/>
          <w:szCs w:val="20"/>
        </w:rPr>
        <w:t xml:space="preserve">Basel IV acknowledges several of these failures and responds with constraints: output floors prevent internal models from producing capital below 72.5% of the SA floor, LGD and PD floors limit the downward optimisation of IRB parameters, FRTB's PLAT prevents model approval when the model does not explain actual P&amp;L. These are governance constraints on the use of models, not fixes to the distributional assumption.</w:t>
      </w:r>
    </w:p>
    <w:p>
      <w:pPr>
        <w:spacing w:before="60" w:after="60"/>
      </w:pPr>
      <w:r>
        <w:rPr>
          <w:rFonts w:ascii="Arial" w:cs="Arial" w:eastAsia="Arial" w:hAnsi="Arial"/>
          <w:b w:val="false"/>
          <w:bCs w:val="false"/>
          <w:i w:val="false"/>
          <w:iCs w:val="false"/>
          <w:color w:val="333333"/>
          <w:sz w:val="20"/>
          <w:szCs w:val="20"/>
        </w:rPr>
        <w:t xml:space="preserve">The output floor is the most significant response. By requiring that IMA capital cannot fall below 72.5% of the SA, the BCBS effectively acknowledges that it does not fully trust internal models to produce adequate capital — and reserves the right to override them with a standardised floor. This is regulatory humility expressed in capital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6B8A" w:sz="1"/>
              <w:left w:val="single" w:color="0E6B8A" w:sz="1"/>
              <w:bottom w:val="single" w:color="0E6B8A" w:sz="1"/>
              <w:right w:val="single" w:color="0E6B8A" w:sz="1"/>
            </w:tcBorders>
            <w:shd w:fill="0E6B8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GELLÉRT PETI's INSIGHT</w:t>
            </w:r>
          </w:p>
        </w:tc>
        <w:tc>
          <w:tcPr>
            <w:tcW w:type="dxa" w:w="7960"/>
            <w:tcBorders>
              <w:top w:val="single" w:color="0E6B8A" w:sz="1"/>
              <w:left w:val="single" w:color="0E6B8A" w:sz="1"/>
              <w:bottom w:val="single" w:color="0E6B8A" w:sz="1"/>
              <w:right w:val="single" w:color="0E6B8A" w:sz="1"/>
            </w:tcBorders>
            <w:shd w:fill="D6EA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The question of whether statistical models remain valid when the distribution itself changes is the fundamental epistemological challenge of quantitative regulation. It cannot be resolved by better data or more sophisticated models — it is a structural feature of using statistical inference to regulate a system whose participants respond strategically to the regulatory framework. Basel IV's output floor and SA floors are imperfect but honest acknowledgements of this problem.</w:t>
            </w:r>
          </w:p>
        </w:tc>
      </w:tr>
    </w:tbl>
    <w:p>
      <w:pPr>
        <w:pStyle w:val="Heading3"/>
        <w:spacing w:before="160" w:after="40"/>
      </w:pPr>
      <w:r>
        <w:rPr>
          <w:rFonts w:ascii="Arial" w:cs="Arial" w:eastAsia="Arial" w:hAnsi="Arial"/>
          <w:b/>
          <w:bCs/>
          <w:color w:val="1B3A6B"/>
          <w:sz w:val="22"/>
          <w:szCs w:val="22"/>
        </w:rPr>
        <w:t xml:space="preserve">What This Means for Practitioners</w:t>
      </w:r>
    </w:p>
    <w:p>
      <w:pPr>
        <w:spacing w:before="60" w:after="60"/>
      </w:pPr>
      <w:r>
        <w:rPr>
          <w:rFonts w:ascii="Arial" w:cs="Arial" w:eastAsia="Arial" w:hAnsi="Arial"/>
          <w:b w:val="false"/>
          <w:bCs w:val="false"/>
          <w:i w:val="false"/>
          <w:iCs w:val="false"/>
          <w:color w:val="333333"/>
          <w:sz w:val="20"/>
          <w:szCs w:val="20"/>
        </w:rPr>
        <w:t xml:space="preserve">The practical implication is that capital figures produced by any Basel-compliant model should be treated as governance outputs, not precise risk measurements. A bank with a 12% CET1 ratio is not 'safer' than a bank with an 11.5% ratio in any precisely defined statistical sense — the models that produced both figures contain assumptions that are partly wrong in ways that cannot be fully quantified.</w:t>
      </w:r>
    </w:p>
    <w:p>
      <w:pPr>
        <w:spacing w:before="60" w:after="60"/>
      </w:pPr>
      <w:r>
        <w:rPr>
          <w:rFonts w:ascii="Arial" w:cs="Arial" w:eastAsia="Arial" w:hAnsi="Arial"/>
          <w:b w:val="false"/>
          <w:bCs w:val="false"/>
          <w:i w:val="false"/>
          <w:iCs w:val="false"/>
          <w:color w:val="333333"/>
          <w:sz w:val="20"/>
          <w:szCs w:val="20"/>
        </w:rPr>
        <w:t xml:space="preserve">What the capital ratio does tell you is whether the bank is operating within the governance constraints the regulatory framework has established. That is a meaningful and important signal — but it is not the same thing as a precise measurement of loss probability at a given confidence level. Conflating the two is the source of most regulatory capital misunderstanding.</w:t>
      </w:r>
    </w:p>
    <w:p>
      <w:pPr>
        <w:pStyle w:val="Heading2"/>
        <w:pBdr>
          <w:bottom w:val="single" w:color="0E6B8A" w:sz="6" w:space="1"/>
        </w:pBdr>
        <w:spacing w:before="200" w:after="60"/>
      </w:pPr>
      <w:r>
        <w:rPr>
          <w:rFonts w:ascii="Arial" w:cs="Arial" w:eastAsia="Arial" w:hAnsi="Arial"/>
          <w:b/>
          <w:bCs/>
          <w:color w:val="0E6B8A"/>
          <w:sz w:val="26"/>
          <w:szCs w:val="26"/>
        </w:rPr>
        <w:t xml:space="preserve">CONFIRMED ERRORS CORRECTED IN PREVIOUS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Error</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Correction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BCBS Founding Membership</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Original text stated '14 countries'. Corrected to 12 member jurisdictions of the G10 BCBS.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SA-CCR Attribution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SA-CCR incorrectly attributed to Basel III. Corrected: SA-CCR was finalised March 2014 and is a Basel IV/CRR2 element.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Equity Index Specific Risk</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8% specific risk applied to FTSE 100 index option. Corrected: qualifying diversified index attracts 0% specific risk charge.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SA-CCR Duration Formula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Duration factor formula described incorrectly. Corrected to BCBS SA-CCR supervisory duration: SD = (exp(-0.05×S) - exp(-0.05×E)) / 0.05.</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Market Risk Capital Formula</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VaR formula expression was ambiguous. Restated clearly as: max(VaR_t-1, mc × (1/60) × Σ VaR_t-i).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CCyB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Buffer described only as set in credit booms. Corrected to include the equally important release mechanism in downturns.</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ANALYTICAL CAVEATS AND SIMPLIFICATIONS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All capital figures in worked examples are single-trade, standalone calculations. Portfolio netting, margin, and diversification effects can substantially change the figures shown.</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IRB capital formula results use simplified parameter assumptions. Actual IRB outputs depend on maturity adjustment, firm-size adjustment, and portfolio correlation.</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The output floor examples assume IMA RWA calculated in isolation. In practice, the floor applies at aggregate level across all risk types.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CVA capital figures use BA-CVA approximation. SA-CVA capital is computed from sensitivities and is hedging-dependent.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FRTB capital estimates are inherently illustrative. IMA capital depends on desk-level ES model structure and NMRF assessment.</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This document focuses on Pillar 1 minimum capital. Pillar 2 add-ons (SREP buffers, stress-testing overlays, model risk charges) are omitted and can be materially larger than Pillar 1 for complex institutions.</w:t>
      </w:r>
    </w:p>
    <w:p>
      <w:pPr>
        <w:pStyle w:val="ListParagraph"/>
        <w:numPr>
          <w:ilvl w:val="0"/>
          <w:numId w:val="2"/>
        </w:numPr>
        <w:spacing w:before="30" w:after="30"/>
      </w:pPr>
      <w:r>
        <w:rPr>
          <w:rFonts w:ascii="Arial" w:cs="Arial" w:eastAsia="Arial" w:hAnsi="Arial"/>
          <w:b w:val="false"/>
          <w:bCs w:val="false"/>
          <w:i w:val="false"/>
          <w:iCs w:val="false"/>
          <w:color w:val="333333"/>
          <w:sz w:val="20"/>
          <w:szCs w:val="20"/>
        </w:rPr>
        <w:t xml:space="preserve">Jurisdictional implementation varies significantly: EU (CRR/CRR2/CRR3), UK (PRA Rulebook), US (Fed/OCC), APAC (MAS Notice 637, HKMA, JFSA) all introduce local modifications. This document reflects BCBS standards unless otherwise stated.</w:t>
      </w:r>
    </w:p>
    <w:p>
      <w:r>
        <w:br w:type="page"/>
      </w:r>
    </w:p>
    <w:p>
      <w:pPr>
        <w:pStyle w:val="Heading1"/>
        <w:spacing w:before="240" w:after="80"/>
      </w:pPr>
      <w:r>
        <w:rPr>
          <w:rFonts w:ascii="Arial" w:cs="Arial" w:eastAsia="Arial" w:hAnsi="Arial"/>
          <w:b/>
          <w:bCs/>
          <w:color w:val="1B3A6B"/>
          <w:sz w:val="32"/>
          <w:szCs w:val="32"/>
        </w:rPr>
        <w:t xml:space="preserve">References &amp; Further Reading</w:t>
      </w:r>
    </w:p>
    <w:p>
      <w:pPr>
        <w:pStyle w:val="Heading2"/>
        <w:pBdr>
          <w:bottom w:val="single" w:color="0E6B8A" w:sz="6" w:space="1"/>
        </w:pBdr>
        <w:spacing w:before="200" w:after="60"/>
      </w:pPr>
      <w:r>
        <w:rPr>
          <w:rFonts w:ascii="Arial" w:cs="Arial" w:eastAsia="Arial" w:hAnsi="Arial"/>
          <w:b/>
          <w:bCs/>
          <w:color w:val="0E6B8A"/>
          <w:sz w:val="26"/>
          <w:szCs w:val="26"/>
        </w:rPr>
        <w:t xml:space="preserve">PRIMARY REGULATORY SOURCES (BCBS /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Ref.</w:t>
            </w:r>
          </w:p>
        </w:tc>
        <w:tc>
          <w:tcPr>
            <w:tcW w:type="dxa" w:w="8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Citation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(1988). 'International Convergence of Capital Measurement and Capital Standards.' BIS. (Revised 1998.)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BIS. 'History of the Basel Committee.' Available at: bis.org/bcbs/history.htm</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[3]</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(2004, rev. 2006). 'International Convergence of Capital Measurement and Capital Standards: A Revised Framework.' BIS.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(1996). 'Amendment to the Capital Accord to Incorporate Market Risks.' BIS. (Updated 2005.)</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[5]</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(2010, rev. 2011). 'Basel III: A global regulatory framework for more resilient banks and banking systems.' BIS.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(2013). 'Basel III: The Liquidity Coverage Ratio and liquidity risk monitoring tools.' BIS.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[7]</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(2014). 'Basel III: the net stable funding ratio.' BIS.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(2017). 'Basel III: Finalising post-crisis reforms.' BIS. (Dec 2017.)</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[9]</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(2019). 'Minimum capital requirements for market risk.' BIS. (Revised Jan 2019 — Final FRTB.)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(2014). 'The standardised approach for measuring counterparty credit risk exposures.' BIS. (March 2014.)</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[11]</w:t>
            </w:r>
          </w:p>
        </w:tc>
        <w:tc>
          <w:tcPr>
            <w:tcW w:type="dxa" w:w="8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BCBS (2016). 'Standardised Measurement Approach for operational risk.' BIS.</w:t>
            </w:r>
          </w:p>
        </w:tc>
      </w:tr>
    </w:tbl>
    <w:p>
      <w:pPr>
        <w:spacing w:before="60" w:after="60"/>
      </w:pPr>
    </w:p>
    <w:p>
      <w:pPr>
        <w:pStyle w:val="Heading2"/>
        <w:pBdr>
          <w:bottom w:val="single" w:color="0E6B8A" w:sz="6" w:space="1"/>
        </w:pBdr>
        <w:spacing w:before="200" w:after="60"/>
      </w:pPr>
      <w:r>
        <w:rPr>
          <w:rFonts w:ascii="Arial" w:cs="Arial" w:eastAsia="Arial" w:hAnsi="Arial"/>
          <w:b/>
          <w:bCs/>
          <w:color w:val="0E6B8A"/>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Category</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Reference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CCR / xVA</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Gregory, J. (2020). 'The xVA Challenge.' 4th ed. Wiley.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Market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Roncalli, T. (2020). 'Handbook on Financial Risk Management.' CRC Press.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Basel III</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Blundell-Wignall, A. &amp; Atkinson, P. (2010). 'Thinking Beyond Basel III.' OECD Journal.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Farahvash, P. (2020). 'Asset-Liability and Liquidity Management.' Wiley. Chapter on FRTB.</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OpRisk</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Cruz, M., Peters, G. &amp; Shevchenko, P. (2015). 'Fundamental Aspects of Operational Risk.' Wiley.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Regulatory Capital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Tarullo, D.K. (2008). 'Banking on Basel.' Peterson Institute for International Economics.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Procyclicality</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Borio, C. et al. (2001). 'Procyclicality of the Financial System and Financial Stability.' BIS Papers No.1.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EL/UL 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Gordy, M.B. (2003). 'A Risk-Factor Model Foundation for Ratings-Based Bank Capital Rules.' Journal of Financial Intermediation 12(3).</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Macroprudential</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Hanson, S., Kashyap, A. &amp; Stein, J. (2011). 'A Macroprudential Approach to Financial Regulation.' Journal of Economic Perspectives.</w:t>
            </w:r>
          </w:p>
        </w:tc>
      </w:tr>
    </w:tbl>
    <w:p>
      <w:r>
        <w:br w:type="page"/>
      </w:r>
    </w:p>
    <w:p>
      <w:pPr>
        <w:pStyle w:val="Heading1"/>
        <w:spacing w:before="240" w:after="80"/>
      </w:pPr>
      <w:r>
        <w:rPr>
          <w:rFonts w:ascii="Arial" w:cs="Arial" w:eastAsia="Arial" w:hAnsi="Arial"/>
          <w:b/>
          <w:bCs/>
          <w:color w:val="1B3A6B"/>
          <w:sz w:val="32"/>
          <w:szCs w:val="32"/>
        </w:rPr>
        <w:t xml:space="preserve">Glossary of Key Terms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Term</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Advanced Measurement Approach. Basel II/III operational risk method allowing internal loss data modelling. Abolished under Basel IV by SMA.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AT1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Additional Tier 1. Capital instruments such as CoCos that absorb losses if CET1 falls below a trigger level (typically 5.125% or 7%).</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BA-CVA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Basic Approach CVA. Formula-based CVA capital charge. Simpler than SA-CVA.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BCBS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Committee on Banking Supervision. International standard-setter for bank capital regulation, hosted by BIS. Founded 1974. 45 members from 28 jurisdictions.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Basic Indicator Approach. Simplest Basel II operational risk method: 15% × average annual gross income over 3 years. Superseded by SMA.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BIS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Bank for International Settlements. Hosts the BCBS and acts as a bank for central banks. Located in Basel, Switzerland.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CCyB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Countercyclical Capital Buffer. 0–2.5% CET1 buffer set by national regulators during excess credit growth. Released rapidly in downturns to support lending.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CCP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Central Counterparty. A clearing house interposing between buyer and seller. Basel III incentivises CCP clearing with a 2% risk weight.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Current Exposure Method. Pre-Basel IV CCR approach: RC plus notional add-on percentage. Replaced by SA-CCR under Basel IV.</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CET1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Common Equity Tier 1. Highest quality regulatory capital: common shares plus retained earnings only. Minimum 4.5% of RWA under Basel III/IV.</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CoCo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Contingent Convertible Bond. Hybrid debt converting to equity when capital falls below a trigger. Qualifies as AT1.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CVA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Credit Valuation Adjustment. Market value of counterparty default risk on derivatives. Became a Pillar 1 capital charge under Basel III.</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D-SIB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Domestic Systemically Important Bank. National equivalent of G-SIB. Additional capital surcharge set by national regulator.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Exposure at Default. Estimated exposure at the time of default. Core IRB input.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Expected Loss. EL = PD × LGD × EAD. Covered by loan loss provisions, not capital. Capital covers unexpected losses above EL.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Expected Shortfall. Average loss given loss exceeds a threshold (97.5th percentile under FRTB). Replaces VaR for IMA capital under FRTB.</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FRTB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Fundamental Review of the Trading Book. Basel IV market risk framework. ES replaces VaR, desk-level IMA approval, liquidity horizons 10–250 days.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G-SIB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Global Systemically Important Bank. Additional CET1 surcharge of 1–3.5%. Addresses systemic externality of too-big-to-fail.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ICAAP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Internal Capital Adequacy Assessment Process. Bank's own assessment of capital needs covering all material risks including those outside Pillar 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IRC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Incremental Risk Charge. Basel III trading book charge for default and migration risk. 99.9% confidence, 1-year horizon.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IRB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Internal Ratings-Based Approach. Basel II credit risk methodology using internal models for PD (F-IRB) or PD/LGD/EAD (A-IRB).</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IRRBB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Interest Rate Risk in the Banking Book. Risk that rate changes affect economic value or NII of banking book positions. Pillar 2.</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LCR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Liquidity Coverage Ratio. HQLA / Net Stressed Outflows (30 days) ≥ 100%. Basel III short-term liquidity standard.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LGD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Loss Given Default. Fraction of EAD lost upon default, after recovery. IRB floor: 25% secured, 45% unsecured under Basel IV.</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Lucas Critique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Economic argument (Lucas 1976) that models used as policy bases break down because rational agents change behaviour in response. Applied to capital regulation: banks optimise portfolios against the model, invalidating its calibration.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NMRF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Non-Modellable Risk Factor. FRTB risk factor with fewer than 24 price observations per year. Punitive ES charge with no diversification offset.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NSFR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Net Stable Funding Ratio. Available Stable Funding / Required Stable Funding (1 year) ≥ 100%. Basel III structural liquidity standard.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Output Floor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Basel IV rule requiring IMA RWA ≥ 72.5% of SA RWA. Prevents excessive capital reduction from internal model optimisation.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P2G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Guidance. Non-binding supervisory capital expectation above Pillar 1 and P2R. Breach signals capital management concern.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P2R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Pillar 2 Requirement. Binding additional capital requirement set by supervisor in SREP. Failure to meet triggers supervisory action.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Probability of Default. Likelihood of borrower default within a given horizon (typically 1 year). IRB floor: 0.05% under Basel IV.</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PLAT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P&amp;L Attribution Test. Daily FRTB test comparing model RTPL to actual HPL. Failure revokes IMA approval for the desk.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Procyclicality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The tendency for model-based capital requirements to fall in booms and rise in recessions — amplifying the cycle rather than dampening it.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RWA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Risk-Weighted Assets. Denominator of the capital ratio. Capital ratio = Eligible Capital ÷ RWA.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 Regulator-prescribed methodology using fixed risk weights or sensitivities, as opposed to internal models.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SA-CCR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 for Counterparty Credit Risk. Basel IV mandatory method replacing CEM. Recognises netting, margin, delta. Alpha 1.4×.</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SA-CVA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Approach CVA. Sensitivity-based CVA capital method under Basel IV. Consistent with FRTB SA sensitivities.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Standardised Measurement Approach. Basel IV single operational risk method: BI Component × Internal Loss Multiplier. Replaced BIA/TSA/AMA.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SREP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Supervisory Review and Evaluation Process. The process by which supervisors review ICAAP and set Pillar 2 Requirements and Guidance.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SVaR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Stressed VaR. VaR calculation using a historical stress period (typically 2007–09). Introduced Basel III. Replaced by FRTB 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Tier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First tier of regulatory capital. Under Basel III: CET1 + AT1. Minimum 6% of RWA (of which 4.5% must be CET1).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UL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Unexpected Loss. Loss above the expected level (EL). The portion of loss addressed by regulatory capital, not provisions.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VaR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Value at Risk. Maximum loss not exceeded at 99% confidence over 10 days. Basel II/III market risk measure. Replaced by ES under FRTB IMA.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i w:val="false"/>
                <w:iCs w:val="false"/>
                <w:color w:val="1B3A6B"/>
                <w:sz w:val="19"/>
                <w:szCs w:val="19"/>
              </w:rPr>
              <w:t xml:space="preserve">WWR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Wrong-Way Risk. Adverse correlation where counterparty exposure increases as counterparty credit quality deteriorates.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0"/>
    </w:pPr>
    <w:r>
      <w:rPr>
        <w:rFonts w:ascii="Arial" w:cs="Arial" w:eastAsia="Arial" w:hAnsi="Arial"/>
        <w:b w:val="false"/>
        <w:bCs w:val="false"/>
        <w:i w:val="false"/>
        <w:iCs w:val="false"/>
        <w:color w:val="888888"/>
        <w:sz w:val="16"/>
        <w:szCs w:val="16"/>
      </w:rPr>
      <w:t xml:space="preserve">Authors: Sarthaka Nanda  |  Claude (Anthropic)  |  Community Review: Gellért Peti</w:t>
    </w:r>
    <w:r>
      <w:rPr>
        <w:rFonts w:ascii="Arial" w:cs="Arial" w:eastAsia="Arial" w:hAnsi="Arial"/>
        <w:b w:val="false"/>
        <w:bCs w:val="false"/>
        <w:i w:val="false"/>
        <w:iCs w:val="false"/>
        <w:color w:val="888888"/>
        <w:sz w:val="16"/>
        <w:szCs w:val="16"/>
      </w:rPr>
      <w:t xml:space="preserve">	</w:t>
    </w:r>
    <w:r>
      <w:rPr>
        <w:rFonts w:ascii="Arial" w:cs="Arial" w:eastAsia="Arial" w:hAnsi="Arial"/>
        <w:b w:val="false"/>
        <w:bCs w:val="false"/>
        <w:i/>
        <w:iCs/>
        <w:color w:val="AAAAAA"/>
        <w:sz w:val="15"/>
        <w:szCs w:val="15"/>
      </w:rPr>
      <w:t xml:space="preserve">Practitioner expertise: Sarthaka Nanda  |  Structure, drafting &amp; formatting: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b w:val="false"/>
        <w:bCs w:val="false"/>
        <w:i w:val="false"/>
        <w:iCs w:val="false"/>
        <w:color w:val="888888"/>
        <w:sz w:val="16"/>
        <w:szCs w:val="16"/>
      </w:rPr>
      <w:t xml:space="preserve">The Basel Accords — From Basel I to Basel IV  |  Module 1</w:t>
    </w:r>
    <w:r>
      <w:rPr>
        <w:rFonts w:ascii="Arial" w:cs="Arial" w:eastAsia="Arial" w:hAnsi="Arial"/>
        <w:b w:val="false"/>
        <w:bCs w:val="false"/>
        <w:i w:val="false"/>
        <w:iCs w:val="false"/>
        <w:color w:val="888888"/>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80"/>
      <w:outlineLvl w:val="0"/>
    </w:pPr>
    <w:rPr>
      <w:rFonts w:ascii="Arial" w:cs="Arial" w:eastAsia="Arial" w:hAnsi="Arial"/>
      <w:b/>
      <w:bCs/>
      <w:color w:val="1B3A6B"/>
      <w:sz w:val="32"/>
      <w:szCs w:val="32"/>
    </w:rPr>
  </w:style>
  <w:style w:type="paragraph" w:styleId="Heading2">
    <w:name w:val="Heading 2"/>
    <w:basedOn w:val="Normal"/>
    <w:next w:val="Normal"/>
    <w:qFormat/>
    <w:pPr>
      <w:spacing w:before="200" w:after="60"/>
      <w:outlineLvl w:val="1"/>
    </w:pPr>
    <w:rPr>
      <w:rFonts w:ascii="Arial" w:cs="Arial" w:eastAsia="Arial" w:hAnsi="Arial"/>
      <w:b/>
      <w:bCs/>
      <w:color w:val="0E6B8A"/>
      <w:sz w:val="26"/>
      <w:szCs w:val="26"/>
    </w:rPr>
  </w:style>
  <w:style w:type="paragraph" w:styleId="Heading3">
    <w:name w:val="Heading 3"/>
    <w:basedOn w:val="Normal"/>
    <w:next w:val="Normal"/>
    <w:qFormat/>
    <w:pPr>
      <w:spacing w:before="160" w:after="4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2026-03-12T14:58:19.342Z</dcterms:created>
  <dcterms:modified xsi:type="dcterms:W3CDTF">2026-03-12T14:58:19.343Z</dcterms:modified>
</cp:coreProperties>
</file>

<file path=docProps/custom.xml><?xml version="1.0" encoding="utf-8"?>
<Properties xmlns="http://schemas.openxmlformats.org/officeDocument/2006/custom-properties" xmlns:vt="http://schemas.openxmlformats.org/officeDocument/2006/docPropsVTypes"/>
</file>