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888888"/>
          <w:sz w:val="20"/>
          <w:szCs w:val="20"/>
        </w:rPr>
        <w:t xml:space="preserve">PRACTITIONER KNOWLEDGE REPOSITORY</w:t>
      </w:r>
    </w:p>
    <w:p>
      <w:pPr>
        <w:spacing w:before="80" w:after="80"/>
        <w:jc w:val="center"/>
      </w:pPr>
      <w:r>
        <w:rPr>
          <w:rFonts w:ascii="Arial" w:cs="Arial" w:eastAsia="Arial" w:hAnsi="Arial"/>
          <w:b/>
          <w:bCs/>
          <w:color w:val="0D7377"/>
          <w:sz w:val="28"/>
          <w:szCs w:val="28"/>
        </w:rPr>
        <w:t xml:space="preserve">Module 3</w:t>
      </w:r>
    </w:p>
    <w:p>
      <w:pPr>
        <w:spacing w:before="80" w:after="200"/>
        <w:jc w:val="center"/>
      </w:pPr>
      <w:r>
        <w:rPr>
          <w:rFonts w:ascii="Arial" w:cs="Arial" w:eastAsia="Arial" w:hAnsi="Arial"/>
          <w:b/>
          <w:bCs/>
          <w:color w:val="1A3A5C"/>
          <w:sz w:val="48"/>
          <w:szCs w:val="48"/>
        </w:rPr>
        <w:t xml:space="preserve">Credit Valuation Adjustment (CVA)</w:t>
      </w:r>
    </w:p>
    <w:p>
      <w:pPr>
        <w:spacing w:before="0" w:after="80"/>
        <w:jc w:val="center"/>
      </w:pPr>
      <w:r>
        <w:rPr>
          <w:rFonts w:ascii="Arial" w:cs="Arial" w:eastAsia="Arial" w:hAnsi="Arial"/>
          <w:i/>
          <w:iCs/>
          <w:color w:val="0D7377"/>
          <w:sz w:val="26"/>
          <w:szCs w:val="26"/>
        </w:rPr>
        <w:t xml:space="preserve">Debt Valuation Adjustment, Counterparty Credit Risk &amp; Regulatory Capital</w:t>
      </w:r>
    </w:p>
    <w:p>
      <w:pPr>
        <w:spacing w:before="200" w:after="0"/>
      </w:pPr>
      <w:r>
        <w:t xml:space="preserve"/>
      </w:r>
    </w:p>
    <w:p>
      <w:pPr>
        <w:spacing w:before="0" w:after="60"/>
        <w:jc w:val="center"/>
      </w:pPr>
      <w:r>
        <w:rPr>
          <w:rFonts w:ascii="Arial" w:cs="Arial" w:eastAsia="Arial" w:hAnsi="Arial"/>
          <w:b/>
          <w:bCs/>
          <w:color w:val="1A3A5C"/>
          <w:sz w:val="24"/>
          <w:szCs w:val="24"/>
        </w:rPr>
        <w:t xml:space="preserve">Sarthaka Mitra</w:t>
      </w:r>
    </w:p>
    <w:p>
      <w:pPr>
        <w:spacing w:before="0" w:after="60"/>
        <w:jc w:val="center"/>
      </w:pPr>
      <w:r>
        <w:rPr>
          <w:rFonts w:ascii="Arial" w:cs="Arial" w:eastAsia="Arial" w:hAnsi="Arial"/>
          <w:color w:val="888888"/>
          <w:sz w:val="22"/>
          <w:szCs w:val="22"/>
        </w:rPr>
        <w:t xml:space="preserve">March 2026  |  Version 1.0</w:t>
      </w:r>
    </w:p>
    <w:p>
      <w:pPr>
        <w:spacing w:before="300" w:after="0"/>
      </w:pPr>
      <w:r>
        <w:t xml:space="preserve"/>
      </w:r>
    </w:p>
    <w:p>
      <w:pPr>
        <w:pBdr>
          <w:bottom w:val="single" w:color="0D7377" w:sz="6" w:space="1"/>
        </w:pBdr>
        <w:spacing w:before="160" w:after="160"/>
      </w:pPr>
      <w:r>
        <w:t xml:space="preserve"/>
      </w:r>
    </w:p>
    <w:p>
      <w:pPr>
        <w:spacing w:before="120" w:after="80"/>
        <w:jc w:val="center"/>
      </w:pPr>
      <w:r>
        <w:rPr>
          <w:rFonts w:ascii="Arial" w:cs="Arial" w:eastAsia="Arial" w:hAnsi="Arial"/>
          <w:i/>
          <w:iCs/>
          <w:color w:val="888888"/>
          <w:sz w:val="20"/>
          <w:szCs w:val="20"/>
        </w:rPr>
        <w:t xml:space="preserve">Part of the Banking Regulation &amp; Risk Management Series</w:t>
      </w:r>
    </w:p>
    <w:p>
      <w:r>
        <w:br w:type="page"/>
      </w:r>
    </w:p>
    <w:p>
      <w:pPr>
        <w:pStyle w:val="Heading1"/>
        <w:spacing w:before="360" w:after="180"/>
      </w:pPr>
      <w:r>
        <w:rPr>
          <w:rFonts w:ascii="Arial" w:cs="Arial" w:eastAsia="Arial" w:hAnsi="Arial"/>
          <w:b/>
          <w:bCs/>
          <w:color w:val="1A3A5C"/>
          <w:sz w:val="32"/>
          <w:szCs w:val="32"/>
        </w:rPr>
        <w:t xml:space="preserve">Table of Contents</w:t>
      </w:r>
    </w:p>
    <w:p>
      <w:pPr>
        <w:spacing w:before="80" w:after="120"/>
      </w:pPr>
      <w:r>
        <w:rPr>
          <w:rFonts w:ascii="Arial" w:cs="Arial" w:eastAsia="Arial" w:hAnsi="Arial"/>
          <w:b/>
          <w:bCs/>
          <w:sz w:val="22"/>
          <w:szCs w:val="22"/>
        </w:rPr>
        <w:t xml:space="preserve">1.  The Problem in Plain English</w:t>
      </w:r>
    </w:p>
    <w:p>
      <w:pPr>
        <w:spacing w:before="80" w:after="120"/>
      </w:pPr>
      <w:r>
        <w:rPr>
          <w:rFonts w:ascii="Arial" w:cs="Arial" w:eastAsia="Arial" w:hAnsi="Arial"/>
          <w:sz w:val="22"/>
          <w:szCs w:val="22"/>
        </w:rPr>
        <w:t xml:space="preserve">2.  From Loan Risk to Derivative Risk: Building the Intuition</w:t>
      </w:r>
    </w:p>
    <w:p>
      <w:pPr>
        <w:spacing w:before="80" w:after="120"/>
      </w:pPr>
      <w:r>
        <w:rPr>
          <w:rFonts w:ascii="Arial" w:cs="Arial" w:eastAsia="Arial" w:hAnsi="Arial"/>
          <w:sz w:val="22"/>
          <w:szCs w:val="22"/>
        </w:rPr>
        <w:t xml:space="preserve">3.  Defining CVA: The Formal Framework</w:t>
      </w:r>
    </w:p>
    <w:p>
      <w:pPr>
        <w:spacing w:before="80" w:after="120"/>
      </w:pPr>
      <w:r>
        <w:rPr>
          <w:rFonts w:ascii="Arial" w:cs="Arial" w:eastAsia="Arial" w:hAnsi="Arial"/>
          <w:sz w:val="22"/>
          <w:szCs w:val="22"/>
        </w:rPr>
        <w:t xml:space="preserve">4.  Debt Valuation Adjustment (DVA): The Mirror Image</w:t>
      </w:r>
    </w:p>
    <w:p>
      <w:pPr>
        <w:spacing w:before="80" w:after="120"/>
      </w:pPr>
      <w:r>
        <w:rPr>
          <w:rFonts w:ascii="Arial" w:cs="Arial" w:eastAsia="Arial" w:hAnsi="Arial"/>
          <w:sz w:val="22"/>
          <w:szCs w:val="22"/>
        </w:rPr>
        <w:t xml:space="preserve">5.  The CVA Formula: Step-by-Step</w:t>
      </w:r>
    </w:p>
    <w:p>
      <w:pPr>
        <w:spacing w:before="80" w:after="120"/>
      </w:pPr>
      <w:r>
        <w:rPr>
          <w:rFonts w:ascii="Arial" w:cs="Arial" w:eastAsia="Arial" w:hAnsi="Arial"/>
          <w:sz w:val="22"/>
          <w:szCs w:val="22"/>
        </w:rPr>
        <w:t xml:space="preserve">6.  A Worked Numerical Example</w:t>
      </w:r>
    </w:p>
    <w:p>
      <w:pPr>
        <w:spacing w:before="80" w:after="120"/>
      </w:pPr>
      <w:r>
        <w:rPr>
          <w:rFonts w:ascii="Arial" w:cs="Arial" w:eastAsia="Arial" w:hAnsi="Arial"/>
          <w:sz w:val="22"/>
          <w:szCs w:val="22"/>
        </w:rPr>
        <w:t xml:space="preserve">7.  Regulatory CVA: Basel III, CRR and the FRTB-CVA Framework</w:t>
      </w:r>
    </w:p>
    <w:p>
      <w:pPr>
        <w:spacing w:before="80" w:after="120"/>
      </w:pPr>
      <w:r>
        <w:rPr>
          <w:rFonts w:ascii="Arial" w:cs="Arial" w:eastAsia="Arial" w:hAnsi="Arial"/>
          <w:sz w:val="22"/>
          <w:szCs w:val="22"/>
        </w:rPr>
        <w:t xml:space="preserve">8.  The xVA Family: Where CVA Sits</w:t>
      </w:r>
    </w:p>
    <w:p>
      <w:pPr>
        <w:spacing w:before="80" w:after="120"/>
      </w:pPr>
      <w:r>
        <w:rPr>
          <w:rFonts w:ascii="Arial" w:cs="Arial" w:eastAsia="Arial" w:hAnsi="Arial"/>
          <w:sz w:val="22"/>
          <w:szCs w:val="22"/>
        </w:rPr>
        <w:t xml:space="preserve">9.  Crisis Case Studies</w:t>
      </w:r>
    </w:p>
    <w:p>
      <w:pPr>
        <w:spacing w:before="80" w:after="120"/>
      </w:pPr>
      <w:r>
        <w:rPr>
          <w:rFonts w:ascii="Arial" w:cs="Arial" w:eastAsia="Arial" w:hAnsi="Arial"/>
          <w:sz w:val="22"/>
          <w:szCs w:val="22"/>
        </w:rPr>
        <w:t xml:space="preserve">10. Governance, CVA Desks &amp; Hedging</w:t>
      </w:r>
    </w:p>
    <w:p>
      <w:pPr>
        <w:spacing w:before="80" w:after="120"/>
      </w:pPr>
      <w:r>
        <w:rPr>
          <w:rFonts w:ascii="Arial" w:cs="Arial" w:eastAsia="Arial" w:hAnsi="Arial"/>
          <w:sz w:val="22"/>
          <w:szCs w:val="22"/>
        </w:rPr>
        <w:t xml:space="preserve">11. Key Debates and Open Questions</w:t>
      </w:r>
    </w:p>
    <w:p>
      <w:pPr>
        <w:spacing w:before="80" w:after="120"/>
      </w:pPr>
      <w:r>
        <w:rPr>
          <w:rFonts w:ascii="Arial" w:cs="Arial" w:eastAsia="Arial" w:hAnsi="Arial"/>
          <w:sz w:val="22"/>
          <w:szCs w:val="22"/>
        </w:rPr>
        <w:t xml:space="preserve">12. Glossary</w:t>
      </w:r>
    </w:p>
    <w:p>
      <w:r>
        <w:br w:type="page"/>
      </w:r>
    </w:p>
    <w:p>
      <w:pPr>
        <w:pStyle w:val="Heading1"/>
        <w:spacing w:before="360" w:after="180"/>
      </w:pPr>
      <w:r>
        <w:rPr>
          <w:rFonts w:ascii="Arial" w:cs="Arial" w:eastAsia="Arial" w:hAnsi="Arial"/>
          <w:b/>
          <w:bCs/>
          <w:color w:val="1A3A5C"/>
          <w:sz w:val="32"/>
          <w:szCs w:val="32"/>
        </w:rPr>
        <w:t xml:space="preserve">1.  The Problem in Plain English</w:t>
      </w:r>
    </w:p>
    <w:p>
      <w:pPr>
        <w:spacing w:before="80" w:after="120"/>
      </w:pPr>
      <w:r>
        <w:rPr>
          <w:rFonts w:ascii="Arial" w:cs="Arial" w:eastAsia="Arial" w:hAnsi="Arial"/>
          <w:sz w:val="22"/>
          <w:szCs w:val="22"/>
        </w:rPr>
        <w:t xml:space="preserve">Before we explore the mathematics and regulation of Credit Valuation Adjustment, it helps to start with a simple, intuitive story — one that any undergraduate finance student can immediately relate to. The formal framework we build in later sections is really just a precise, scalable version of the idea introduced here.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  The $100 Loan to a Friend</w:t>
      </w:r>
    </w:p>
    <w:p>
      <w:pPr>
        <w:spacing w:before="80" w:after="120"/>
      </w:pPr>
      <w:r>
        <w:rPr>
          <w:rFonts w:ascii="Arial" w:cs="Arial" w:eastAsia="Arial" w:hAnsi="Arial"/>
          <w:sz w:val="22"/>
          <w:szCs w:val="22"/>
        </w:rPr>
        <w:t xml:space="preserve">Suppose a close friend asks to borrow $100 from you. You agree, and you record this as a $100 asset on your personal balance sheet. Simple enough.</w:t>
      </w:r>
    </w:p>
    <w:p>
      <w:pPr>
        <w:spacing w:before="80" w:after="120"/>
      </w:pPr>
      <w:r>
        <w:rPr>
          <w:rFonts w:ascii="Arial" w:cs="Arial" w:eastAsia="Arial" w:hAnsi="Arial"/>
          <w:sz w:val="22"/>
          <w:szCs w:val="22"/>
        </w:rPr>
        <w:t xml:space="preserve">Now, pause for a moment. Is that asset really worth $100 to you? The answer depends on one critical question: how likely is your friend to actually pay you back?</w:t>
      </w:r>
    </w:p>
    <w:p>
      <w:pPr>
        <w:pStyle w:val="ListParagraph"/>
        <w:numPr>
          <w:ilvl w:val="0"/>
          <w:numId w:val="2"/>
        </w:numPr>
        <w:spacing w:before="60" w:after="60"/>
      </w:pPr>
      <w:r>
        <w:rPr>
          <w:rFonts w:ascii="Arial" w:cs="Arial" w:eastAsia="Arial" w:hAnsi="Arial"/>
          <w:sz w:val="22"/>
          <w:szCs w:val="22"/>
        </w:rPr>
        <w:t xml:space="preserve">If your friend is highly reliable — has a stable income, a track record of repaying debts, and genuine intention to settle — then yes, your $100 loan is worth close to $100.</w:t>
      </w:r>
    </w:p>
    <w:p>
      <w:pPr>
        <w:pStyle w:val="ListParagraph"/>
        <w:numPr>
          <w:ilvl w:val="0"/>
          <w:numId w:val="2"/>
        </w:numPr>
        <w:spacing w:before="60" w:after="60"/>
      </w:pPr>
      <w:r>
        <w:rPr>
          <w:rFonts w:ascii="Arial" w:cs="Arial" w:eastAsia="Arial" w:hAnsi="Arial"/>
          <w:sz w:val="22"/>
          <w:szCs w:val="22"/>
        </w:rPr>
        <w:t xml:space="preserve">But if your friend is financially stretched, has missed repayments before, or is heading into difficulty, then that loan is worth less than $100 in economic reality. You might only expect to recover, say, $95.</w:t>
      </w:r>
    </w:p>
    <w:p>
      <w:pPr>
        <w:spacing w:before="80" w:after="0"/>
      </w:pPr>
      <w:r>
        <w:t xml:space="preserve"/>
      </w:r>
    </w:p>
    <w:p>
      <w:pPr>
        <w:spacing w:before="80" w:after="120"/>
      </w:pPr>
      <w:r>
        <w:rPr>
          <w:rFonts w:ascii="Arial" w:cs="Arial" w:eastAsia="Arial" w:hAnsi="Arial"/>
          <w:sz w:val="22"/>
          <w:szCs w:val="22"/>
        </w:rPr>
        <w:t xml:space="preserve">The gap between the face value of the loan ($100) and its true economic value ($95, in this case) is the credit adjustment. In the language of financial markets, that $5 difference is the Credit Valuation Adjustment — or CVA.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The Core Intuition</w:t>
            </w:r>
          </w:p>
          <w:p>
            <w:pPr>
              <w:spacing w:before="0" w:after="40"/>
            </w:pPr>
            <w:r>
              <w:rPr>
                <w:rFonts w:ascii="Arial" w:cs="Arial" w:eastAsia="Arial" w:hAnsi="Arial"/>
                <w:sz w:val="21"/>
                <w:szCs w:val="21"/>
              </w:rPr>
              <w:t xml:space="preserve">CVA = Face Value of the Exposure  −  True Economic Value after accounting for counterparty default risk
In our example:   CVA = $100 − $95 = $5
This $5 represents the expected cost of your friend potentially defaulting before repayment. It is a price on credit risk.</w:t>
            </w:r>
          </w:p>
        </w:tc>
      </w:tr>
    </w:tbl>
    <w:p>
      <w:pPr>
        <w:spacing w:before="120" w:after="0"/>
      </w:pPr>
      <w:r>
        <w:t xml:space="preserve"/>
      </w:r>
    </w:p>
    <w:p>
      <w:pPr>
        <w:spacing w:before="80" w:after="120"/>
      </w:pPr>
      <w:r>
        <w:rPr>
          <w:rFonts w:ascii="Arial" w:cs="Arial" w:eastAsia="Arial" w:hAnsi="Arial"/>
          <w:sz w:val="22"/>
          <w:szCs w:val="22"/>
        </w:rPr>
        <w:t xml:space="preserve">Three factors determine how large or small that $5 figure is:</w:t>
      </w:r>
    </w:p>
    <w:p>
      <w:pPr>
        <w:pStyle w:val="ListParagraph"/>
        <w:numPr>
          <w:ilvl w:val="0"/>
          <w:numId w:val="2"/>
        </w:numPr>
        <w:spacing w:before="60" w:after="60"/>
      </w:pPr>
      <w:r>
        <w:rPr>
          <w:rFonts w:ascii="Arial" w:cs="Arial" w:eastAsia="Arial" w:hAnsi="Arial"/>
          <w:sz w:val="22"/>
          <w:szCs w:val="22"/>
        </w:rPr>
        <w:t xml:space="preserve">How much your friend owes you at the time they might default — the Exposure.</w:t>
      </w:r>
    </w:p>
    <w:p>
      <w:pPr>
        <w:pStyle w:val="ListParagraph"/>
        <w:numPr>
          <w:ilvl w:val="0"/>
          <w:numId w:val="2"/>
        </w:numPr>
        <w:spacing w:before="60" w:after="60"/>
      </w:pPr>
      <w:r>
        <w:rPr>
          <w:rFonts w:ascii="Arial" w:cs="Arial" w:eastAsia="Arial" w:hAnsi="Arial"/>
          <w:sz w:val="22"/>
          <w:szCs w:val="22"/>
        </w:rPr>
        <w:t xml:space="preserve">How likely they are to actually default — the Probability of Default (PD).</w:t>
      </w:r>
    </w:p>
    <w:p>
      <w:pPr>
        <w:pStyle w:val="ListParagraph"/>
        <w:numPr>
          <w:ilvl w:val="0"/>
          <w:numId w:val="2"/>
        </w:numPr>
        <w:spacing w:before="60" w:after="60"/>
      </w:pPr>
      <w:r>
        <w:rPr>
          <w:rFonts w:ascii="Arial" w:cs="Arial" w:eastAsia="Arial" w:hAnsi="Arial"/>
          <w:sz w:val="22"/>
          <w:szCs w:val="22"/>
        </w:rPr>
        <w:t xml:space="preserve">How much you would lose if they did default — the Loss Given Default (LGD), which is 100% minus any recovery you could expect.</w:t>
      </w:r>
    </w:p>
    <w:p>
      <w:pPr>
        <w:spacing w:before="80" w:after="120"/>
      </w:pPr>
      <w:r>
        <w:rPr>
          <w:rFonts w:ascii="Arial" w:cs="Arial" w:eastAsia="Arial" w:hAnsi="Arial"/>
          <w:sz w:val="22"/>
          <w:szCs w:val="22"/>
        </w:rPr>
        <w:t xml:space="preserve">Multiply these three together and you have the intuitive building block of CVA. We will formalise this in Section 5, but the economics are already fully captured here.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  Why Derivatives Make This Harder</w:t>
      </w:r>
    </w:p>
    <w:p>
      <w:pPr>
        <w:spacing w:before="80" w:after="120"/>
      </w:pPr>
      <w:r>
        <w:rPr>
          <w:rFonts w:ascii="Arial" w:cs="Arial" w:eastAsia="Arial" w:hAnsi="Arial"/>
          <w:sz w:val="22"/>
          <w:szCs w:val="22"/>
        </w:rPr>
        <w:t xml:space="preserve">The friend-loan example works because the amount owed is fixed. You lent $100; you expect $100 back. The exposure is stable.</w:t>
      </w:r>
    </w:p>
    <w:p>
      <w:pPr>
        <w:spacing w:before="80" w:after="120"/>
      </w:pPr>
      <w:r>
        <w:rPr>
          <w:rFonts w:ascii="Arial" w:cs="Arial" w:eastAsia="Arial" w:hAnsi="Arial"/>
          <w:sz w:val="22"/>
          <w:szCs w:val="22"/>
        </w:rPr>
        <w:t xml:space="preserve">In derivative contracts — interest rate swaps, foreign exchange forwards, credit default swaps — the situation is fundamentally different. The amount one party owes the other changes every single day as market prices move. Today your counterparty might owe you $50; next month, after rates have shifted, they might owe you $200 — or you might owe them $80.</w:t>
      </w:r>
    </w:p>
    <w:p>
      <w:pPr>
        <w:spacing w:before="80" w:after="120"/>
      </w:pPr>
      <w:r>
        <w:rPr>
          <w:rFonts w:ascii="Arial" w:cs="Arial" w:eastAsia="Arial" w:hAnsi="Arial"/>
          <w:sz w:val="22"/>
          <w:szCs w:val="22"/>
        </w:rPr>
        <w:t xml:space="preserve">This means you cannot simply ask "how much is owed?" at the point of potential default. Instead, you have to ask: "across all the possible future states of the world, what is the distribution of how much might be owed at any given point in time?" That is a significantly harder question — and it is why CVA for derivatives requires simulation models, not just a simple multiplication.</w:t>
      </w:r>
    </w:p>
    <w:p>
      <w:pPr>
        <w:spacing w:before="80" w:after="120"/>
      </w:pPr>
      <w:r>
        <w:rPr>
          <w:rFonts w:ascii="Arial" w:cs="Arial" w:eastAsia="Arial" w:hAnsi="Arial"/>
          <w:sz w:val="22"/>
          <w:szCs w:val="22"/>
        </w:rPr>
        <w:t xml:space="preserve">The concept underpinning this is called Expected Positive Exposure (EPE) — your probability-weighted average exposure to a counterparty, calculated forward through time. Section 3 develops this formally.</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1.3  The Insurance Premium Analogy</w:t>
      </w:r>
    </w:p>
    <w:p>
      <w:pPr>
        <w:spacing w:before="80" w:after="120"/>
      </w:pPr>
      <w:r>
        <w:rPr>
          <w:rFonts w:ascii="Arial" w:cs="Arial" w:eastAsia="Arial" w:hAnsi="Arial"/>
          <w:sz w:val="22"/>
          <w:szCs w:val="22"/>
        </w:rPr>
        <w:t xml:space="preserve">A second analogy helps crystallise CVA from a different angle: think of it as an insurance premium.</w:t>
      </w:r>
    </w:p>
    <w:p>
      <w:pPr>
        <w:spacing w:before="80" w:after="120"/>
      </w:pPr>
      <w:r>
        <w:rPr>
          <w:rFonts w:ascii="Arial" w:cs="Arial" w:eastAsia="Arial" w:hAnsi="Arial"/>
          <w:sz w:val="22"/>
          <w:szCs w:val="22"/>
        </w:rPr>
        <w:t xml:space="preserve">When you enter into a derivatives trade with a counterparty, you are implicitly extending them credit. If they default while they owe you money, you suffer a loss. CVA is the fair market price you would pay to insure against that loss — it is what a third party would charge you to take on that counterparty credit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60" w:after="60"/>
            </w:pPr>
            <w:r>
              <w:rPr>
                <w:rFonts w:ascii="Arial" w:cs="Arial" w:eastAsia="Arial" w:hAnsi="Arial"/>
                <w:i/>
                <w:iCs/>
                <w:sz w:val="21"/>
                <w:szCs w:val="21"/>
              </w:rPr>
              <w:t xml:space="preserve">If a bank enters a 5-year interest rate swap with a corporate counterparty, and that counterparty has a meaningful probability of defaulting over those 5 years, then the bank's trading book carries a credit risk that has real economic value. CVA quantifies exactly what it would cost to fully hedge that risk away — even if the bank chooses not to purchase that hedge in practice.</w:t>
            </w:r>
          </w:p>
        </w:tc>
      </w:tr>
    </w:tbl>
    <w:p>
      <w:pPr>
        <w:spacing w:before="120" w:after="0"/>
      </w:pPr>
      <w:r>
        <w:t xml:space="preserve"/>
      </w:r>
    </w:p>
    <w:p>
      <w:pPr>
        <w:spacing w:before="80" w:after="120"/>
      </w:pPr>
      <w:r>
        <w:rPr>
          <w:rFonts w:ascii="Arial" w:cs="Arial" w:eastAsia="Arial" w:hAnsi="Arial"/>
          <w:sz w:val="22"/>
          <w:szCs w:val="22"/>
        </w:rPr>
        <w:t xml:space="preserve">This insurance framing has a practical implication: CVA is not a one-time calculation. As markets move and credit spreads widen or tighten, the fair value of that "insurance" changes. CVA is therefore a dynamic, mark-to-market quantity that must be recomputed continuously — typically daily — and the resulting profit-and-loss flows directly through the trading book's income statement.</w:t>
      </w:r>
    </w:p>
    <w:p>
      <w:pPr>
        <w:spacing w:before="80" w:after="120"/>
      </w:pPr>
      <w:r>
        <w:rPr>
          <w:rFonts w:ascii="Arial" w:cs="Arial" w:eastAsia="Arial" w:hAnsi="Arial"/>
          <w:sz w:val="22"/>
          <w:szCs w:val="22"/>
        </w:rPr>
        <w:t xml:space="preserve">This is what makes CVA so operationally significant for banks. It is not merely an accounting footnote; it is a live, volatile P&amp;L driver.</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1.4  A Brief Word on DVA Before We Go Further</w:t>
      </w:r>
    </w:p>
    <w:p>
      <w:pPr>
        <w:spacing w:before="80" w:after="120"/>
      </w:pPr>
      <w:r>
        <w:rPr>
          <w:rFonts w:ascii="Arial" w:cs="Arial" w:eastAsia="Arial" w:hAnsi="Arial"/>
          <w:sz w:val="22"/>
          <w:szCs w:val="22"/>
        </w:rPr>
        <w:t xml:space="preserve">Once you understand CVA, its mirror image — Debt Valuation Adjustment, or DVA — follows naturally. DVA asks the same question, but from the opposite side of the trade.</w:t>
      </w:r>
    </w:p>
    <w:p>
      <w:pPr>
        <w:spacing w:before="80" w:after="120"/>
      </w:pPr>
      <w:r>
        <w:rPr>
          <w:rFonts w:ascii="Arial" w:cs="Arial" w:eastAsia="Arial" w:hAnsi="Arial"/>
          <w:sz w:val="22"/>
          <w:szCs w:val="22"/>
        </w:rPr>
        <w:t xml:space="preserve">Just as your counterparty might default and fail to pay you, you might default and fail to pay them. From your counterparty's perspective, they hold a credit risk on you. From your own perspective, your obligations to them are worth less than face value because you might default before settling — and that reduction in the value of your own liabilities is DVA.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40" w:after="60"/>
            </w:pPr>
            <w:r>
              <w:rPr>
                <w:rFonts w:ascii="Arial" w:cs="Arial" w:eastAsia="Arial" w:hAnsi="Arial"/>
                <w:b/>
                <w:bCs/>
                <w:color w:val="C8922A"/>
                <w:sz w:val="22"/>
                <w:szCs w:val="22"/>
              </w:rPr>
              <w:t xml:space="preserve">CVA vs DVA: The One-Line Contrast</w:t>
            </w:r>
          </w:p>
          <w:p>
            <w:pPr>
              <w:spacing w:before="0" w:after="40"/>
            </w:pPr>
            <w:r>
              <w:rPr>
                <w:rFonts w:ascii="Arial" w:cs="Arial" w:eastAsia="Arial" w:hAnsi="Arial"/>
                <w:sz w:val="21"/>
                <w:szCs w:val="21"/>
              </w:rPr>
              <w:t xml:space="preserve">CVA is the value you subtract from a trade's fair value to account for your counterparty's default risk.
DVA is the value you add back to a trade's fair value to account for your own default risk.
CVA reduces asset values. DVA reduces liability values — which, from an accounting standpoint, is a gain.</w:t>
            </w:r>
          </w:p>
        </w:tc>
      </w:tr>
    </w:tbl>
    <w:p>
      <w:pPr>
        <w:spacing w:before="120" w:after="0"/>
      </w:pPr>
      <w:r>
        <w:t xml:space="preserve"/>
      </w:r>
    </w:p>
    <w:p>
      <w:pPr>
        <w:spacing w:before="80" w:after="120"/>
      </w:pPr>
      <w:r>
        <w:rPr>
          <w:rFonts w:ascii="Arial" w:cs="Arial" w:eastAsia="Arial" w:hAnsi="Arial"/>
          <w:sz w:val="22"/>
          <w:szCs w:val="22"/>
        </w:rPr>
        <w:t xml:space="preserve">DVA creates a deeply uncomfortable result: as your own credit quality deteriorates and your probability of default rises, your DVA gains increase. Banks with widening credit spreads book profits on their derivatives liabilities. The philosophical and regulatory debates this generates are explored fully in Section 4.</w:t>
      </w:r>
    </w:p>
    <w:p>
      <w:r>
        <w:br w:type="page"/>
      </w:r>
    </w:p>
    <w:p>
      <w:pPr>
        <w:pStyle w:val="Heading1"/>
        <w:spacing w:before="360" w:after="180"/>
      </w:pPr>
      <w:r>
        <w:rPr>
          <w:rFonts w:ascii="Arial" w:cs="Arial" w:eastAsia="Arial" w:hAnsi="Arial"/>
          <w:b/>
          <w:bCs/>
          <w:color w:val="1A3A5C"/>
          <w:sz w:val="32"/>
          <w:szCs w:val="32"/>
        </w:rPr>
        <w:t xml:space="preserve">2.  From Loan Risk to Derivative Risk: Building the Intuition</w:t>
      </w:r>
    </w:p>
    <w:p>
      <w:pPr>
        <w:spacing w:before="80" w:after="120"/>
      </w:pPr>
      <w:r>
        <w:rPr>
          <w:rFonts w:ascii="Arial" w:cs="Arial" w:eastAsia="Arial" w:hAnsi="Arial"/>
          <w:sz w:val="22"/>
          <w:szCs w:val="22"/>
        </w:rPr>
        <w:t xml:space="preserve">Traditional credit risk, as understood in a lending context, operates on a relatively straightforward axis: a borrower owes a fixed or scheduled amount, and the lender bears the risk of non-payment. The exposure — the amount at risk — is either known in advance (a term loan) or predictably bounded (a revolving facility).</w:t>
      </w:r>
    </w:p>
    <w:p>
      <w:pPr>
        <w:spacing w:before="80" w:after="120"/>
      </w:pPr>
      <w:r>
        <w:rPr>
          <w:rFonts w:ascii="Arial" w:cs="Arial" w:eastAsia="Arial" w:hAnsi="Arial"/>
          <w:sz w:val="22"/>
          <w:szCs w:val="22"/>
        </w:rPr>
        <w:t xml:space="preserve">Derivatives introduce a structural complication that transforms credit risk from a bounded problem into a dynamic, path-dependent one. Understanding why requires examining the key differences between loans and derivatives from a credit perspective.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2.1  Bilateral vs. Unilateral Exposure</w:t>
      </w:r>
    </w:p>
    <w:p>
      <w:pPr>
        <w:spacing w:before="80" w:after="120"/>
      </w:pPr>
      <w:r>
        <w:rPr>
          <w:rFonts w:ascii="Arial" w:cs="Arial" w:eastAsia="Arial" w:hAnsi="Arial"/>
          <w:sz w:val="22"/>
          <w:szCs w:val="22"/>
        </w:rPr>
        <w:t xml:space="preserve">A loan is a unilateral credit relationship. The borrower owes the lender; the lender does not owe the borrower. Credit risk flows in one direction.</w:t>
      </w:r>
    </w:p>
    <w:p>
      <w:pPr>
        <w:spacing w:before="80" w:after="120"/>
      </w:pPr>
      <w:r>
        <w:rPr>
          <w:rFonts w:ascii="Arial" w:cs="Arial" w:eastAsia="Arial" w:hAnsi="Arial"/>
          <w:sz w:val="22"/>
          <w:szCs w:val="22"/>
        </w:rPr>
        <w:t xml:space="preserve">A derivatives contract is bilateral. Depending on how market rates move, either party may be "in the money" — meaning the other party effectively owes them the mark-to-market value. At inception, many derivatives (particularly at-market swaps) have a value close to zero for both parties. Over time, as the underlying rate, price, or index moves, value accrues to one side.</w:t>
      </w:r>
    </w:p>
    <w:p>
      <w:pPr>
        <w:spacing w:before="80" w:after="120"/>
      </w:pPr>
      <w:r>
        <w:rPr>
          <w:rFonts w:ascii="Arial" w:cs="Arial" w:eastAsia="Arial" w:hAnsi="Arial"/>
          <w:sz w:val="22"/>
          <w:szCs w:val="22"/>
        </w:rPr>
        <w:t xml:space="preserve">This means that the credit risk in a derivative is not fixed; it is contingent on future market outcomes. Both parties simultaneously hold a form of credit risk on each other — and the identity of who is at risk changes as market conditions evolve.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2.2  Replacement Cost vs. Settlement Risk</w:t>
      </w:r>
    </w:p>
    <w:p>
      <w:pPr>
        <w:spacing w:before="80" w:after="120"/>
      </w:pPr>
      <w:r>
        <w:rPr>
          <w:rFonts w:ascii="Arial" w:cs="Arial" w:eastAsia="Arial" w:hAnsi="Arial"/>
          <w:sz w:val="22"/>
          <w:szCs w:val="22"/>
        </w:rPr>
        <w:t xml:space="preserve">When a counterparty defaults on a derivatives contract mid-life, the non-defaulting party does not simply lose the notional amount of the contract. They lose the cost of replacing that trade in the market at prevailing conditions.</w:t>
      </w:r>
    </w:p>
    <w:p>
      <w:pPr>
        <w:spacing w:before="80" w:after="120"/>
      </w:pPr>
      <w:r>
        <w:rPr>
          <w:rFonts w:ascii="Arial" w:cs="Arial" w:eastAsia="Arial" w:hAnsi="Arial"/>
          <w:sz w:val="22"/>
          <w:szCs w:val="22"/>
        </w:rPr>
        <w:t xml:space="preserve">If a bank held a 5-year interest rate swap that was $10 million in-the-money when its counterparty defaulted, the loss is approximately $10 million — the replacement cost of entering an equivalent trade with a solvent counterparty at current market rates. This is sometimes called Current Exposure (CE), and it forms the most immediate component of counterparty credit risk.</w:t>
      </w:r>
    </w:p>
    <w:p>
      <w:pPr>
        <w:spacing w:before="80" w:after="120"/>
      </w:pPr>
      <w:r>
        <w:rPr>
          <w:rFonts w:ascii="Arial" w:cs="Arial" w:eastAsia="Arial" w:hAnsi="Arial"/>
          <w:sz w:val="22"/>
          <w:szCs w:val="22"/>
        </w:rPr>
        <w:t xml:space="preserve">But default could happen not today but one year from now, or three years from now. At that future point, the contract's value might be very different. Counterparty Credit Risk (CCR) must therefore account not just for current exposure but for the full distribution of potential future exposures over the remaining life of the trade.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2.3  The Exposure Profile Concept</w:t>
      </w:r>
    </w:p>
    <w:p>
      <w:pPr>
        <w:spacing w:before="80" w:after="120"/>
      </w:pPr>
      <w:r>
        <w:rPr>
          <w:rFonts w:ascii="Arial" w:cs="Arial" w:eastAsia="Arial" w:hAnsi="Arial"/>
          <w:sz w:val="22"/>
          <w:szCs w:val="22"/>
        </w:rPr>
        <w:t xml:space="preserve">This brings us to the concept of an exposure profile — a forward-looking representation of how much could be owed at each future point in time, under a range of market scenarios.</w:t>
      </w:r>
    </w:p>
    <w:p>
      <w:pPr>
        <w:spacing w:before="80" w:after="120"/>
      </w:pPr>
      <w:r>
        <w:rPr>
          <w:rFonts w:ascii="Arial" w:cs="Arial" w:eastAsia="Arial" w:hAnsi="Arial"/>
          <w:sz w:val="22"/>
          <w:szCs w:val="22"/>
        </w:rPr>
        <w:t xml:space="preserve">Two specific measures are central to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Measure</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 and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Expected Exposure (EE)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average exposure to a counterparty at a future time t, averaged across all simulated market scenarios. It captures what you expect to be owed, in probability-weighted terms.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Expected Positive Exposure (EPE)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The time-averaged Expected Exposure over the life of the trade. EPE is the single summary statistic most commonly used in CVA calculations and Basel regulatory capital formulas.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Potential Future Exposure (PFE)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 high-percentile (e.g. 95th or 99th) exposure measure — the worst-case exposure you might face with a given level of confidence. PFE is used for credit limit management rather than CVA pricing.</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Effective 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 regulatory variant of EPE that imposes a non-decreasing constraint on the exposure profile, preventing short-dated netting benefits from artificially reducing capital requirements.</w:t>
            </w:r>
          </w:p>
        </w:tc>
      </w:tr>
    </w:tbl>
    <w:p>
      <w:pPr>
        <w:spacing w:before="160" w:after="0"/>
      </w:pPr>
      <w:r>
        <w:t xml:space="preserve"/>
      </w:r>
    </w:p>
    <w:p>
      <w:pPr>
        <w:spacing w:before="80" w:after="120"/>
      </w:pPr>
      <w:r>
        <w:rPr>
          <w:rFonts w:ascii="Arial" w:cs="Arial" w:eastAsia="Arial" w:hAnsi="Arial"/>
          <w:sz w:val="22"/>
          <w:szCs w:val="22"/>
        </w:rPr>
        <w:t xml:space="preserve">These exposure profiles are generated through Monte Carlo simulation: the bank models thousands of possible future market paths (interest rates, FX rates, credit spreads) and computes the mark-to-market value of all trades with a given counterparty at each future time step under each path. The distribution of those values, after applying netting and collateral agreements, produces the exposure profile.</w:t>
      </w:r>
    </w:p>
    <w:p>
      <w:pPr>
        <w:spacing w:before="80" w:after="120"/>
      </w:pPr>
      <w:r>
        <w:rPr>
          <w:rFonts w:ascii="Arial" w:cs="Arial" w:eastAsia="Arial" w:hAnsi="Arial"/>
          <w:sz w:val="22"/>
          <w:szCs w:val="22"/>
        </w:rPr>
        <w:t xml:space="preserve">CVA is then computed by integrating the Expected Exposure profile against the counterparty's default probability and loss given default — which is the step we formalise in Section 5.</w:t>
      </w:r>
    </w:p>
    <w:p>
      <w:r>
        <w:br w:type="page"/>
      </w:r>
    </w:p>
    <w:p>
      <w:pPr>
        <w:pStyle w:val="Heading1"/>
        <w:spacing w:before="360" w:after="180"/>
      </w:pPr>
      <w:r>
        <w:rPr>
          <w:rFonts w:ascii="Arial" w:cs="Arial" w:eastAsia="Arial" w:hAnsi="Arial"/>
          <w:b/>
          <w:bCs/>
          <w:color w:val="1A3A5C"/>
          <w:sz w:val="32"/>
          <w:szCs w:val="32"/>
        </w:rPr>
        <w:t xml:space="preserve">3.  Defining CVA: The Formal Framework</w:t>
      </w:r>
    </w:p>
    <w:p>
      <w:pPr>
        <w:spacing w:before="80" w:after="120"/>
      </w:pPr>
      <w:r>
        <w:rPr>
          <w:rFonts w:ascii="Arial" w:cs="Arial" w:eastAsia="Arial" w:hAnsi="Arial"/>
          <w:sz w:val="22"/>
          <w:szCs w:val="22"/>
        </w:rPr>
        <w:t xml:space="preserve">Credit Valuation Adjustment is defined as the market value of counterparty credit risk embedded in a derivatives portfolio. It represents the difference between the risk-free value of a trade (or portfolio) and its true value after accounting for the possibility that the counterparty may default.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Formal Definition</w:t>
            </w:r>
          </w:p>
          <w:p>
            <w:pPr>
              <w:spacing w:before="0" w:after="40"/>
            </w:pPr>
            <w:r>
              <w:rPr>
                <w:rFonts w:ascii="Arial" w:cs="Arial" w:eastAsia="Arial" w:hAnsi="Arial"/>
                <w:sz w:val="21"/>
                <w:szCs w:val="21"/>
              </w:rPr>
              <w:t xml:space="preserve">CVA = Risk-Free Value of Portfolio − Risky Value of Portfolio
Equivalently: CVA is the present value of expected losses arising from counterparty default, measured over the remaining life of all trades with that counterparty.</w:t>
            </w:r>
          </w:p>
        </w:tc>
      </w:tr>
    </w:tbl>
    <w:p>
      <w:pPr>
        <w:spacing w:before="120" w:after="0"/>
      </w:pPr>
      <w:r>
        <w:t xml:space="preserve"/>
      </w:r>
    </w:p>
    <w:p>
      <w:pPr>
        <w:spacing w:before="80" w:after="120"/>
      </w:pPr>
      <w:r>
        <w:rPr>
          <w:rFonts w:ascii="Arial" w:cs="Arial" w:eastAsia="Arial" w:hAnsi="Arial"/>
          <w:sz w:val="22"/>
          <w:szCs w:val="22"/>
        </w:rPr>
        <w:t xml:space="preserve">Several features of this definition deserve emphasis.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3.1  CVA is a Portfolio-Level Concept</w:t>
      </w:r>
    </w:p>
    <w:p>
      <w:pPr>
        <w:spacing w:before="80" w:after="120"/>
      </w:pPr>
      <w:r>
        <w:rPr>
          <w:rFonts w:ascii="Arial" w:cs="Arial" w:eastAsia="Arial" w:hAnsi="Arial"/>
          <w:sz w:val="22"/>
          <w:szCs w:val="22"/>
        </w:rPr>
        <w:t xml:space="preserve">CVA is not typically computed trade-by-trade. Because netting agreements — legally binding contracts that allow gains and losses across multiple trades with the same counterparty to be offset in the event of default — aggregate exposures, CVA must be assessed at the netting set level.</w:t>
      </w:r>
    </w:p>
    <w:p>
      <w:pPr>
        <w:spacing w:before="80" w:after="120"/>
      </w:pPr>
      <w:r>
        <w:rPr>
          <w:rFonts w:ascii="Arial" w:cs="Arial" w:eastAsia="Arial" w:hAnsi="Arial"/>
          <w:sz w:val="22"/>
          <w:szCs w:val="22"/>
        </w:rPr>
        <w:t xml:space="preserve">A netting set is the collection of all trades with a counterparty that fall under a single master netting agreement (typically an ISDA Master Agreement). Adding a new trade to a netting set can either increase CVA (if the trade adds exposure) or decrease it (if the trade offsets existing exposure). This portfolio effect is what makes CVA management a specialised function rather than a routine per-trade calculation.</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3.2  CVA is Mark-to-Market</w:t>
      </w:r>
    </w:p>
    <w:p>
      <w:pPr>
        <w:spacing w:before="80" w:after="120"/>
      </w:pPr>
      <w:r>
        <w:rPr>
          <w:rFonts w:ascii="Arial" w:cs="Arial" w:eastAsia="Arial" w:hAnsi="Arial"/>
          <w:sz w:val="22"/>
          <w:szCs w:val="22"/>
        </w:rPr>
        <w:t xml:space="preserve">Because CVA is defined as a present value — a market value — it must be updated continuously as market conditions change. Three variables drive day-to-day CVA volatility:</w:t>
      </w:r>
    </w:p>
    <w:p>
      <w:pPr>
        <w:pStyle w:val="ListParagraph"/>
        <w:numPr>
          <w:ilvl w:val="0"/>
          <w:numId w:val="2"/>
        </w:numPr>
        <w:spacing w:before="60" w:after="60"/>
      </w:pPr>
      <w:r>
        <w:rPr>
          <w:rFonts w:ascii="Arial" w:cs="Arial" w:eastAsia="Arial" w:hAnsi="Arial"/>
          <w:sz w:val="22"/>
          <w:szCs w:val="22"/>
        </w:rPr>
        <w:t xml:space="preserve">Market risk drivers (interest rates, FX, volatilities) — which change the underlying mark-to-market value of trades and thus the exposure profile.</w:t>
      </w:r>
    </w:p>
    <w:p>
      <w:pPr>
        <w:pStyle w:val="ListParagraph"/>
        <w:numPr>
          <w:ilvl w:val="0"/>
          <w:numId w:val="2"/>
        </w:numPr>
        <w:spacing w:before="60" w:after="60"/>
      </w:pPr>
      <w:r>
        <w:rPr>
          <w:rFonts w:ascii="Arial" w:cs="Arial" w:eastAsia="Arial" w:hAnsi="Arial"/>
          <w:sz w:val="22"/>
          <w:szCs w:val="22"/>
        </w:rPr>
        <w:t xml:space="preserve">Counterparty credit spreads — which feed directly into default probability estimates. A counterparty whose credit spread widens by 50 basis points is considered more likely to default, and CVA rises accordingly.</w:t>
      </w:r>
    </w:p>
    <w:p>
      <w:pPr>
        <w:pStyle w:val="ListParagraph"/>
        <w:numPr>
          <w:ilvl w:val="0"/>
          <w:numId w:val="2"/>
        </w:numPr>
        <w:spacing w:before="60" w:after="60"/>
      </w:pPr>
      <w:r>
        <w:rPr>
          <w:rFonts w:ascii="Arial" w:cs="Arial" w:eastAsia="Arial" w:hAnsi="Arial"/>
          <w:sz w:val="22"/>
          <w:szCs w:val="22"/>
        </w:rPr>
        <w:t xml:space="preserve">Time decay — as trades approach maturity, remaining exposure typically declines, and CVA rolls down accordingly (absent offsetting market moves).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3.3  Bilateral CVA</w:t>
      </w:r>
    </w:p>
    <w:p>
      <w:pPr>
        <w:spacing w:before="80" w:after="120"/>
      </w:pPr>
      <w:r>
        <w:rPr>
          <w:rFonts w:ascii="Arial" w:cs="Arial" w:eastAsia="Arial" w:hAnsi="Arial"/>
          <w:sz w:val="22"/>
          <w:szCs w:val="22"/>
        </w:rPr>
        <w:t xml:space="preserve">In the simplest formulation, CVA is calculated unilaterally — capturing only the credit risk the bank faces from its counterparty. This is sometimes called Unilateral CVA.</w:t>
      </w:r>
    </w:p>
    <w:p>
      <w:pPr>
        <w:spacing w:before="80" w:after="120"/>
      </w:pPr>
      <w:r>
        <w:rPr>
          <w:rFonts w:ascii="Arial" w:cs="Arial" w:eastAsia="Arial" w:hAnsi="Arial"/>
          <w:sz w:val="22"/>
          <w:szCs w:val="22"/>
        </w:rPr>
        <w:t xml:space="preserve">Bilateral CVA (BCVA) extends the framework to include both directions: the bank's credit risk on the counterparty (CVA) and the counterparty's credit risk on the bank (DVA). It recognises that both parties face credit risk on each other, and that a fully symmetric pricing framework requires both adjustments.</w:t>
      </w:r>
    </w:p>
    <w:p>
      <w:pPr>
        <w:spacing w:before="80" w:after="120"/>
      </w:pPr>
      <w:r>
        <w:rPr>
          <w:rFonts w:ascii="Arial" w:cs="Arial" w:eastAsia="Arial" w:hAnsi="Arial"/>
          <w:sz w:val="22"/>
          <w:szCs w:val="22"/>
        </w:rPr>
        <w:t xml:space="preserve">BCVA = CVA − DVA</w:t>
      </w:r>
    </w:p>
    <w:p>
      <w:pPr>
        <w:spacing w:before="80" w:after="120"/>
      </w:pPr>
      <w:r>
        <w:rPr>
          <w:rFonts w:ascii="Arial" w:cs="Arial" w:eastAsia="Arial" w:hAnsi="Arial"/>
          <w:sz w:val="22"/>
          <w:szCs w:val="22"/>
        </w:rPr>
        <w:t xml:space="preserve">When BCVA is positive, the bank charges a net premium (its CVA exceeds its DVA); when negative, the bank effectively receives a credit adjustment. This bilateral formulation is the basis for accounting standards such as IFRS 13 and ASC 820, which require derivatives to be measured at fair value including all credit adjustments.</w:t>
      </w:r>
    </w:p>
    <w:p>
      <w:r>
        <w:br w:type="page"/>
      </w:r>
    </w:p>
    <w:p>
      <w:pPr>
        <w:pStyle w:val="Heading1"/>
        <w:spacing w:before="360" w:after="180"/>
      </w:pPr>
      <w:r>
        <w:rPr>
          <w:rFonts w:ascii="Arial" w:cs="Arial" w:eastAsia="Arial" w:hAnsi="Arial"/>
          <w:b/>
          <w:bCs/>
          <w:color w:val="1A3A5C"/>
          <w:sz w:val="32"/>
          <w:szCs w:val="32"/>
        </w:rPr>
        <w:t xml:space="preserve">4.  Debt Valuation Adjustment (DVA): The Mirror Image</w:t>
      </w:r>
    </w:p>
    <w:p>
      <w:pPr>
        <w:spacing w:before="80" w:after="120"/>
      </w:pPr>
      <w:r>
        <w:rPr>
          <w:rFonts w:ascii="Arial" w:cs="Arial" w:eastAsia="Arial" w:hAnsi="Arial"/>
          <w:sz w:val="22"/>
          <w:szCs w:val="22"/>
        </w:rPr>
        <w:t xml:space="preserve">Debt Valuation Adjustment, or DVA, is one of the most intellectually contested concepts in modern derivatives accounting. It emerges logically from the same bilateral framework that produces CVA — yet its practical implications generate persistent discomfort among regulators, auditors, and practitioners alike.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4.1  The Logic of DVA</w:t>
      </w:r>
    </w:p>
    <w:p>
      <w:pPr>
        <w:spacing w:before="80" w:after="120"/>
      </w:pPr>
      <w:r>
        <w:rPr>
          <w:rFonts w:ascii="Arial" w:cs="Arial" w:eastAsia="Arial" w:hAnsi="Arial"/>
          <w:sz w:val="22"/>
          <w:szCs w:val="22"/>
        </w:rPr>
        <w:t xml:space="preserve">If a bank must adjust the value of its derivatives assets downward to reflect the credit risk of its counterparties (CVA), then symmetry demands that it also adjust the value of its derivatives liabilities downward to reflect its own credit risk. After all, the counterparty on the other side of the trade faces credit risk on the bank; they will have computed their own CVA for that risk.</w:t>
      </w:r>
    </w:p>
    <w:p>
      <w:pPr>
        <w:spacing w:before="80" w:after="120"/>
      </w:pPr>
      <w:r>
        <w:rPr>
          <w:rFonts w:ascii="Arial" w:cs="Arial" w:eastAsia="Arial" w:hAnsi="Arial"/>
          <w:sz w:val="22"/>
          <w:szCs w:val="22"/>
        </w:rPr>
        <w:t xml:space="preserve">From the bank's perspective, a liability that might not be fully honoured — because the bank might default — is worth less than its face value. That reduction in liability value is DVA. Accounting logic and economic symmetry both support it.</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4.2  The Uncomfortable Implication</w:t>
      </w:r>
    </w:p>
    <w:p>
      <w:pPr>
        <w:spacing w:before="80" w:after="120"/>
      </w:pPr>
      <w:r>
        <w:rPr>
          <w:rFonts w:ascii="Arial" w:cs="Arial" w:eastAsia="Arial" w:hAnsi="Arial"/>
          <w:sz w:val="22"/>
          <w:szCs w:val="22"/>
        </w:rPr>
        <w:t xml:space="preserve">The problem is the direction of the gain. DVA increases when a bank's own credit quality deteriorates. As credit spreads widen — as the market perceives the bank to be more likely to default — the bank books a DVA gain on its derivatives liabilities. During the 2008 financial crisis, several large financial institutions reported significant DVA gains at precisely the moments when their own viability was most in question. The optics were, to put it mildly, difficult to explain to shareholders and the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60" w:after="60"/>
            </w:pPr>
            <w:r>
              <w:rPr>
                <w:rFonts w:ascii="Arial" w:cs="Arial" w:eastAsia="Arial" w:hAnsi="Arial"/>
                <w:i/>
                <w:iCs/>
                <w:sz w:val="21"/>
                <w:szCs w:val="21"/>
              </w:rPr>
              <w:t xml:space="preserve">During Q3 2011, Morgan Stanley reported a DVA gain of approximately $3.4 billion, driven by a sharp widening of the firm’s own credit spreads during a period of intense market stress. The bank was simultaneously less creditworthy and more profitable — a paradox that crystallises the core tension in DVA accounting.</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4.3  Can DVA be Monetised?</w:t>
      </w:r>
    </w:p>
    <w:p>
      <w:pPr>
        <w:spacing w:before="80" w:after="120"/>
      </w:pPr>
      <w:r>
        <w:rPr>
          <w:rFonts w:ascii="Arial" w:cs="Arial" w:eastAsia="Arial" w:hAnsi="Arial"/>
          <w:sz w:val="22"/>
          <w:szCs w:val="22"/>
        </w:rPr>
        <w:t xml:space="preserve">The theoretical defence of DVA rests on the premise that a bank could, in principle, repurchase its own liabilities at their depressed fair value, crystallising the gain. In practice, this is operationally complex, constrained by market liquidity, and often prohibited or restricted by regulators concerned about capital implications.</w:t>
      </w:r>
    </w:p>
    <w:p>
      <w:pPr>
        <w:spacing w:before="80" w:after="120"/>
      </w:pPr>
      <w:r>
        <w:rPr>
          <w:rFonts w:ascii="Arial" w:cs="Arial" w:eastAsia="Arial" w:hAnsi="Arial"/>
          <w:sz w:val="22"/>
          <w:szCs w:val="22"/>
        </w:rPr>
        <w:t xml:space="preserve">Hedging DVA risk is also structurally problematic. To hedge the risk that your own credit spreads widen (generating further DVA gains), you would typically buy protection on yourself — but the CDS market on the bank's own name is illiquid, and buying such protection while already under stress can itself signal distress and accelerate adverse dynamics.</w:t>
      </w:r>
    </w:p>
    <w:p>
      <w:pPr>
        <w:spacing w:before="80" w:after="120"/>
      </w:pPr>
      <w:r>
        <w:rPr>
          <w:rFonts w:ascii="Arial" w:cs="Arial" w:eastAsia="Arial" w:hAnsi="Arial"/>
          <w:sz w:val="22"/>
          <w:szCs w:val="22"/>
        </w:rPr>
        <w:t xml:space="preserve">For these reasons, while DVA is recognised under IFRS 13 and US GAAP (ASC 820) as a required component of fair value measurement, it remains effectively unhedgeable in practice for most institutions.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4.4  Regulatory Treatment of DVA</w:t>
      </w:r>
    </w:p>
    <w:p>
      <w:pPr>
        <w:spacing w:before="80" w:after="120"/>
      </w:pPr>
      <w:r>
        <w:rPr>
          <w:rFonts w:ascii="Arial" w:cs="Arial" w:eastAsia="Arial" w:hAnsi="Arial"/>
          <w:sz w:val="22"/>
          <w:szCs w:val="22"/>
        </w:rPr>
        <w:t xml:space="preserve">Regulators have been more sceptical of DVA than accountants. Basel III took the explicit position that DVA gains should not count towards regulatory capital, on the grounds that a bank should not be permitted to improve its capital position by becoming more likely to default.</w:t>
      </w:r>
    </w:p>
    <w:p>
      <w:pPr>
        <w:spacing w:before="80" w:after="120"/>
      </w:pPr>
      <w:r>
        <w:rPr>
          <w:rFonts w:ascii="Arial" w:cs="Arial" w:eastAsia="Arial" w:hAnsi="Arial"/>
          <w:sz w:val="22"/>
          <w:szCs w:val="22"/>
        </w:rPr>
        <w:t xml:space="preserve">Under CRR Article 33(1)(c) and the Basel III text, deductions are made from Common Equity Tier 1 for fair value gains attributable to changes in the bank's own credit standing on liabilities — effectively neutralising DVA in the regulatory capital stack, even where it appears in accounting profit.</w:t>
      </w:r>
    </w:p>
    <w:p>
      <w:pPr>
        <w:spacing w:before="80" w:after="120"/>
      </w:pPr>
      <w:r>
        <w:rPr>
          <w:rFonts w:ascii="Arial" w:cs="Arial" w:eastAsia="Arial" w:hAnsi="Arial"/>
          <w:sz w:val="22"/>
          <w:szCs w:val="22"/>
        </w:rPr>
        <w:t xml:space="preserve">This creates a persistent divergence between accounting equity (which includes DVA) and regulatory capital (which strips it out) — a split that risk and finance teams must manage carefully.</w:t>
      </w:r>
    </w:p>
    <w:p>
      <w:r>
        <w:br w:type="page"/>
      </w:r>
    </w:p>
    <w:p>
      <w:pPr>
        <w:pStyle w:val="Heading1"/>
        <w:spacing w:before="360" w:after="180"/>
      </w:pPr>
      <w:r>
        <w:rPr>
          <w:rFonts w:ascii="Arial" w:cs="Arial" w:eastAsia="Arial" w:hAnsi="Arial"/>
          <w:b/>
          <w:bCs/>
          <w:color w:val="1A3A5C"/>
          <w:sz w:val="32"/>
          <w:szCs w:val="32"/>
        </w:rPr>
        <w:t xml:space="preserve">5.  The CVA Formula: Step-by-Step</w:t>
      </w:r>
    </w:p>
    <w:p>
      <w:pPr>
        <w:spacing w:before="80" w:after="120"/>
      </w:pPr>
      <w:r>
        <w:rPr>
          <w:rFonts w:ascii="Arial" w:cs="Arial" w:eastAsia="Arial" w:hAnsi="Arial"/>
          <w:sz w:val="22"/>
          <w:szCs w:val="22"/>
        </w:rPr>
        <w:t xml:space="preserve">The mathematical formulation of CVA combines the three economic ingredients introduced in Section 1 — exposure, probability of default, and loss given default — within a present-value framework that accounts for the timing of potential default across the full life of the trade.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5.1  The Standard CVA Formula</w:t>
      </w:r>
    </w:p>
    <w:p>
      <w:pPr>
        <w:spacing w:before="80" w:after="120"/>
      </w:pPr>
      <w:r>
        <w:rPr>
          <w:rFonts w:ascii="Arial" w:cs="Arial" w:eastAsia="Arial" w:hAnsi="Arial"/>
          <w:sz w:val="22"/>
          <w:szCs w:val="22"/>
        </w:rPr>
        <w:t xml:space="preserve">The widely used discrete approximation of CVA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CVA Formula (Discrete Approximation)</w:t>
            </w:r>
          </w:p>
          <w:p>
            <w:pPr>
              <w:spacing w:before="0" w:after="40"/>
            </w:pPr>
            <w:r>
              <w:rPr>
                <w:rFonts w:ascii="Arial" w:cs="Arial" w:eastAsia="Arial" w:hAnsi="Arial"/>
                <w:sz w:val="21"/>
                <w:szCs w:val="21"/>
              </w:rPr>
              <w:t xml:space="preserve">CVA ≈ LGD × Σ [ EE(tᵢ) × PD(tᵢ₋₁, tᵢ) × D(tᵢ) ]
where the sum runs over time steps i = 1, 2, ..., n covering the life of the trade/portfolio.</w:t>
            </w:r>
          </w:p>
        </w:tc>
      </w:tr>
    </w:tbl>
    <w:p>
      <w:pPr>
        <w:spacing w:before="120" w:after="0"/>
      </w:pPr>
      <w:r>
        <w:t xml:space="preserve"/>
      </w:r>
    </w:p>
    <w:p>
      <w:pPr>
        <w:spacing w:before="80" w:after="120"/>
      </w:pPr>
      <w:r>
        <w:rPr>
          <w:rFonts w:ascii="Arial" w:cs="Arial" w:eastAsia="Arial" w:hAnsi="Arial"/>
          <w:sz w:val="22"/>
          <w:szCs w:val="22"/>
        </w:rPr>
        <w:t xml:space="preserve">Each component is defined and explained below.</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5.2  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LGD (Loss Given Default)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fraction of exposure that is actually lost upon default. LGD = 1 − Recovery Rate. For senior unsecured OTC derivatives, LGD is commonly assumed at 60% (implying a 40% recovery rate), though this varies by counterparty type and collateral arrangements.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EE(tᵢ) — Expected Exposure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The expected (probability-weighted average) mark-to-market value of the portfolio with the counterparty at future time tᵢ, floored at zero (since negative exposure is not a credit risk to us — it is a credit risk to them). Generated through Monte Carlo simulation.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PD(tᵢ₋₁, tᵢ) — Marginal Default Probability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probability that the counterparty defaults specifically in the interval (tᵢ₋₁, tᵢ), conditional on surviving until tᵢ₋₁. Typically derived from the counterparty’s market credit spread (CDS spread) using the standard hazard rate model.</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D(tᵢ) — Discount Factor</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The present value of one unit of currency received at time tᵢ, derived from the risk-free (or OIS) discount curve. Converts future expected losses into present value terms.</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5.3  Deriving Default Probabilities from Credit Spreads</w:t>
      </w:r>
    </w:p>
    <w:p>
      <w:pPr>
        <w:spacing w:before="80" w:after="120"/>
      </w:pPr>
      <w:r>
        <w:rPr>
          <w:rFonts w:ascii="Arial" w:cs="Arial" w:eastAsia="Arial" w:hAnsi="Arial"/>
          <w:sz w:val="22"/>
          <w:szCs w:val="22"/>
        </w:rPr>
        <w:t xml:space="preserve">In practice, marginal default probabilities are not observed directly. They are inferred from observable market data — specifically, CDS spreads or bond spreads — using the hazard rate framework.</w:t>
      </w:r>
    </w:p>
    <w:p>
      <w:pPr>
        <w:spacing w:before="80" w:after="120"/>
      </w:pPr>
      <w:r>
        <w:rPr>
          <w:rFonts w:ascii="Arial" w:cs="Arial" w:eastAsia="Arial" w:hAnsi="Arial"/>
          <w:sz w:val="22"/>
          <w:szCs w:val="22"/>
        </w:rPr>
        <w:t xml:space="preserve">The hazard rate h(t) — also called the default intensity — represents the instantaneous rate of default at time t, conditional on survival to that point. For a flat credit spread s and constant recovery rate 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60" w:after="60"/>
            </w:pPr>
            <w:r>
              <w:rPr>
                <w:rFonts w:ascii="Arial" w:cs="Arial" w:eastAsia="Arial" w:hAnsi="Arial"/>
                <w:i/>
                <w:iCs/>
                <w:sz w:val="21"/>
                <w:szCs w:val="21"/>
              </w:rPr>
              <w:t xml:space="preserve">Hazard Rate (approximate):   h ≈ s / (1 − R)
Survival Probability to time T:   S(T) = exp(−h × T)
Marginal Default Probability in interval (tᵢ₋₁, tᵢ):   PD(tᵢ₋₁, tᵢ) = S(tᵢ₋₁) − S(tᵢ)</w:t>
            </w:r>
          </w:p>
        </w:tc>
      </w:tr>
    </w:tbl>
    <w:p>
      <w:pPr>
        <w:spacing w:before="120" w:after="0"/>
      </w:pPr>
      <w:r>
        <w:t xml:space="preserve"/>
      </w:r>
    </w:p>
    <w:p>
      <w:pPr>
        <w:spacing w:before="80" w:after="120"/>
      </w:pPr>
      <w:r>
        <w:rPr>
          <w:rFonts w:ascii="Arial" w:cs="Arial" w:eastAsia="Arial" w:hAnsi="Arial"/>
          <w:sz w:val="22"/>
          <w:szCs w:val="22"/>
        </w:rPr>
        <w:t xml:space="preserve">For example, a counterparty with a 5-year CDS spread of 200 basis points (2.0%) and an assumed recovery rate of 40% implies a hazard rate of approximately 2.0% / 0.60 = 3.33% per annum. The 5-year survival probability would be approximately e^(−0.0333 × 5) = 84.6%, implying a 5-year cumulative default probability of roughly 15.4%.</w:t>
      </w:r>
    </w:p>
    <w:p>
      <w:r>
        <w:br w:type="page"/>
      </w:r>
    </w:p>
    <w:p>
      <w:pPr>
        <w:pStyle w:val="Heading1"/>
        <w:spacing w:before="360" w:after="180"/>
      </w:pPr>
      <w:r>
        <w:rPr>
          <w:rFonts w:ascii="Arial" w:cs="Arial" w:eastAsia="Arial" w:hAnsi="Arial"/>
          <w:b/>
          <w:bCs/>
          <w:color w:val="1A3A5C"/>
          <w:sz w:val="32"/>
          <w:szCs w:val="32"/>
        </w:rPr>
        <w:t xml:space="preserve">6.  A Worked Numerical Example</w:t>
      </w:r>
    </w:p>
    <w:p>
      <w:pPr>
        <w:spacing w:before="80" w:after="120"/>
      </w:pPr>
      <w:r>
        <w:rPr>
          <w:rFonts w:ascii="Arial" w:cs="Arial" w:eastAsia="Arial" w:hAnsi="Arial"/>
          <w:sz w:val="22"/>
          <w:szCs w:val="22"/>
        </w:rPr>
        <w:t xml:space="preserve">The following example walks through a simplified CVA calculation for a 3-year interest rate swap. While real-world CVA calculations involve thousands of Monte Carlo paths and continuous monitoring, this stylised example preserves all the essential mechanics.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6.1  Trade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Instrument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3-year interest rate swap (bank pays fixed, receives floating)</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Notional</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$10,000,000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Counterparty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Corporate BBB-rated entity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Netting agreement</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ISDA Master Agreement in place; no CSA/collateral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CDS spread (flat)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150 bps per annum</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Assumed Recovery Rate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40%  ⇒  LGD = 60%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Discount rate (OIS)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4.0% flat</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6.2  Step 1: Derive Hazard Rate and Default Probabilities</w:t>
      </w:r>
    </w:p>
    <w:p>
      <w:pPr>
        <w:spacing w:before="80" w:after="120"/>
      </w:pPr>
      <w:r>
        <w:rPr>
          <w:rFonts w:ascii="Arial" w:cs="Arial" w:eastAsia="Arial" w:hAnsi="Arial"/>
          <w:sz w:val="22"/>
          <w:szCs w:val="22"/>
        </w:rPr>
        <w:t xml:space="preserve">Hazard rate: h = 0.0150 / (1 − 0.40) = 2.50% per annum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Survival Probability</w:t>
            </w:r>
          </w:p>
        </w:tc>
        <w:tc>
          <w:tcPr>
            <w:tcW w:type="dxa" w:w="3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Marginal PD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S(0,1) = exp(−0.025 × 1) = 97.53%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2.47%</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3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S(0,2) = exp(−0.025 × 2) = 95.12%</w:t>
            </w:r>
          </w:p>
        </w:tc>
        <w:tc>
          <w:tcPr>
            <w:tcW w:type="dxa" w:w="3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2.41%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S(0,3) = exp(−0.025 × 3) = 92.77%</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2.35%</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6.3  Step 2: Estimate Expected Exposure Profile</w:t>
      </w:r>
    </w:p>
    <w:p>
      <w:pPr>
        <w:spacing w:before="80" w:after="120"/>
      </w:pPr>
      <w:r>
        <w:rPr>
          <w:rFonts w:ascii="Arial" w:cs="Arial" w:eastAsia="Arial" w:hAnsi="Arial"/>
          <w:sz w:val="22"/>
          <w:szCs w:val="22"/>
        </w:rPr>
        <w:t xml:space="preserve">For an at-market interest rate swap, the exposure profile is typically hump-shaped: near zero at inception (at-market), rising as the rate differential accumulates, then falling as remaining cash flows decrease. The following are illustrative EPE estimates (mid-period), expressed as a percentage of notional.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EE (% of notional)</w:t>
            </w:r>
          </w:p>
        </w:tc>
        <w:tc>
          <w:tcPr>
            <w:tcW w:type="dxa" w:w="3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EE ($)</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$120,000</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3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w:t>
            </w:r>
          </w:p>
        </w:tc>
        <w:tc>
          <w:tcPr>
            <w:tcW w:type="dxa" w:w="3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0.90%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$90,000</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6.4  Step 3: Compute Discount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Discount Factor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Year 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D(1) = exp(−0.04 × 1) = 0.9608</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Year 2</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D(2) = exp(−0.04 × 2) = 0.9231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Year 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D(3) = exp(−0.04 × 3) = 0.8869</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6.5  Step 4: Compute CVA</w:t>
      </w:r>
    </w:p>
    <w:p>
      <w:pPr>
        <w:spacing w:before="80" w:after="120"/>
      </w:pPr>
      <w:r>
        <w:rPr>
          <w:rFonts w:ascii="Arial" w:cs="Arial" w:eastAsia="Arial" w:hAnsi="Arial"/>
          <w:sz w:val="22"/>
          <w:szCs w:val="22"/>
        </w:rPr>
        <w:t xml:space="preserve">CVA = LGD × Σ [EE(tᵢ) × PD(tᵢ) × D(tᵢ)]</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40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Calculation</w:t>
            </w:r>
          </w:p>
        </w:tc>
        <w:tc>
          <w:tcPr>
            <w:tcW w:type="dxa" w:w="28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Result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$120,000 × 2.47% × 0.9608</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$2,845</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4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$180,000 × 2.41% × 0.9231</w:t>
            </w:r>
          </w:p>
        </w:tc>
        <w:tc>
          <w:tcPr>
            <w:tcW w:type="dxa" w:w="2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$4,003</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$90,000 × 2.35% × 0.8869</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$1,874</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Sum</w:t>
            </w:r>
          </w:p>
        </w:tc>
        <w:tc>
          <w:tcPr>
            <w:tcW w:type="dxa" w:w="4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
            </w:r>
          </w:p>
        </w:tc>
        <w:tc>
          <w:tcPr>
            <w:tcW w:type="dxa" w:w="2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$8,722</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CVA = 60% × $8,722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$5,233</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Interpretation</w:t>
            </w:r>
          </w:p>
          <w:p>
            <w:pPr>
              <w:spacing w:before="0" w:after="40"/>
            </w:pPr>
            <w:r>
              <w:rPr>
                <w:rFonts w:ascii="Arial" w:cs="Arial" w:eastAsia="Arial" w:hAnsi="Arial"/>
                <w:sz w:val="21"/>
                <w:szCs w:val="21"/>
              </w:rPr>
              <w:t xml:space="preserve">The CVA on this 3-year swap is approximately $5,233. This means the bank should reduce the fair value of this trade by $5,233 on its books to reflect the expected credit loss from its BBB-rated counterparty. If the bank is pricing a new trade, it would add this amount (in spread terms) to the fixed rate it charges the counterparty as a credit premium.</w:t>
            </w:r>
          </w:p>
        </w:tc>
      </w:tr>
    </w:tbl>
    <w:p>
      <w:pPr>
        <w:spacing w:before="120" w:after="0"/>
      </w:pPr>
      <w:r>
        <w:t xml:space="preserve"/>
      </w:r>
    </w:p>
    <w:p>
      <w:r>
        <w:br w:type="page"/>
      </w:r>
    </w:p>
    <w:p>
      <w:pPr>
        <w:pStyle w:val="Heading1"/>
        <w:spacing w:before="360" w:after="180"/>
      </w:pPr>
      <w:r>
        <w:rPr>
          <w:rFonts w:ascii="Arial" w:cs="Arial" w:eastAsia="Arial" w:hAnsi="Arial"/>
          <w:b/>
          <w:bCs/>
          <w:color w:val="1A3A5C"/>
          <w:sz w:val="32"/>
          <w:szCs w:val="32"/>
        </w:rPr>
        <w:t xml:space="preserve">7.  Regulatory CVA: Basel III, CRR and the FRTB-CVA Framework</w:t>
      </w:r>
    </w:p>
    <w:p>
      <w:pPr>
        <w:spacing w:before="80" w:after="120"/>
      </w:pPr>
      <w:r>
        <w:rPr>
          <w:rFonts w:ascii="Arial" w:cs="Arial" w:eastAsia="Arial" w:hAnsi="Arial"/>
          <w:sz w:val="22"/>
          <w:szCs w:val="22"/>
        </w:rPr>
        <w:t xml:space="preserve">CVA is not solely an internal pricing and risk management tool — it is also a pillar of regulatory capital requirements. The regulatory treatment of CVA has evolved substantially since the 2008 financial crisis revealed that a large proportion of counterparty credit losses were not from outright defaults but from CVA mark-to-market losses as counterparty credit spreads widened.</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7.1  The Basel III CVA Capital Charge: Origins</w:t>
      </w:r>
    </w:p>
    <w:p>
      <w:pPr>
        <w:spacing w:before="80" w:after="120"/>
      </w:pPr>
      <w:r>
        <w:rPr>
          <w:rFonts w:ascii="Arial" w:cs="Arial" w:eastAsia="Arial" w:hAnsi="Arial"/>
          <w:sz w:val="22"/>
          <w:szCs w:val="22"/>
        </w:rPr>
        <w:t xml:space="preserve">Basel II's counterparty credit risk framework focused almost exclusively on the risk of actual default — the direct credit loss if a counterparty failed to pay. What Basel II did not capture adequately was the mark-to-market volatility of CVA itself: as credit spreads move, CVA gains and losses flow through the P&amp;L, creating a market risk dimension to counterparty credit risk.</w:t>
      </w:r>
    </w:p>
    <w:p>
      <w:pPr>
        <w:spacing w:before="80" w:after="120"/>
      </w:pPr>
      <w:r>
        <w:rPr>
          <w:rFonts w:ascii="Arial" w:cs="Arial" w:eastAsia="Arial" w:hAnsi="Arial"/>
          <w:sz w:val="22"/>
          <w:szCs w:val="22"/>
        </w:rPr>
        <w:t xml:space="preserve">The Basel Committee estimated that during the 2007–2009 crisis, approximately two-thirds of counterparty credit losses were attributable to CVA volatility rather than outright default. This finding prompted the explicit introduction of a CVA capital charge under Basel III, effective from 2013.</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7.2  Basel III CVA Capital Approaches</w:t>
      </w:r>
    </w:p>
    <w:p>
      <w:pPr>
        <w:spacing w:before="80" w:after="120"/>
      </w:pPr>
      <w:r>
        <w:rPr>
          <w:rFonts w:ascii="Arial" w:cs="Arial" w:eastAsia="Arial" w:hAnsi="Arial"/>
          <w:sz w:val="22"/>
          <w:szCs w:val="22"/>
        </w:rPr>
        <w:t xml:space="preserve">Under Basel III (and the EU's Capital Requirements Regulation, CRR/CRR2), banks must hold capital against CVA risk using one of two approaches:</w:t>
      </w:r>
    </w:p>
    <w:p>
      <w:pPr>
        <w:spacing w:before="80" w:after="0"/>
      </w:pPr>
      <w:r>
        <w:t xml:space="preserve"/>
      </w:r>
    </w:p>
    <w:p>
      <w:pPr>
        <w:pStyle w:val="Heading3"/>
        <w:spacing w:before="200" w:after="100"/>
      </w:pPr>
      <w:r>
        <w:rPr>
          <w:rFonts w:ascii="Arial" w:cs="Arial" w:eastAsia="Arial" w:hAnsi="Arial"/>
          <w:b/>
          <w:bCs/>
          <w:color w:val="1A3A5C"/>
          <w:sz w:val="22"/>
          <w:szCs w:val="22"/>
        </w:rPr>
        <w:t xml:space="preserve">7.2.1  Standardised CVA Approach (SA-CVA)</w:t>
      </w:r>
    </w:p>
    <w:p>
      <w:pPr>
        <w:spacing w:before="80" w:after="120"/>
      </w:pPr>
      <w:r>
        <w:rPr>
          <w:rFonts w:ascii="Arial" w:cs="Arial" w:eastAsia="Arial" w:hAnsi="Arial"/>
          <w:sz w:val="22"/>
          <w:szCs w:val="22"/>
        </w:rPr>
        <w:t xml:space="preserve">SA-CVA is a sensitivities-based method that captures CVA risk through delta and vega sensitivities to the risk factors that drive CVA: counterparty credit spreads, interest rates, FX rates, equity prices, and commodity prices. SA-CVA requires banks to have a CVA desk, approved CVA models, and robust data infrastructure.</w:t>
      </w:r>
    </w:p>
    <w:p>
      <w:pPr>
        <w:spacing w:before="80" w:after="120"/>
      </w:pPr>
      <w:r>
        <w:rPr>
          <w:rFonts w:ascii="Arial" w:cs="Arial" w:eastAsia="Arial" w:hAnsi="Arial"/>
          <w:sz w:val="22"/>
          <w:szCs w:val="22"/>
        </w:rPr>
        <w:t xml:space="preserve">The capital charge under SA-CVA reflects both the CVA's sensitivity to market moves and the quality of hedges in place. Eligible CVA hedges (CDS, swaptions, etc.) can reduce the capital charge if they genuinely offset CVA risk.</w:t>
      </w:r>
    </w:p>
    <w:p>
      <w:pPr>
        <w:spacing w:before="80" w:after="0"/>
      </w:pPr>
      <w:r>
        <w:t xml:space="preserve"/>
      </w:r>
    </w:p>
    <w:p>
      <w:pPr>
        <w:pStyle w:val="Heading3"/>
        <w:spacing w:before="200" w:after="100"/>
      </w:pPr>
      <w:r>
        <w:rPr>
          <w:rFonts w:ascii="Arial" w:cs="Arial" w:eastAsia="Arial" w:hAnsi="Arial"/>
          <w:b/>
          <w:bCs/>
          <w:color w:val="1A3A5C"/>
          <w:sz w:val="22"/>
          <w:szCs w:val="22"/>
        </w:rPr>
        <w:t xml:space="preserve">7.2.2  Basic CVA Approach (BA-CVA)</w:t>
      </w:r>
    </w:p>
    <w:p>
      <w:pPr>
        <w:spacing w:before="80" w:after="120"/>
      </w:pPr>
      <w:r>
        <w:rPr>
          <w:rFonts w:ascii="Arial" w:cs="Arial" w:eastAsia="Arial" w:hAnsi="Arial"/>
          <w:sz w:val="22"/>
          <w:szCs w:val="22"/>
        </w:rPr>
        <w:t xml:space="preserve">BA-CVA is a simplified approach available to banks that do not meet the eligibility criteria for SA-CVA. It is formula-driven and risk-insensitive, computing capital requirements based on regulatory proxies for exposure and credit spread risk. BA-CVA generally produces higher capital charges than SA-CVA for the same portfolio, acting as an incentive for banks to invest in proper CVA infrastructure.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7.3  FRTB-CVA: The Next Generation Framework</w:t>
      </w:r>
    </w:p>
    <w:p>
      <w:pPr>
        <w:spacing w:before="80" w:after="120"/>
      </w:pPr>
      <w:r>
        <w:rPr>
          <w:rFonts w:ascii="Arial" w:cs="Arial" w:eastAsia="Arial" w:hAnsi="Arial"/>
          <w:sz w:val="22"/>
          <w:szCs w:val="22"/>
        </w:rPr>
        <w:t xml:space="preserve">The Fundamental Review of the Trading Book (FRTB), introduced alongside Basel IV (finalised 2017, progressively implemented 2023–2025), brought a comprehensive overhaul to CVA capital requirements under the FRTB-CVA framework.</w:t>
      </w:r>
    </w:p>
    <w:p>
      <w:pPr>
        <w:spacing w:before="80" w:after="120"/>
      </w:pPr>
      <w:r>
        <w:rPr>
          <w:rFonts w:ascii="Arial" w:cs="Arial" w:eastAsia="Arial" w:hAnsi="Arial"/>
          <w:sz w:val="22"/>
          <w:szCs w:val="22"/>
        </w:rPr>
        <w:t xml:space="preserve">Key changes under FRTB-CVA include:</w:t>
      </w:r>
    </w:p>
    <w:p>
      <w:pPr>
        <w:pStyle w:val="ListParagraph"/>
        <w:numPr>
          <w:ilvl w:val="0"/>
          <w:numId w:val="2"/>
        </w:numPr>
        <w:spacing w:before="60" w:after="60"/>
      </w:pPr>
      <w:r>
        <w:rPr>
          <w:rFonts w:ascii="Arial" w:cs="Arial" w:eastAsia="Arial" w:hAnsi="Arial"/>
          <w:sz w:val="22"/>
          <w:szCs w:val="22"/>
        </w:rPr>
        <w:t xml:space="preserve">Full alignment with the FRTB market risk framework, using Internal Models Approach (IMA-CVA) or Standardised Approach (SA-CVA) consistent with trading book capital rules.</w:t>
      </w:r>
    </w:p>
    <w:p>
      <w:pPr>
        <w:pStyle w:val="ListParagraph"/>
        <w:numPr>
          <w:ilvl w:val="0"/>
          <w:numId w:val="2"/>
        </w:numPr>
        <w:spacing w:before="60" w:after="60"/>
      </w:pPr>
      <w:r>
        <w:rPr>
          <w:rFonts w:ascii="Arial" w:cs="Arial" w:eastAsia="Arial" w:hAnsi="Arial"/>
          <w:sz w:val="22"/>
          <w:szCs w:val="22"/>
        </w:rPr>
        <w:t xml:space="preserve">IMA-CVA requires banks to model CVA using Expected Shortfall rather than VaR, capturing tail risk more robustly, and to pass backtesting and P&amp;L attribution tests.</w:t>
      </w:r>
    </w:p>
    <w:p>
      <w:pPr>
        <w:pStyle w:val="ListParagraph"/>
        <w:numPr>
          <w:ilvl w:val="0"/>
          <w:numId w:val="2"/>
        </w:numPr>
        <w:spacing w:before="60" w:after="60"/>
      </w:pPr>
      <w:r>
        <w:rPr>
          <w:rFonts w:ascii="Arial" w:cs="Arial" w:eastAsia="Arial" w:hAnsi="Arial"/>
          <w:sz w:val="22"/>
          <w:szCs w:val="22"/>
        </w:rPr>
        <w:t xml:space="preserve">SA-CVA under FRTB uses the Sensitivities-Based Method (SBM) from FRTB, with delta, vega, and curvature risk charges applied to CVA sensitivities.</w:t>
      </w:r>
    </w:p>
    <w:p>
      <w:pPr>
        <w:pStyle w:val="ListParagraph"/>
        <w:numPr>
          <w:ilvl w:val="0"/>
          <w:numId w:val="2"/>
        </w:numPr>
        <w:spacing w:before="60" w:after="60"/>
      </w:pPr>
      <w:r>
        <w:rPr>
          <w:rFonts w:ascii="Arial" w:cs="Arial" w:eastAsia="Arial" w:hAnsi="Arial"/>
          <w:sz w:val="22"/>
          <w:szCs w:val="22"/>
        </w:rPr>
        <w:t xml:space="preserve">CVA hedges receive more systematic regulatory recognition, reducing the historical penalty for prudent hedging activity.</w:t>
      </w:r>
    </w:p>
    <w:p>
      <w:pPr>
        <w:pStyle w:val="ListParagraph"/>
        <w:numPr>
          <w:ilvl w:val="0"/>
          <w:numId w:val="2"/>
        </w:numPr>
        <w:spacing w:before="60" w:after="60"/>
      </w:pPr>
      <w:r>
        <w:rPr>
          <w:rFonts w:ascii="Arial" w:cs="Arial" w:eastAsia="Arial" w:hAnsi="Arial"/>
          <w:sz w:val="22"/>
          <w:szCs w:val="22"/>
        </w:rPr>
        <w:t xml:space="preserve">The framework explicitly excludes certain trades (e.g. trades with central counterparties, intragroup trades, SFTs) from the CVA capital charge — a key scope delineation.</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7.4  CVA Exemptions and Scope</w:t>
      </w:r>
    </w:p>
    <w:p>
      <w:pPr>
        <w:spacing w:before="80" w:after="120"/>
      </w:pPr>
      <w:r>
        <w:rPr>
          <w:rFonts w:ascii="Arial" w:cs="Arial" w:eastAsia="Arial" w:hAnsi="Arial"/>
          <w:sz w:val="22"/>
          <w:szCs w:val="22"/>
        </w:rPr>
        <w:t xml:space="preserve">Not all derivative trades are subject to CVA capital charges. The following are typically exempt:</w:t>
      </w:r>
    </w:p>
    <w:p>
      <w:pPr>
        <w:pStyle w:val="ListParagraph"/>
        <w:numPr>
          <w:ilvl w:val="0"/>
          <w:numId w:val="2"/>
        </w:numPr>
        <w:spacing w:before="60" w:after="60"/>
      </w:pPr>
      <w:r>
        <w:rPr>
          <w:rFonts w:ascii="Arial" w:cs="Arial" w:eastAsia="Arial" w:hAnsi="Arial"/>
          <w:sz w:val="22"/>
          <w:szCs w:val="22"/>
        </w:rPr>
        <w:t xml:space="preserve">Trades cleared through qualifying central counterparties (CCPs) — these carry a separate default fund exposure charge instead.</w:t>
      </w:r>
    </w:p>
    <w:p>
      <w:pPr>
        <w:pStyle w:val="ListParagraph"/>
        <w:numPr>
          <w:ilvl w:val="0"/>
          <w:numId w:val="2"/>
        </w:numPr>
        <w:spacing w:before="60" w:after="60"/>
      </w:pPr>
      <w:r>
        <w:rPr>
          <w:rFonts w:ascii="Arial" w:cs="Arial" w:eastAsia="Arial" w:hAnsi="Arial"/>
          <w:sz w:val="22"/>
          <w:szCs w:val="22"/>
        </w:rPr>
        <w:t xml:space="preserve">Intragroup transactions, where both parties are part of the same consolidated group and there is no legal separation of credit risk.</w:t>
      </w:r>
    </w:p>
    <w:p>
      <w:pPr>
        <w:pStyle w:val="ListParagraph"/>
        <w:numPr>
          <w:ilvl w:val="0"/>
          <w:numId w:val="2"/>
        </w:numPr>
        <w:spacing w:before="60" w:after="60"/>
      </w:pPr>
      <w:r>
        <w:rPr>
          <w:rFonts w:ascii="Arial" w:cs="Arial" w:eastAsia="Arial" w:hAnsi="Arial"/>
          <w:sz w:val="22"/>
          <w:szCs w:val="22"/>
        </w:rPr>
        <w:t xml:space="preserve">Securities financing transactions (repos, stock lending) — unless a jurisdiction exercises the discretion to include them.</w:t>
      </w:r>
    </w:p>
    <w:p>
      <w:pPr>
        <w:pStyle w:val="ListParagraph"/>
        <w:numPr>
          <w:ilvl w:val="0"/>
          <w:numId w:val="2"/>
        </w:numPr>
        <w:spacing w:before="60" w:after="60"/>
      </w:pPr>
      <w:r>
        <w:rPr>
          <w:rFonts w:ascii="Arial" w:cs="Arial" w:eastAsia="Arial" w:hAnsi="Arial"/>
          <w:sz w:val="22"/>
          <w:szCs w:val="22"/>
        </w:rPr>
        <w:t xml:space="preserve">Certain sovereign counterparty exposures, depending on jurisdiction-level supervisory decisions.</w:t>
      </w:r>
    </w:p>
    <w:p>
      <w:r>
        <w:br w:type="page"/>
      </w:r>
    </w:p>
    <w:p>
      <w:pPr>
        <w:pStyle w:val="Heading1"/>
        <w:spacing w:before="360" w:after="180"/>
      </w:pPr>
      <w:r>
        <w:rPr>
          <w:rFonts w:ascii="Arial" w:cs="Arial" w:eastAsia="Arial" w:hAnsi="Arial"/>
          <w:b/>
          <w:bCs/>
          <w:color w:val="1A3A5C"/>
          <w:sz w:val="32"/>
          <w:szCs w:val="32"/>
        </w:rPr>
        <w:t xml:space="preserve">8.  The xVA Family: Where CVA Sits</w:t>
      </w:r>
    </w:p>
    <w:p>
      <w:pPr>
        <w:spacing w:before="80" w:after="120"/>
      </w:pPr>
      <w:r>
        <w:rPr>
          <w:rFonts w:ascii="Arial" w:cs="Arial" w:eastAsia="Arial" w:hAnsi="Arial"/>
          <w:sz w:val="22"/>
          <w:szCs w:val="22"/>
        </w:rPr>
        <w:t xml:space="preserve">CVA and DVA are the original members of what practitioners call the "xVA family" — a collection of valuation adjustments, each capturing a distinct dimension of cost, risk, or friction associated with derivatives trading. Understanding the full xVA landscape is essential context for anyone working in counterparty risk, derivatives pricing, or treasury functions at financial institutions.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Abbreviation</w:t>
            </w:r>
          </w:p>
        </w:tc>
        <w:tc>
          <w:tcPr>
            <w:tcW w:type="dxa" w:w="32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Full Name</w:t>
            </w:r>
          </w:p>
        </w:tc>
        <w:tc>
          <w:tcPr>
            <w:tcW w:type="dxa" w:w="4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Economic Meaning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Credit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Expected cost of counterparty default. Reduces asset fair value.</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DVA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Debt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Own credit risk on liabilities. Reduces liability fair value; controversial gain on own deterioration.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Funding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 of funding uncollateralised derivatives positions. Reflects the bank’s internal funding spread.</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MVA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Margin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Cost of posting initial margin under mandatory clearing and UMR (Uncleared Margin Rules).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KVA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Capital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 of holding regulatory capital against a trade over its life. Increasingly important under Basel IV.</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ColVA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Collateral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Adjustment for optionality in Credit Support Annexes (CSAs) — e.g. currency choice, threshold triggers.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XVA (aggregate)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The sum of all valuation adjustments. Many banks have centralised XVA desks to manage and hedge the aggregate.</w:t>
            </w:r>
          </w:p>
        </w:tc>
      </w:tr>
    </w:tbl>
    <w:p>
      <w:pPr>
        <w:spacing w:before="160" w:after="0"/>
      </w:pPr>
      <w:r>
        <w:t xml:space="preserve"/>
      </w:r>
    </w:p>
    <w:p>
      <w:pPr>
        <w:spacing w:before="80" w:after="120"/>
      </w:pPr>
      <w:r>
        <w:rPr>
          <w:rFonts w:ascii="Arial" w:cs="Arial" w:eastAsia="Arial" w:hAnsi="Arial"/>
          <w:sz w:val="22"/>
          <w:szCs w:val="22"/>
        </w:rPr>
        <w:t xml:space="preserve">The proliferation of xVA adjustments reflects the increasing recognition that derivatives are not costless to hold — each dimension of risk, friction, and regulatory burden has a price that should be reflected in trade valuation. The challenge for practitioners is that many xVA terms interact: for instance, posting collateral reduces CVA (lower exposure) but increases MVA (more margin required) and may affect FVA.</w:t>
      </w:r>
    </w:p>
    <w:p>
      <w:pPr>
        <w:spacing w:before="80" w:after="120"/>
      </w:pPr>
      <w:r>
        <w:rPr>
          <w:rFonts w:ascii="Arial" w:cs="Arial" w:eastAsia="Arial" w:hAnsi="Arial"/>
          <w:sz w:val="22"/>
          <w:szCs w:val="22"/>
        </w:rPr>
        <w:t xml:space="preserve">CVA desks at major banks have progressively expanded their remit to become XVA desks, managing the full suite of adjustments and their interdependencies within a unified risk framework.</w:t>
      </w:r>
    </w:p>
    <w:p>
      <w:r>
        <w:br w:type="page"/>
      </w:r>
    </w:p>
    <w:p>
      <w:pPr>
        <w:pStyle w:val="Heading1"/>
        <w:spacing w:before="360" w:after="180"/>
      </w:pPr>
      <w:r>
        <w:rPr>
          <w:rFonts w:ascii="Arial" w:cs="Arial" w:eastAsia="Arial" w:hAnsi="Arial"/>
          <w:b/>
          <w:bCs/>
          <w:color w:val="1A3A5C"/>
          <w:sz w:val="32"/>
          <w:szCs w:val="32"/>
        </w:rPr>
        <w:t xml:space="preserve">9.  Crisis Case Studies</w:t>
      </w:r>
    </w:p>
    <w:p>
      <w:pPr>
        <w:spacing w:before="80" w:after="120"/>
      </w:pPr>
      <w:r>
        <w:rPr>
          <w:rFonts w:ascii="Arial" w:cs="Arial" w:eastAsia="Arial" w:hAnsi="Arial"/>
          <w:sz w:val="22"/>
          <w:szCs w:val="22"/>
        </w:rPr>
        <w:t xml:space="preserve">The 2007–2009 global financial crisis was the event that transformed CVA from an internal accounting adjustment into a central preoccupation of regulatory capital frameworks. Three categories of counterparty credit risk materialised simultaneously and on an unprecedented scale.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9.1  Lehman Brothers (2008): Replacement Cost at Scale</w:t>
      </w:r>
    </w:p>
    <w:p>
      <w:pPr>
        <w:spacing w:before="80" w:after="120"/>
      </w:pPr>
      <w:r>
        <w:rPr>
          <w:rFonts w:ascii="Arial" w:cs="Arial" w:eastAsia="Arial" w:hAnsi="Arial"/>
          <w:sz w:val="22"/>
          <w:szCs w:val="22"/>
        </w:rPr>
        <w:t xml:space="preserve">When Lehman Brothers filed for Chapter 11 bankruptcy on 15 September 2008, it was a derivatives counterparty to hundreds of financial institutions globally, with an estimated $35–40 trillion in notional derivatives outstanding. The immediate consequence for surviving counterparties was a need to rapidly assess their in-the-money exposure to Lehman and begin the process of replacing terminated contracts in a severely dislocated market.</w:t>
      </w:r>
    </w:p>
    <w:p>
      <w:pPr>
        <w:spacing w:before="80" w:after="120"/>
      </w:pPr>
      <w:r>
        <w:rPr>
          <w:rFonts w:ascii="Arial" w:cs="Arial" w:eastAsia="Arial" w:hAnsi="Arial"/>
          <w:sz w:val="22"/>
          <w:szCs w:val="22"/>
        </w:rPr>
        <w:t xml:space="preserve">CVA losses at major dealers were not primarily from bilateral trades with Lehman itself — many positions were partly hedged — but from the secondary effects: the sharp widening of credit spreads across the financial sector caused CVA on all counterparty relationships to spike simultaneously, producing tens of billions of mark-to-market losses across the industry.</w:t>
      </w:r>
    </w:p>
    <w:p>
      <w:pPr>
        <w:spacing w:before="80" w:after="120"/>
      </w:pPr>
      <w:r>
        <w:rPr>
          <w:rFonts w:ascii="Arial" w:cs="Arial" w:eastAsia="Arial" w:hAnsi="Arial"/>
          <w:sz w:val="22"/>
          <w:szCs w:val="22"/>
        </w:rPr>
        <w:t xml:space="preserve">The Lehman failure crystallised the Basel III insight: the dominant source of counterparty credit loss is not default itself, but CVA mark-to-market volatility in the lead-up to and aftermath of a credit event.</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9.2  Monoline Insurers (2007–2009): Concentrated, Illiquid Exposure</w:t>
      </w:r>
    </w:p>
    <w:p>
      <w:pPr>
        <w:spacing w:before="80" w:after="120"/>
      </w:pPr>
      <w:r>
        <w:rPr>
          <w:rFonts w:ascii="Arial" w:cs="Arial" w:eastAsia="Arial" w:hAnsi="Arial"/>
          <w:sz w:val="22"/>
          <w:szCs w:val="22"/>
        </w:rPr>
        <w:t xml:space="preserve">Monoline insurance companies — entities such as AMBAC, MBIA, and FGIC — had written credit protection on large volumes of structured credit products (primarily CDOs and ABS) to major banks as part of structured finance transactions. These contracts functioned economically as derivatives, and the banks held large in-the-money positions as the underlying credit deteriorated.</w:t>
      </w:r>
    </w:p>
    <w:p>
      <w:pPr>
        <w:spacing w:before="80" w:after="120"/>
      </w:pPr>
      <w:r>
        <w:rPr>
          <w:rFonts w:ascii="Arial" w:cs="Arial" w:eastAsia="Arial" w:hAnsi="Arial"/>
          <w:sz w:val="22"/>
          <w:szCs w:val="22"/>
        </w:rPr>
        <w:t xml:space="preserve">The problem was twofold: the exposures were enormous (individual banks sometimes held tens of billions of dollars of in-the-money notional with a single monoline), and the monolines themselves were effectively unhedgeable — their credit spreads widened dramatically, but CDS protection on the specific entities was illiquid and expensive. Banks were forced to take multi-billion dollar CVA charges on their monoline exposures, with Merrill Lynch and Citigroup among the most heavily affected.</w:t>
      </w:r>
    </w:p>
    <w:p>
      <w:pPr>
        <w:spacing w:before="80" w:after="120"/>
      </w:pPr>
      <w:r>
        <w:rPr>
          <w:rFonts w:ascii="Arial" w:cs="Arial" w:eastAsia="Arial" w:hAnsi="Arial"/>
          <w:sz w:val="22"/>
          <w:szCs w:val="22"/>
        </w:rPr>
        <w:t xml:space="preserve">The monoline episode illustrated a fundamental CVA concentration risk: when a counterparty is simultaneously large, correlated with the underlying risk, and operationally impossible to replace or hedge, CVA losses can be severe and crystallise very rapidly.</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9.3  Sovereign CVA (2010–2012): The European Debt Crisis</w:t>
      </w:r>
    </w:p>
    <w:p>
      <w:pPr>
        <w:spacing w:before="80" w:after="120"/>
      </w:pPr>
      <w:r>
        <w:rPr>
          <w:rFonts w:ascii="Arial" w:cs="Arial" w:eastAsia="Arial" w:hAnsi="Arial"/>
          <w:sz w:val="22"/>
          <w:szCs w:val="22"/>
        </w:rPr>
        <w:t xml:space="preserve">The European sovereign debt crisis introduced a counterparty credit risk dimension that many practitioners had not previously contemplated seriously: what happens to CVA when the counterparty is a sovereign state?</w:t>
      </w:r>
    </w:p>
    <w:p>
      <w:pPr>
        <w:spacing w:before="80" w:after="120"/>
      </w:pPr>
      <w:r>
        <w:rPr>
          <w:rFonts w:ascii="Arial" w:cs="Arial" w:eastAsia="Arial" w:hAnsi="Arial"/>
          <w:sz w:val="22"/>
          <w:szCs w:val="22"/>
        </w:rPr>
        <w:t xml:space="preserve">Banks with significant interest rate, FX, and inflation derivative portfolios with peripheral eurozone sovereigns (Greece, Portugal, Ireland, Spain, Italy) faced a material question: how much CVA should be taken against a sovereign counterparty whose credit spreads had moved from near-zero to several hundred basis points?</w:t>
      </w:r>
    </w:p>
    <w:p>
      <w:pPr>
        <w:spacing w:before="80" w:after="120"/>
      </w:pPr>
      <w:r>
        <w:rPr>
          <w:rFonts w:ascii="Arial" w:cs="Arial" w:eastAsia="Arial" w:hAnsi="Arial"/>
          <w:sz w:val="22"/>
          <w:szCs w:val="22"/>
        </w:rPr>
        <w:t xml:space="preserve">The Greek PSI (Private Sector Involvement) restructuring of March 2012 — which imposed losses of over 50% on private creditors — confirmed that sovereign default was a real risk in developed markets. Banks that had been slow to build CVA reserves against sovereign exposures faced significant P&amp;L charges as the crisis progressed.</w:t>
      </w:r>
    </w:p>
    <w:p>
      <w:r>
        <w:br w:type="page"/>
      </w:r>
    </w:p>
    <w:p>
      <w:pPr>
        <w:pStyle w:val="Heading1"/>
        <w:spacing w:before="360" w:after="180"/>
      </w:pPr>
      <w:r>
        <w:rPr>
          <w:rFonts w:ascii="Arial" w:cs="Arial" w:eastAsia="Arial" w:hAnsi="Arial"/>
          <w:b/>
          <w:bCs/>
          <w:color w:val="1A3A5C"/>
          <w:sz w:val="32"/>
          <w:szCs w:val="32"/>
        </w:rPr>
        <w:t xml:space="preserve">10.  Governance, CVA Desks &amp; Hedging</w:t>
      </w:r>
    </w:p>
    <w:p>
      <w:pPr>
        <w:spacing w:before="80" w:after="120"/>
      </w:pPr>
      <w:r>
        <w:rPr>
          <w:rFonts w:ascii="Arial" w:cs="Arial" w:eastAsia="Arial" w:hAnsi="Arial"/>
          <w:sz w:val="22"/>
          <w:szCs w:val="22"/>
        </w:rPr>
        <w:t xml:space="preserve">The management of CVA risk within a bank has evolved from a back-office accounting exercise into a front-office trading function at most major institutions. Understanding how this organisational architecture works is essential for practitioners operating in any part of the derivatives business.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10.1  The CVA Desk as Risk Intermediary</w:t>
      </w:r>
    </w:p>
    <w:p>
      <w:pPr>
        <w:spacing w:before="80" w:after="120"/>
      </w:pPr>
      <w:r>
        <w:rPr>
          <w:rFonts w:ascii="Arial" w:cs="Arial" w:eastAsia="Arial" w:hAnsi="Arial"/>
          <w:sz w:val="22"/>
          <w:szCs w:val="22"/>
        </w:rPr>
        <w:t xml:space="preserve">In the modern architecture of a large derivatives dealer, the CVA desk operates as an internal risk intermediary. When a trading desk enters a derivatives contract with a counterparty, it does so at the risk-free price — credit risk is not embedded in the trade by the front-office trader. Instead, the CVA desk charges the trading desk an internal CVA premium, effectively purchasing the counterparty credit risk from the trading book.</w:t>
      </w:r>
    </w:p>
    <w:p>
      <w:pPr>
        <w:spacing w:before="80" w:after="120"/>
      </w:pPr>
      <w:r>
        <w:rPr>
          <w:rFonts w:ascii="Arial" w:cs="Arial" w:eastAsia="Arial" w:hAnsi="Arial"/>
          <w:sz w:val="22"/>
          <w:szCs w:val="22"/>
        </w:rPr>
        <w:t xml:space="preserve">The CVA desk then holds and manages that credit risk position on a portfolio basis. It may hedge the risk using single-name CDS, index CDS, or other instruments; it may also choose to warehouse risk it considers mispriced, taking a proprietary view. The desk is typically measured on a mark-to-market basis, with daily P&amp;L driven by changes in exposure profiles, credit spreads, and hedging costs.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10.2  Wrong-Way Risk</w:t>
      </w:r>
    </w:p>
    <w:p>
      <w:pPr>
        <w:spacing w:before="80" w:after="120"/>
      </w:pPr>
      <w:r>
        <w:rPr>
          <w:rFonts w:ascii="Arial" w:cs="Arial" w:eastAsia="Arial" w:hAnsi="Arial"/>
          <w:sz w:val="22"/>
          <w:szCs w:val="22"/>
        </w:rPr>
        <w:t xml:space="preserve">A particularly challenging phenomenon in CVA management is wrong-way risk (WWR) — the adverse correlation between a counterparty's probability of default and the bank's exposure to that counterparty. WWR arises when the counterparty is most likely to default precisely when it owes the bank the most money.</w:t>
      </w:r>
    </w:p>
    <w:p>
      <w:pPr>
        <w:spacing w:before="80" w:after="120"/>
      </w:pPr>
      <w:r>
        <w:rPr>
          <w:rFonts w:ascii="Arial" w:cs="Arial" w:eastAsia="Arial" w:hAnsi="Arial"/>
          <w:sz w:val="22"/>
          <w:szCs w:val="22"/>
        </w:rPr>
        <w:t xml:space="preserve">A textbook example is a bank selling put options on its own shares to a counterparty: as the bank's share price falls (worsening its own financial position and potentially increasing its default probability), the options move into the money and the counterparty's in-the-money exposure to the bank increases. More common real-world examples include commodity producers who have sold commodity forwards — when commodity prices collapse, the counterparty's financial position deteriorates at exactly the moment when the forward position may be deeply in-the-money.</w:t>
      </w:r>
    </w:p>
    <w:p>
      <w:pPr>
        <w:spacing w:before="80" w:after="120"/>
      </w:pPr>
      <w:r>
        <w:rPr>
          <w:rFonts w:ascii="Arial" w:cs="Arial" w:eastAsia="Arial" w:hAnsi="Arial"/>
          <w:sz w:val="22"/>
          <w:szCs w:val="22"/>
        </w:rPr>
        <w:t xml:space="preserve">Standard CVA models assume independence between exposure and default probability, effectively ignoring WWR. Regulatory frameworks require banks to identify and apply specific stressed assumptions or add-ons for portfolios exhibiting material wrong-way risk.</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10.3  Collateral and CSAs</w:t>
      </w:r>
    </w:p>
    <w:p>
      <w:pPr>
        <w:spacing w:before="80" w:after="120"/>
      </w:pPr>
      <w:r>
        <w:rPr>
          <w:rFonts w:ascii="Arial" w:cs="Arial" w:eastAsia="Arial" w:hAnsi="Arial"/>
          <w:sz w:val="22"/>
          <w:szCs w:val="22"/>
        </w:rPr>
        <w:t xml:space="preserve">Credit Support Annexes (CSAs) are bilateral collateral agreements under the ISDA framework that require parties to post variation margin as trades move in- or out-of-the-money. A fully collateralised relationship — where variation margin is posted daily with no threshold or minimum transfer amount — drastically reduces CVA, as the exposure at any point in time is bounded by the daily margin call lag (typically 1–2 days).</w:t>
      </w:r>
    </w:p>
    <w:p>
      <w:pPr>
        <w:spacing w:before="80" w:after="120"/>
      </w:pPr>
      <w:r>
        <w:rPr>
          <w:rFonts w:ascii="Arial" w:cs="Arial" w:eastAsia="Arial" w:hAnsi="Arial"/>
          <w:sz w:val="22"/>
          <w:szCs w:val="22"/>
        </w:rPr>
        <w:t xml:space="preserve">Post-crisis regulatory reforms, particularly EMIR in Europe and Dodd-Frank in the US, mandated central clearing for standardised derivatives, removing bilateral counterparty credit risk for the most liquid products. For non-cleared derivatives, the Uncleared Margin Rules (UMR) — phased in from 2016 to 2022 — require both initial margin and variation margin to be exchanged, substantially compressing bilateral CVA on in-scope portfolios.</w:t>
      </w:r>
    </w:p>
    <w:p>
      <w:r>
        <w:br w:type="page"/>
      </w:r>
    </w:p>
    <w:p>
      <w:pPr>
        <w:pStyle w:val="Heading1"/>
        <w:spacing w:before="360" w:after="180"/>
      </w:pPr>
      <w:r>
        <w:rPr>
          <w:rFonts w:ascii="Arial" w:cs="Arial" w:eastAsia="Arial" w:hAnsi="Arial"/>
          <w:b/>
          <w:bCs/>
          <w:color w:val="1A3A5C"/>
          <w:sz w:val="32"/>
          <w:szCs w:val="32"/>
        </w:rPr>
        <w:t xml:space="preserve">11.  Key Debates and Open Questions</w:t>
      </w:r>
    </w:p>
    <w:p>
      <w:pPr>
        <w:spacing w:before="80" w:after="120"/>
      </w:pPr>
      <w:r>
        <w:rPr>
          <w:rFonts w:ascii="Arial" w:cs="Arial" w:eastAsia="Arial" w:hAnsi="Arial"/>
          <w:sz w:val="22"/>
          <w:szCs w:val="22"/>
        </w:rPr>
        <w:t xml:space="preserve">CVA sits at the intersection of accounting standards, regulatory capital rules, market practice, and fundamental questions about fair value measurement. Several debates remain unresolved or actively contested in the practitioner community.</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11.1  Should DVA be Recognised in Accounting Profit?</w:t>
      </w:r>
    </w:p>
    <w:p>
      <w:pPr>
        <w:spacing w:before="80" w:after="120"/>
      </w:pPr>
      <w:r>
        <w:rPr>
          <w:rFonts w:ascii="Arial" w:cs="Arial" w:eastAsia="Arial" w:hAnsi="Arial"/>
          <w:sz w:val="22"/>
          <w:szCs w:val="22"/>
        </w:rPr>
        <w:t xml:space="preserve">IFRS 13 and ASC 820 require DVA to be included in fair value measurement. Standard setters argue that a fully symmetric fair value framework demands recognition of own credit risk on liabilities. Critics — including many regulators and some academics — argue that DVA gains on deteriorating creditworthiness represent an accounting artefact with no economic substance, as they cannot be realised without repurchasing liabilities at distressed prices.</w:t>
      </w:r>
    </w:p>
    <w:p>
      <w:pPr>
        <w:spacing w:before="80" w:after="120"/>
      </w:pPr>
      <w:r>
        <w:rPr>
          <w:rFonts w:ascii="Arial" w:cs="Arial" w:eastAsia="Arial" w:hAnsi="Arial"/>
          <w:sz w:val="22"/>
          <w:szCs w:val="22"/>
        </w:rPr>
        <w:t xml:space="preserve">The practical compromise has been to recognise DVA in Other Comprehensive Income (OCI) rather than P&amp;L for fair value hedging of financial liabilities at fair value through OCI, partially quarantining its impact on reported earnings.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11.2  Accounting CVA vs. Regulatory CVA</w:t>
      </w:r>
    </w:p>
    <w:p>
      <w:pPr>
        <w:spacing w:before="80" w:after="120"/>
      </w:pPr>
      <w:r>
        <w:rPr>
          <w:rFonts w:ascii="Arial" w:cs="Arial" w:eastAsia="Arial" w:hAnsi="Arial"/>
          <w:sz w:val="22"/>
          <w:szCs w:val="22"/>
        </w:rPr>
        <w:t xml:space="preserve">A persistent tension exists between the CVA calculated for financial reporting (under IFRS or GAAP) and the CVA calculated for regulatory capital (under Basel III). Accounting CVA prioritises market consistency and exit value; regulatory CVA prioritises conservatism and consistency across institutions. The two calculations use different methodologies, different data sources, and different time horizons — and can produce materially different numbers for the same portfolio. Banks must maintain two parallel CVA frameworks and explain the divergence to both auditors and supervisors.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11.3  Model Risk in CVA</w:t>
      </w:r>
    </w:p>
    <w:p>
      <w:pPr>
        <w:spacing w:before="80" w:after="120"/>
      </w:pPr>
      <w:r>
        <w:rPr>
          <w:rFonts w:ascii="Arial" w:cs="Arial" w:eastAsia="Arial" w:hAnsi="Arial"/>
          <w:sz w:val="22"/>
          <w:szCs w:val="22"/>
        </w:rPr>
        <w:t xml:space="preserve">CVA is among the most model-intensive quantities in a bank's risk infrastructure. The Monte Carlo simulation of exposure profiles, the choice of stochastic models for each risk factor, the calibration of default probability curves, the treatment of wrong-way risk, and the aggregation across netting sets all involve significant modelling assumptions. Small changes in assumptions can produce material differences in CVA — and CVA model risk is explicitly recognised in regulatory frameworks (including the SA-CVA add-on for model uncertainty) as a source of capital uncertainty.</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11.4  The KVA/FVA Challenge to CVA Primacy</w:t>
      </w:r>
    </w:p>
    <w:p>
      <w:pPr>
        <w:spacing w:before="80" w:after="120"/>
      </w:pPr>
      <w:r>
        <w:rPr>
          <w:rFonts w:ascii="Arial" w:cs="Arial" w:eastAsia="Arial" w:hAnsi="Arial"/>
          <w:sz w:val="22"/>
          <w:szCs w:val="22"/>
        </w:rPr>
        <w:t xml:space="preserve">As regulatory capital requirements have increased (particularly under Basel IV's output floor and revised SA-CVA), the capital cost of holding derivatives — captured by KVA — has in some portfolios become larger than CVA itself. Similarly, FVA — the cost of funding uncollateralised derivatives — has emerged as a material component of derivatives pricing that can dwarf CVA for certain trade types. Practitioners increasingly argue that CVA alone provides an incomplete picture of derivatives pricing, and that the full XVA stack must be incorporated from inception.</w:t>
      </w:r>
    </w:p>
    <w:p>
      <w:r>
        <w:br w:type="page"/>
      </w:r>
    </w:p>
    <w:p>
      <w:pPr>
        <w:pStyle w:val="Heading1"/>
        <w:spacing w:before="360" w:after="180"/>
      </w:pPr>
      <w:r>
        <w:rPr>
          <w:rFonts w:ascii="Arial" w:cs="Arial" w:eastAsia="Arial" w:hAnsi="Arial"/>
          <w:b/>
          <w:bCs/>
          <w:color w:val="1A3A5C"/>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BA-CVA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Basic CVA Approach — simplified regulatory capital method for CVA risk, available to banks not eligible for SA-CVA.</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BCVA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Bilateral CVA — CVA minus DVA; reflects two-sided credit risk in a derivatives relationship.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CDS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Credit Default Swap — a financial instrument that provides protection against a reference entity's default in exchange for a periodic premium.</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CCR</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Counterparty Credit Risk — the risk that a derivatives counterparty defaults before settlement of outstanding obligations.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CCP</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Central Counterparty — a clearing house that interposes itself between counterparties, eliminating bilateral credit risk on cleared trades.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CSA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Credit Support Annex — a bilateral collateral agreement under the ISDA Master Agreement.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Credit Valuation Adjustment — the market value of counterparty default risk on a derivatives portfolio.</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DVA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Debt Valuation Adjustment — own-credit adjustment on derivatives liabilities; the mirror of CVA.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EE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Expected Exposure — probability-weighted average positive exposure to a counterparty at a future point in time.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Expected Positive Exposure — the time-averaged Expected Exposure over the trade or portfolio life; used in Basel capital formulas.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FVA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Funding Valuation Adjustment — the cost of funding uncollateralised derivatives positions at a spread above the risk-free rate.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IMA-CVA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Internal Models Approach for CVA — advanced regulatory capital method under FRTB-CVA; requires ES-based modelling and supervisory approval.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KVA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Capital Valuation Adjustment — the cost of regulatory capital consumed by a trade over its life.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LGD</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Loss Given Default — the fraction of exposure lost upon default; equal to 1 minus the recovery rate.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MVA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Margin Valuation Adjustment — the cost of posting initial margin under UMR or CCP rules.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PD</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Probability of Default — the likelihood of a counterparty defaulting over a given time horizon.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PFE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Potential Future Exposure — a high-percentile forward exposure measure used for credit limit management.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SA-CVA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Standardised CVA Approach — sensitivities-based regulatory capital method for CVA risk under Basel III/FRTB.</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UMR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Uncleared Margin Rules — post-crisis regulatory framework requiring initial and variation margin on non-cleared OTC derivatives.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Wrong-Way Risk</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Adverse correlation between counterparty default probability and the bank's exposure to that counterparty.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xVA / XVA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Collective term for all valuation adjustments (CVA, DVA, FVA, MVA, KVA, ColVA) on derivatives portfolios.</w:t>
            </w:r>
          </w:p>
        </w:tc>
      </w:tr>
    </w:tbl>
    <w:p>
      <w:pPr>
        <w:spacing w:before="200" w:after="0"/>
      </w:pPr>
      <w:r>
        <w:t xml:space="preserve"/>
      </w:r>
    </w:p>
    <w:p>
      <w:pPr>
        <w:pBdr>
          <w:bottom w:val="single" w:color="0D7377" w:sz="6" w:space="1"/>
        </w:pBdr>
        <w:spacing w:before="160" w:after="160"/>
      </w:pPr>
      <w:r>
        <w:t xml:space="preserve"/>
      </w:r>
    </w:p>
    <w:p>
      <w:pPr>
        <w:spacing w:before="120" w:after="60"/>
        <w:jc w:val="center"/>
      </w:pPr>
      <w:r>
        <w:rPr>
          <w:rFonts w:ascii="Arial" w:cs="Arial" w:eastAsia="Arial" w:hAnsi="Arial"/>
          <w:color w:val="888888"/>
          <w:sz w:val="18"/>
          <w:szCs w:val="18"/>
        </w:rPr>
        <w:t xml:space="preserve">Practitioner Knowledge Repository  •  Module 3: CVA and Counterparty Credit Risk  •  Sarthaka Mitra  •  March 2026</w:t>
      </w:r>
    </w:p>
    <w:p>
      <w:pPr>
        <w:spacing w:before="40" w:after="40"/>
        <w:jc w:val="center"/>
      </w:pPr>
      <w:r>
        <w:rPr>
          <w:rFonts w:ascii="Arial" w:cs="Arial" w:eastAsia="Arial" w:hAnsi="Arial"/>
          <w:i/>
          <w:iCs/>
          <w:color w:val="888888"/>
          <w:sz w:val="18"/>
          <w:szCs w:val="18"/>
        </w:rPr>
        <w:t xml:space="preserve">For educational and professional development purposes. Not investment or legal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26"/>
      </w:tabs>
      <w:spacing w:before="120" w:after="0"/>
    </w:pPr>
    <w:r>
      <w:rPr>
        <w:rFonts w:ascii="Arial" w:cs="Arial" w:eastAsia="Arial" w:hAnsi="Arial"/>
        <w:color w:val="888888"/>
        <w:sz w:val="18"/>
        <w:szCs w:val="18"/>
      </w:rPr>
      <w:t xml:space="preserve">March 2026  |  Version 1.0</w:t>
    </w:r>
    <w:r>
      <w:rPr>
        <w:rFonts w:ascii="Arial" w:cs="Arial" w:eastAsia="Arial" w:hAnsi="Arial"/>
        <w:sz w:val="18"/>
        <w:szCs w:val="18"/>
      </w:rPr>
      <w:t xml:space="preserv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spacing w:before="0" w:after="120"/>
    </w:pPr>
    <w:r>
      <w:rPr>
        <w:rFonts w:ascii="Arial" w:cs="Arial" w:eastAsia="Arial" w:hAnsi="Arial"/>
        <w:color w:val="888888"/>
        <w:sz w:val="18"/>
        <w:szCs w:val="18"/>
      </w:rPr>
      <w:t xml:space="preserve">Practitioner Knowledge Repository  —  Module 3: CVA &amp; Counterparty Credit Risk</w:t>
    </w:r>
    <w:r>
      <w:rPr>
        <w:rFonts w:ascii="Arial" w:cs="Arial" w:eastAsia="Arial" w:hAnsi="Arial"/>
        <w:sz w:val="18"/>
        <w:szCs w:val="18"/>
      </w:rPr>
      <w:t xml:space="preserve">	</w:t>
    </w:r>
    <w:r>
      <w:rPr>
        <w:rFonts w:ascii="Arial" w:cs="Arial" w:eastAsia="Arial" w:hAnsi="Arial"/>
        <w:b/>
        <w:bCs/>
        <w:color w:val="0D7377"/>
        <w:sz w:val="18"/>
        <w:szCs w:val="18"/>
      </w:rPr>
      <w:t xml:space="preserve">Sarthaka Mitra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2026-03-24T15:34:08.733Z</dcterms:created>
  <dcterms:modified xsi:type="dcterms:W3CDTF">2026-03-24T15:34:08.734Z</dcterms:modified>
</cp:coreProperties>
</file>

<file path=docProps/custom.xml><?xml version="1.0" encoding="utf-8"?>
<Properties xmlns="http://schemas.openxmlformats.org/officeDocument/2006/custom-properties" xmlns:vt="http://schemas.openxmlformats.org/officeDocument/2006/docPropsVTypes"/>
</file>