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888888"/>
          <w:sz w:val="20"/>
          <w:szCs w:val="20"/>
        </w:rPr>
        <w:t xml:space="preserve">PRACTITIONER KNOWLEDGE REPOSITORY</w:t>
      </w:r>
    </w:p>
    <w:p>
      <w:pPr>
        <w:spacing w:before="80" w:after="80"/>
        <w:jc w:val="center"/>
      </w:pPr>
      <w:r>
        <w:rPr>
          <w:rFonts w:ascii="Arial" w:cs="Arial" w:eastAsia="Arial" w:hAnsi="Arial"/>
          <w:b/>
          <w:bCs/>
          <w:color w:val="0D7377"/>
          <w:sz w:val="28"/>
          <w:szCs w:val="28"/>
        </w:rPr>
        <w:t xml:space="preserve">Module 3</w:t>
      </w:r>
    </w:p>
    <w:p>
      <w:pPr>
        <w:spacing w:before="80" w:after="200"/>
        <w:jc w:val="center"/>
      </w:pPr>
      <w:r>
        <w:rPr>
          <w:rFonts w:ascii="Arial" w:cs="Arial" w:eastAsia="Arial" w:hAnsi="Arial"/>
          <w:b/>
          <w:bCs/>
          <w:color w:val="1A3A5C"/>
          <w:sz w:val="48"/>
          <w:szCs w:val="48"/>
        </w:rPr>
        <w:t xml:space="preserve">Credit Valuation Adjustment (CVA)</w:t>
      </w:r>
    </w:p>
    <w:p>
      <w:pPr>
        <w:spacing w:before="0" w:after="80"/>
        <w:jc w:val="center"/>
      </w:pPr>
      <w:r>
        <w:rPr>
          <w:rFonts w:ascii="Arial" w:cs="Arial" w:eastAsia="Arial" w:hAnsi="Arial"/>
          <w:i/>
          <w:iCs/>
          <w:color w:val="0D7377"/>
          <w:sz w:val="26"/>
          <w:szCs w:val="26"/>
        </w:rPr>
        <w:t xml:space="preserve">Debt Valuation Adjustment, Counterparty Credit Risk &amp; Regulatory Capital</w:t>
      </w:r>
    </w:p>
    <w:p>
      <w:pPr>
        <w:spacing w:before="200" w:after="0"/>
      </w:pPr>
      <w:r>
        <w:t xml:space="preserve"/>
      </w:r>
    </w:p>
    <w:p>
      <w:pPr>
        <w:spacing w:before="0" w:after="60"/>
        <w:jc w:val="center"/>
      </w:pPr>
      <w:r>
        <w:rPr>
          <w:rFonts w:ascii="Arial" w:cs="Arial" w:eastAsia="Arial" w:hAnsi="Arial"/>
          <w:b/>
          <w:bCs/>
          <w:color w:val="1A3A5C"/>
          <w:sz w:val="24"/>
          <w:szCs w:val="24"/>
        </w:rPr>
        <w:t xml:space="preserve">Sarthaka Nanda</w:t>
      </w:r>
    </w:p>
    <w:p>
      <w:pPr>
        <w:spacing w:before="0" w:after="60"/>
        <w:jc w:val="center"/>
      </w:pPr>
      <w:r>
        <w:rPr>
          <w:rFonts w:ascii="Arial" w:cs="Arial" w:eastAsia="Arial" w:hAnsi="Arial"/>
          <w:color w:val="888888"/>
          <w:sz w:val="22"/>
          <w:szCs w:val="22"/>
        </w:rPr>
        <w:t xml:space="preserve">March 2026  |  Version 2.0</w:t>
      </w:r>
    </w:p>
    <w:p>
      <w:pPr>
        <w:spacing w:before="200" w:after="0"/>
      </w:pPr>
      <w:r>
        <w:t xml:space="preserve"/>
      </w:r>
    </w:p>
    <w:p>
      <w:pPr>
        <w:pBdr>
          <w:bottom w:val="single" w:color="0D7377" w:sz="6" w:space="1"/>
        </w:pBdr>
        <w:spacing w:before="160" w:after="160"/>
      </w:pPr>
      <w:r>
        <w:t xml:space="preserve"/>
      </w:r>
    </w:p>
    <w:p>
      <w:pPr>
        <w:spacing w:before="120" w:after="60"/>
        <w:jc w:val="center"/>
      </w:pPr>
      <w:r>
        <w:rPr>
          <w:rFonts w:ascii="Arial" w:cs="Arial" w:eastAsia="Arial" w:hAnsi="Arial"/>
          <w:b/>
          <w:bCs/>
          <w:color w:val="1A3A5C"/>
          <w:sz w:val="22"/>
          <w:szCs w:val="22"/>
        </w:rPr>
        <w:t xml:space="preserve">Community Review &amp; Acknowledgements</w:t>
      </w:r>
    </w:p>
    <w:p>
      <w:pPr>
        <w:spacing w:before="40" w:after="60"/>
        <w:jc w:val="center"/>
      </w:pPr>
      <w:r>
        <w:rPr>
          <w:rFonts w:ascii="Arial" w:cs="Arial" w:eastAsia="Arial" w:hAnsi="Arial"/>
          <w:color w:val="0D7377"/>
          <w:sz w:val="21"/>
          <w:szCs w:val="21"/>
        </w:rPr>
        <w:t xml:space="preserve">Gellért Peti — Substantive review, feedback on Section 3 and Section 7</w:t>
      </w:r>
    </w:p>
    <w:p>
      <w:pPr>
        <w:spacing w:before="100" w:after="0"/>
      </w:pPr>
      <w:r>
        <w:t xml:space="preserve"/>
      </w:r>
    </w:p>
    <w:p>
      <w:pPr>
        <w:spacing w:before="0" w:after="80"/>
        <w:jc w:val="center"/>
      </w:pPr>
      <w:r>
        <w:rPr>
          <w:rFonts w:ascii="Arial" w:cs="Arial" w:eastAsia="Arial" w:hAnsi="Arial"/>
          <w:i/>
          <w:iCs/>
          <w:color w:val="888888"/>
          <w:sz w:val="19"/>
          <w:szCs w:val="19"/>
        </w:rPr>
        <w:t xml:space="preserve">Primary references: Gregory (2012, 2020), BCBS Basel III (2011, 2017), Hull (2018), Duffie &amp; Singleton (1999)</w:t>
      </w:r>
    </w:p>
    <w:p>
      <w:pPr>
        <w:spacing w:before="20" w:after="40"/>
        <w:jc w:val="center"/>
      </w:pPr>
      <w:r>
        <w:rPr>
          <w:rFonts w:ascii="Arial" w:cs="Arial" w:eastAsia="Arial" w:hAnsi="Arial"/>
          <w:i/>
          <w:iCs/>
          <w:color w:val="888888"/>
          <w:sz w:val="19"/>
          <w:szCs w:val="19"/>
        </w:rPr>
        <w:t xml:space="preserve">Full references and source notes are provided at the end of this document.</w:t>
      </w:r>
    </w:p>
    <w:p>
      <w:pPr>
        <w:pBdr>
          <w:bottom w:val="single" w:color="0D7377" w:sz="6" w:space="1"/>
        </w:pBdr>
        <w:spacing w:before="160" w:after="160"/>
      </w:pPr>
      <w:r>
        <w:t xml:space="preserve"/>
      </w:r>
    </w:p>
    <w:p>
      <w:pPr>
        <w:spacing w:before="60" w:after="40"/>
        <w:jc w:val="center"/>
      </w:pPr>
      <w:r>
        <w:rPr>
          <w:rFonts w:ascii="Arial" w:cs="Arial" w:eastAsia="Arial" w:hAnsi="Arial"/>
          <w:i/>
          <w:iCs/>
          <w:color w:val="888888"/>
          <w:sz w:val="20"/>
          <w:szCs w:val="20"/>
        </w:rPr>
        <w:t xml:space="preserve">Part of the Banking Regulation &amp; Risk Management Series</w:t>
      </w:r>
    </w:p>
    <w:p>
      <w:r>
        <w:br w:type="page"/>
      </w:r>
    </w:p>
    <w:p>
      <w:pPr>
        <w:pStyle w:val="Heading1"/>
        <w:spacing w:before="360" w:after="180"/>
      </w:pPr>
      <w:r>
        <w:rPr>
          <w:rFonts w:ascii="Arial" w:cs="Arial" w:eastAsia="Arial" w:hAnsi="Arial"/>
          <w:b/>
          <w:bCs/>
          <w:color w:val="1A3A5C"/>
          <w:sz w:val="32"/>
          <w:szCs w:val="32"/>
        </w:rPr>
        <w:t xml:space="preserve">Table of Contents</w:t>
      </w:r>
    </w:p>
    <w:p>
      <w:pPr>
        <w:spacing w:before="80" w:after="120"/>
      </w:pPr>
      <w:r>
        <w:rPr>
          <w:rFonts w:ascii="Arial" w:cs="Arial" w:eastAsia="Arial" w:hAnsi="Arial"/>
          <w:b/>
          <w:bCs/>
          <w:sz w:val="22"/>
          <w:szCs w:val="22"/>
        </w:rPr>
        <w:t xml:space="preserve">1.  The Problem in Plain English</w:t>
      </w:r>
    </w:p>
    <w:p>
      <w:pPr>
        <w:spacing w:before="80" w:after="120"/>
      </w:pPr>
      <w:r>
        <w:rPr>
          <w:rFonts w:ascii="Arial" w:cs="Arial" w:eastAsia="Arial" w:hAnsi="Arial"/>
          <w:sz w:val="22"/>
          <w:szCs w:val="22"/>
        </w:rPr>
        <w:t xml:space="preserve">2.  From Loan Risk to Derivative Risk: Building the Intuition</w:t>
      </w:r>
    </w:p>
    <w:p>
      <w:pPr>
        <w:spacing w:before="80" w:after="120"/>
      </w:pPr>
      <w:r>
        <w:rPr>
          <w:rFonts w:ascii="Arial" w:cs="Arial" w:eastAsia="Arial" w:hAnsi="Arial"/>
          <w:sz w:val="22"/>
          <w:szCs w:val="22"/>
        </w:rPr>
        <w:t xml:space="preserve">3.  Defining CVA: The Formal Framework</w:t>
      </w:r>
    </w:p>
    <w:p>
      <w:pPr>
        <w:spacing w:before="80" w:after="120"/>
      </w:pPr>
      <w:r>
        <w:rPr>
          <w:rFonts w:ascii="Arial" w:cs="Arial" w:eastAsia="Arial" w:hAnsi="Arial"/>
          <w:sz w:val="22"/>
          <w:szCs w:val="22"/>
        </w:rPr>
        <w:t xml:space="preserve">4.  Debt Valuation Adjustment (DVA): The Mirror Image</w:t>
      </w:r>
    </w:p>
    <w:p>
      <w:pPr>
        <w:spacing w:before="80" w:after="120"/>
      </w:pPr>
      <w:r>
        <w:rPr>
          <w:rFonts w:ascii="Arial" w:cs="Arial" w:eastAsia="Arial" w:hAnsi="Arial"/>
          <w:sz w:val="22"/>
          <w:szCs w:val="22"/>
        </w:rPr>
        <w:t xml:space="preserve">5.  The CVA Formula: Step-by-Step</w:t>
      </w:r>
    </w:p>
    <w:p>
      <w:pPr>
        <w:spacing w:before="80" w:after="120"/>
      </w:pPr>
      <w:r>
        <w:rPr>
          <w:rFonts w:ascii="Arial" w:cs="Arial" w:eastAsia="Arial" w:hAnsi="Arial"/>
          <w:sz w:val="22"/>
          <w:szCs w:val="22"/>
        </w:rPr>
        <w:t xml:space="preserve">6.  A Worked Numerical Example</w:t>
      </w:r>
    </w:p>
    <w:p>
      <w:pPr>
        <w:spacing w:before="80" w:after="120"/>
      </w:pPr>
      <w:r>
        <w:rPr>
          <w:rFonts w:ascii="Arial" w:cs="Arial" w:eastAsia="Arial" w:hAnsi="Arial"/>
          <w:sz w:val="22"/>
          <w:szCs w:val="22"/>
        </w:rPr>
        <w:t xml:space="preserve">7.  Regulatory CVA: Basel III, CRR and the FRTB-CVA Framework</w:t>
      </w:r>
    </w:p>
    <w:p>
      <w:pPr>
        <w:spacing w:before="80" w:after="120"/>
      </w:pPr>
      <w:r>
        <w:rPr>
          <w:rFonts w:ascii="Arial" w:cs="Arial" w:eastAsia="Arial" w:hAnsi="Arial"/>
          <w:sz w:val="22"/>
          <w:szCs w:val="22"/>
        </w:rPr>
        <w:t xml:space="preserve">8.  The xVA Family: Where CVA Sits</w:t>
      </w:r>
    </w:p>
    <w:p>
      <w:pPr>
        <w:spacing w:before="80" w:after="120"/>
      </w:pPr>
      <w:r>
        <w:rPr>
          <w:rFonts w:ascii="Arial" w:cs="Arial" w:eastAsia="Arial" w:hAnsi="Arial"/>
          <w:sz w:val="22"/>
          <w:szCs w:val="22"/>
        </w:rPr>
        <w:t xml:space="preserve">9.  Crisis Case Studies</w:t>
      </w:r>
    </w:p>
    <w:p>
      <w:pPr>
        <w:spacing w:before="80" w:after="120"/>
      </w:pPr>
      <w:r>
        <w:rPr>
          <w:rFonts w:ascii="Arial" w:cs="Arial" w:eastAsia="Arial" w:hAnsi="Arial"/>
          <w:sz w:val="22"/>
          <w:szCs w:val="22"/>
        </w:rPr>
        <w:t xml:space="preserve">10. Governance, CVA Desks &amp; Hedging</w:t>
      </w:r>
    </w:p>
    <w:p>
      <w:pPr>
        <w:spacing w:before="80" w:after="120"/>
      </w:pPr>
      <w:r>
        <w:rPr>
          <w:rFonts w:ascii="Arial" w:cs="Arial" w:eastAsia="Arial" w:hAnsi="Arial"/>
          <w:sz w:val="22"/>
          <w:szCs w:val="22"/>
        </w:rPr>
        <w:t xml:space="preserve">11. Key Debates and Open Questions</w:t>
      </w:r>
    </w:p>
    <w:p>
      <w:pPr>
        <w:spacing w:before="80" w:after="120"/>
      </w:pPr>
      <w:r>
        <w:rPr>
          <w:rFonts w:ascii="Arial" w:cs="Arial" w:eastAsia="Arial" w:hAnsi="Arial"/>
          <w:sz w:val="22"/>
          <w:szCs w:val="22"/>
        </w:rPr>
        <w:t xml:space="preserve">12. Credits &amp; Acknowledgements</w:t>
      </w:r>
    </w:p>
    <w:p>
      <w:pPr>
        <w:spacing w:before="80" w:after="120"/>
      </w:pPr>
      <w:r>
        <w:rPr>
          <w:rFonts w:ascii="Arial" w:cs="Arial" w:eastAsia="Arial" w:hAnsi="Arial"/>
          <w:sz w:val="22"/>
          <w:szCs w:val="22"/>
        </w:rPr>
        <w:t xml:space="preserve">13. References</w:t>
      </w:r>
    </w:p>
    <w:p>
      <w:pPr>
        <w:spacing w:before="80" w:after="120"/>
      </w:pPr>
      <w:r>
        <w:rPr>
          <w:rFonts w:ascii="Arial" w:cs="Arial" w:eastAsia="Arial" w:hAnsi="Arial"/>
          <w:sz w:val="22"/>
          <w:szCs w:val="22"/>
        </w:rPr>
        <w:t xml:space="preserve">14. Glossary</w:t>
      </w:r>
    </w:p>
    <w:p>
      <w:r>
        <w:br w:type="page"/>
      </w:r>
    </w:p>
    <w:p>
      <w:pPr>
        <w:pStyle w:val="Heading1"/>
        <w:spacing w:before="360" w:after="180"/>
      </w:pPr>
      <w:r>
        <w:rPr>
          <w:rFonts w:ascii="Arial" w:cs="Arial" w:eastAsia="Arial" w:hAnsi="Arial"/>
          <w:b/>
          <w:bCs/>
          <w:color w:val="1A3A5C"/>
          <w:sz w:val="32"/>
          <w:szCs w:val="32"/>
        </w:rPr>
        <w:t xml:space="preserve">1.  The Problem in Plain English</w:t>
      </w:r>
    </w:p>
    <w:p>
      <w:pPr>
        <w:spacing w:before="80" w:after="120"/>
      </w:pPr>
      <w:r>
        <w:rPr>
          <w:rFonts w:ascii="Arial" w:cs="Arial" w:eastAsia="Arial" w:hAnsi="Arial"/>
          <w:sz w:val="22"/>
          <w:szCs w:val="22"/>
        </w:rPr>
        <w:t xml:space="preserve">Before we explore the mathematics and regulation of Credit Valuation Adjustment, it helps to start with a simple, intuitive story — one that any undergraduate finance student can immediately relate to. The formal framework we build in later sections is really just a precise, scalable version of the idea introduced here.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  The $100 Loan to a Friend</w:t>
      </w:r>
    </w:p>
    <w:p>
      <w:pPr>
        <w:spacing w:before="80" w:after="120"/>
      </w:pPr>
      <w:r>
        <w:rPr>
          <w:rFonts w:ascii="Arial" w:cs="Arial" w:eastAsia="Arial" w:hAnsi="Arial"/>
          <w:sz w:val="22"/>
          <w:szCs w:val="22"/>
        </w:rPr>
        <w:t xml:space="preserve">Suppose a close friend asks to borrow $100 from you. You agree, and you record this as a $100 asset on your personal balance sheet. Simple enough.</w:t>
      </w:r>
    </w:p>
    <w:p>
      <w:pPr>
        <w:spacing w:before="80" w:after="120"/>
      </w:pPr>
      <w:r>
        <w:rPr>
          <w:rFonts w:ascii="Arial" w:cs="Arial" w:eastAsia="Arial" w:hAnsi="Arial"/>
          <w:sz w:val="22"/>
          <w:szCs w:val="22"/>
        </w:rPr>
        <w:t xml:space="preserve">Now, pause for a moment. Is that asset really worth $100 to you? The answer depends on one critical question: how likely is your friend to actually pay you back?</w:t>
      </w:r>
    </w:p>
    <w:p>
      <w:pPr>
        <w:pStyle w:val="ListParagraph"/>
        <w:numPr>
          <w:ilvl w:val="0"/>
          <w:numId w:val="2"/>
        </w:numPr>
        <w:spacing w:before="60" w:after="60"/>
      </w:pPr>
      <w:r>
        <w:rPr>
          <w:rFonts w:ascii="Arial" w:cs="Arial" w:eastAsia="Arial" w:hAnsi="Arial"/>
          <w:sz w:val="22"/>
          <w:szCs w:val="22"/>
        </w:rPr>
        <w:t xml:space="preserve">If your friend is highly reliable — has a stable income, a track record of repaying debts, and genuine intention to settle — then yes, your $100 loan is worth close to $100.</w:t>
      </w:r>
    </w:p>
    <w:p>
      <w:pPr>
        <w:pStyle w:val="ListParagraph"/>
        <w:numPr>
          <w:ilvl w:val="0"/>
          <w:numId w:val="2"/>
        </w:numPr>
        <w:spacing w:before="60" w:after="60"/>
      </w:pPr>
      <w:r>
        <w:rPr>
          <w:rFonts w:ascii="Arial" w:cs="Arial" w:eastAsia="Arial" w:hAnsi="Arial"/>
          <w:sz w:val="22"/>
          <w:szCs w:val="22"/>
        </w:rPr>
        <w:t xml:space="preserve">But if your friend is financially stretched, has missed repayments before, or is heading into difficulty, then that loan is worth less than $100 in economic reality. You might only expect to recover, say, $95.</w:t>
      </w:r>
    </w:p>
    <w:p>
      <w:pPr>
        <w:spacing w:before="80" w:after="0"/>
      </w:pPr>
      <w:r>
        <w:t xml:space="preserve"/>
      </w:r>
    </w:p>
    <w:p>
      <w:pPr>
        <w:spacing w:before="80" w:after="120"/>
      </w:pPr>
      <w:r>
        <w:rPr>
          <w:rFonts w:ascii="Arial" w:cs="Arial" w:eastAsia="Arial" w:hAnsi="Arial"/>
          <w:sz w:val="22"/>
          <w:szCs w:val="22"/>
        </w:rPr>
        <w:t xml:space="preserve">The gap between the face value of the loan ($100) and its true economic value ($95, in this case) is the credit adjustment. In the language of financial markets, that $5 difference is the Credit Valuation Adjustment — or CVA.</w:t>
      </w:r>
      <w:r>
        <w:rPr>
          <w:rStyle w:val="FootnoteReference"/>
        </w:rPr>
        <w:footnoteReference w:id="[object Objec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The Core Intuition</w:t>
            </w:r>
          </w:p>
          <w:p>
            <w:pPr>
              <w:spacing w:before="0" w:after="40"/>
            </w:pPr>
            <w:r>
              <w:rPr>
                <w:rFonts w:ascii="Arial" w:cs="Arial" w:eastAsia="Arial" w:hAnsi="Arial"/>
                <w:sz w:val="21"/>
                <w:szCs w:val="21"/>
              </w:rPr>
              <w:t xml:space="preserve">CVA = Face Value of the Exposure  −  True Economic Value after accounting for counterparty default risk
In our example:   CVA = $100 − $95 = $5
This $5 represents the expected cost of your friend potentially defaulting before repayment. It is a price on credit risk.</w:t>
            </w:r>
          </w:p>
        </w:tc>
      </w:tr>
    </w:tbl>
    <w:p>
      <w:pPr>
        <w:spacing w:before="120" w:after="0"/>
      </w:pPr>
      <w:r>
        <w:t xml:space="preserve"/>
      </w:r>
    </w:p>
    <w:p>
      <w:pPr>
        <w:spacing w:before="80" w:after="120"/>
      </w:pPr>
      <w:r>
        <w:rPr>
          <w:rFonts w:ascii="Arial" w:cs="Arial" w:eastAsia="Arial" w:hAnsi="Arial"/>
          <w:sz w:val="22"/>
          <w:szCs w:val="22"/>
        </w:rPr>
        <w:t xml:space="preserve">Three factors determine how large or small that $5 figure is:</w:t>
      </w:r>
    </w:p>
    <w:p>
      <w:pPr>
        <w:pStyle w:val="ListParagraph"/>
        <w:numPr>
          <w:ilvl w:val="0"/>
          <w:numId w:val="2"/>
        </w:numPr>
        <w:spacing w:before="60" w:after="60"/>
      </w:pPr>
      <w:r>
        <w:rPr>
          <w:rFonts w:ascii="Arial" w:cs="Arial" w:eastAsia="Arial" w:hAnsi="Arial"/>
          <w:sz w:val="22"/>
          <w:szCs w:val="22"/>
        </w:rPr>
        <w:t xml:space="preserve">How much your friend owes you at the time they might default — the Exposure.</w:t>
      </w:r>
    </w:p>
    <w:p>
      <w:pPr>
        <w:pStyle w:val="ListParagraph"/>
        <w:numPr>
          <w:ilvl w:val="0"/>
          <w:numId w:val="2"/>
        </w:numPr>
        <w:spacing w:before="60" w:after="60"/>
      </w:pPr>
      <w:r>
        <w:rPr>
          <w:rFonts w:ascii="Arial" w:cs="Arial" w:eastAsia="Arial" w:hAnsi="Arial"/>
          <w:sz w:val="22"/>
          <w:szCs w:val="22"/>
        </w:rPr>
        <w:t xml:space="preserve">How likely they are to actually default — the Probability of Default (PD).</w:t>
      </w:r>
    </w:p>
    <w:p>
      <w:pPr>
        <w:pStyle w:val="ListParagraph"/>
        <w:numPr>
          <w:ilvl w:val="0"/>
          <w:numId w:val="2"/>
        </w:numPr>
        <w:spacing w:before="60" w:after="60"/>
      </w:pPr>
      <w:r>
        <w:rPr>
          <w:rFonts w:ascii="Arial" w:cs="Arial" w:eastAsia="Arial" w:hAnsi="Arial"/>
          <w:sz w:val="22"/>
          <w:szCs w:val="22"/>
        </w:rPr>
        <w:t xml:space="preserve">How much you would lose if they did default — the Loss Given Default (LGD), equal to 100% minus any recovery you could expect.</w:t>
      </w:r>
    </w:p>
    <w:p>
      <w:pPr>
        <w:spacing w:before="80" w:after="120"/>
      </w:pPr>
      <w:r>
        <w:rPr>
          <w:rFonts w:ascii="Arial" w:cs="Arial" w:eastAsia="Arial" w:hAnsi="Arial"/>
          <w:sz w:val="22"/>
          <w:szCs w:val="22"/>
        </w:rPr>
        <w:t xml:space="preserve">Multiply these three together and you have the intuitive building block of CVA. We will formalise this in Section 5, but the economics are already fully captured here.</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1.2  Why Derivatives Make This Harder</w:t>
      </w:r>
    </w:p>
    <w:p>
      <w:pPr>
        <w:spacing w:before="80" w:after="120"/>
      </w:pPr>
      <w:r>
        <w:rPr>
          <w:rFonts w:ascii="Arial" w:cs="Arial" w:eastAsia="Arial" w:hAnsi="Arial"/>
          <w:sz w:val="22"/>
          <w:szCs w:val="22"/>
        </w:rPr>
        <w:t xml:space="preserve">The friend-loan example works because the amount owed is fixed. In derivative contracts — interest rate swaps, FX forwards, credit default swaps — the amount one party owes the other changes every single day as market prices move. This means CVA for derivatives requires simulation models rather than a simple multiplication.</w:t>
      </w:r>
      <w:r>
        <w:rPr>
          <w:rStyle w:val="FootnoteReference"/>
        </w:rPr>
        <w:footnoteReference w:id="[object Object]"/>
      </w:r>
    </w:p>
    <w:p>
      <w:pPr>
        <w:spacing w:before="80" w:after="120"/>
      </w:pPr>
      <w:r>
        <w:rPr>
          <w:rFonts w:ascii="Arial" w:cs="Arial" w:eastAsia="Arial" w:hAnsi="Arial"/>
          <w:sz w:val="22"/>
          <w:szCs w:val="22"/>
        </w:rPr>
        <w:t xml:space="preserve">The concept underpinning this is called Expected Positive Exposure (EPE) — your probability-weighted average exposure to a counterparty, calculated forward through time. Section 3 develops this formally.</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1.3  The Insurance Premium Analogy</w:t>
      </w:r>
    </w:p>
    <w:p>
      <w:pPr>
        <w:spacing w:before="80" w:after="120"/>
      </w:pPr>
      <w:r>
        <w:rPr>
          <w:rFonts w:ascii="Arial" w:cs="Arial" w:eastAsia="Arial" w:hAnsi="Arial"/>
          <w:sz w:val="22"/>
          <w:szCs w:val="22"/>
        </w:rPr>
        <w:t xml:space="preserve">A second analogy helps crystallise CVA: think of it as an insurance premium. CVA is the fair market price you would pay to insure against a counterparty default — what a third party would charge to take on that credit risk entirely. If CVA were zero, the bank would be ignoring credit risk altogether.</w:t>
      </w:r>
      <w:r>
        <w:rPr>
          <w:rStyle w:val="FootnoteReference"/>
        </w:rPr>
        <w:footnoteReference w:id="[object Objec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22A" w:sz="1"/>
              <w:left w:val="single" w:color="C8922A" w:sz="1"/>
              <w:bottom w:val="single" w:color="C8922A" w:sz="1"/>
              <w:right w:val="single" w:color="C8922A" w:sz="1"/>
            </w:tcBorders>
            <w:shd w:fill="FDF3E3" w:val="clear"/>
            <w:tcMar>
              <w:top w:type="dxa" w:w="160"/>
              <w:left w:type="dxa" w:w="200"/>
              <w:bottom w:type="dxa" w:w="160"/>
              <w:right w:type="dxa" w:w="200"/>
            </w:tcMar>
          </w:tcPr>
          <w:p>
            <w:pPr>
              <w:spacing w:before="60" w:after="60"/>
            </w:pPr>
            <w:r>
              <w:rPr>
                <w:rFonts w:ascii="Arial" w:cs="Arial" w:eastAsia="Arial" w:hAnsi="Arial"/>
                <w:i/>
                <w:iCs/>
                <w:sz w:val="21"/>
                <w:szCs w:val="21"/>
              </w:rPr>
              <w:t xml:space="preserve">If a bank enters a 5-year interest rate swap with a corporate counterparty, and that counterparty has a meaningful probability of defaulting over those 5 years, the bank’s trading book carries a credit risk with real economic value. CVA quantifies exactly what it would cost to fully hedge that risk away — even if the bank chooses not to purchase that hedge in practice.</w:t>
            </w:r>
          </w:p>
        </w:tc>
      </w:tr>
    </w:tbl>
    <w:p>
      <w:pPr>
        <w:spacing w:before="120" w:after="0"/>
      </w:pPr>
      <w:r>
        <w:t xml:space="preserve"/>
      </w:r>
    </w:p>
    <w:p>
      <w:pPr>
        <w:spacing w:before="80" w:after="120"/>
      </w:pPr>
      <w:r>
        <w:rPr>
          <w:rFonts w:ascii="Arial" w:cs="Arial" w:eastAsia="Arial" w:hAnsi="Arial"/>
          <w:sz w:val="22"/>
          <w:szCs w:val="22"/>
        </w:rPr>
        <w:t xml:space="preserve">CVA is a dynamic, mark-to-market quantity recomputed continuously — typically daily — and the resulting P&amp;L flows directly through the trading book income statement. This is what makes CVA so operationally significant for banks: it is not an accounting footnote, it is a live and volatile P&amp;L driver.</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1.4  A Brief Word on DVA Before We Go Further</w:t>
      </w:r>
    </w:p>
    <w:p>
      <w:pPr>
        <w:spacing w:before="80" w:after="120"/>
      </w:pPr>
      <w:r>
        <w:rPr>
          <w:rFonts w:ascii="Arial" w:cs="Arial" w:eastAsia="Arial" w:hAnsi="Arial"/>
          <w:sz w:val="22"/>
          <w:szCs w:val="22"/>
        </w:rPr>
        <w:t xml:space="preserve">Just as your counterparty might default and fail to pay you, you might default and fail to pay them. DVA is your own credit adjustment — the gain you book because the market discounts your own promises. The darker implication: the worse your own credit gets, the more profit you book. We explore why that is both mathematically correct and deeply uncomfortable in Section 4.</w:t>
      </w:r>
      <w:r>
        <w:rPr>
          <w:rStyle w:val="FootnoteReference"/>
        </w:rPr>
        <w:footnoteReference w:id="[object Objec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22A" w:sz="1"/>
              <w:left w:val="single" w:color="C8922A" w:sz="1"/>
              <w:bottom w:val="single" w:color="C8922A" w:sz="1"/>
              <w:right w:val="single" w:color="C8922A" w:sz="1"/>
            </w:tcBorders>
            <w:shd w:fill="FDF3E3" w:val="clear"/>
            <w:tcMar>
              <w:top w:type="dxa" w:w="160"/>
              <w:left w:type="dxa" w:w="200"/>
              <w:bottom w:type="dxa" w:w="160"/>
              <w:right w:type="dxa" w:w="200"/>
            </w:tcMar>
          </w:tcPr>
          <w:p>
            <w:pPr>
              <w:spacing w:before="40" w:after="60"/>
            </w:pPr>
            <w:r>
              <w:rPr>
                <w:rFonts w:ascii="Arial" w:cs="Arial" w:eastAsia="Arial" w:hAnsi="Arial"/>
                <w:b/>
                <w:bCs/>
                <w:color w:val="C8922A"/>
                <w:sz w:val="22"/>
                <w:szCs w:val="22"/>
              </w:rPr>
              <w:t xml:space="preserve">CVA vs DVA: The One-Line Contrast</w:t>
            </w:r>
          </w:p>
          <w:p>
            <w:pPr>
              <w:spacing w:before="0" w:after="40"/>
            </w:pPr>
            <w:r>
              <w:rPr>
                <w:rFonts w:ascii="Arial" w:cs="Arial" w:eastAsia="Arial" w:hAnsi="Arial"/>
                <w:sz w:val="21"/>
                <w:szCs w:val="21"/>
              </w:rPr>
              <w:t xml:space="preserve">CVA is the value you subtract from a trade’s fair value to account for your counterparty’s default risk.
DVA is the value you add back to a trade’s fair value to account for your own default risk.
CVA reduces asset values. DVA reduces liability values — which, from an accounting standpoint, is a gain.</w:t>
            </w:r>
          </w:p>
        </w:tc>
      </w:tr>
    </w:tbl>
    <w:p>
      <w:pPr>
        <w:spacing w:before="120" w:after="0"/>
      </w:pPr>
      <w:r>
        <w:t xml:space="preserve"/>
      </w:r>
    </w:p>
    <w:p>
      <w:r>
        <w:br w:type="page"/>
      </w:r>
    </w:p>
    <w:p>
      <w:pPr>
        <w:pStyle w:val="Heading1"/>
        <w:spacing w:before="360" w:after="180"/>
      </w:pPr>
      <w:r>
        <w:rPr>
          <w:rFonts w:ascii="Arial" w:cs="Arial" w:eastAsia="Arial" w:hAnsi="Arial"/>
          <w:b/>
          <w:bCs/>
          <w:color w:val="1A3A5C"/>
          <w:sz w:val="32"/>
          <w:szCs w:val="32"/>
        </w:rPr>
        <w:t xml:space="preserve">2.  From Loan Risk to Derivative Risk: Building the Intuition</w:t>
      </w:r>
    </w:p>
    <w:p>
      <w:pPr>
        <w:spacing w:before="80" w:after="120"/>
      </w:pPr>
      <w:r>
        <w:rPr>
          <w:rFonts w:ascii="Arial" w:cs="Arial" w:eastAsia="Arial" w:hAnsi="Arial"/>
          <w:sz w:val="22"/>
          <w:szCs w:val="22"/>
        </w:rPr>
        <w:t xml:space="preserve">Traditional credit risk operates on a straightforward axis: a borrower owes a fixed or scheduled amount, and the lender bears the risk of non-payment. Derivatives introduce a structural complication that transforms credit risk from a bounded problem into a dynamic, path-dependent one.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2.1  Bilateral vs. Unilateral Exposure</w:t>
      </w:r>
    </w:p>
    <w:p>
      <w:pPr>
        <w:spacing w:before="80" w:after="120"/>
      </w:pPr>
      <w:r>
        <w:rPr>
          <w:rFonts w:ascii="Arial" w:cs="Arial" w:eastAsia="Arial" w:hAnsi="Arial"/>
          <w:sz w:val="22"/>
          <w:szCs w:val="22"/>
        </w:rPr>
        <w:t xml:space="preserve">A loan is a unilateral credit relationship — credit risk flows in one direction. A derivatives contract is bilateral: depending on how market rates move, either party may be "in the money". Both parties simultaneously hold a form of credit risk on each other, and the identity of who is at risk changes as market conditions evolve.</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2.2  Replacement Cost vs. Settlement Risk</w:t>
      </w:r>
    </w:p>
    <w:p>
      <w:pPr>
        <w:spacing w:before="80" w:after="120"/>
      </w:pPr>
      <w:r>
        <w:rPr>
          <w:rFonts w:ascii="Arial" w:cs="Arial" w:eastAsia="Arial" w:hAnsi="Arial"/>
          <w:sz w:val="22"/>
          <w:szCs w:val="22"/>
        </w:rPr>
        <w:t xml:space="preserve">When a counterparty defaults mid-life on a derivatives contract, the non-defaulting party loses the cost of replacing that trade at prevailing market conditions — the replacement cost, or Current Exposure (CE). Counterparty Credit Risk (CCR) must account not just for current exposure but for the full distribution of potential future exposures over the remaining trade life.</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2.3  The Exposure Profile Concept</w:t>
      </w:r>
    </w:p>
    <w:p>
      <w:pPr>
        <w:spacing w:before="80" w:after="120"/>
      </w:pPr>
      <w:r>
        <w:rPr>
          <w:rFonts w:ascii="Arial" w:cs="Arial" w:eastAsia="Arial" w:hAnsi="Arial"/>
          <w:sz w:val="22"/>
          <w:szCs w:val="22"/>
        </w:rPr>
        <w:t xml:space="preserve">This brings us to the concept of an exposure profile — a forward-looking representation of how much could be owed at each future point in time, under a range of market scenarios. Two specific measures are central to CVA: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Measure</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Definition and Use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Expected Exposure (EE)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average exposure to a counterparty at a future time t, averaged across all simulated market scenarios.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Expected Positive Exposure (EPE)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The time-averaged Expected Exposure over the life of the trade. EPE is the single summary statistic most commonly used in CVA calculations and Basel regulatory capital formulas.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Potential Future Exposure (PFE)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 high-percentile (e.g. 95th or 99th) exposure measure used for credit limit management rather than CVA pricing.</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Effective EPE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A regulatory variant that imposes a non-decreasing constraint on the exposure profile, preventing short-dated netting benefits from artificially reducing capital requirements.</w:t>
            </w:r>
          </w:p>
        </w:tc>
      </w:tr>
    </w:tbl>
    <w:p>
      <w:pPr>
        <w:spacing w:before="160" w:after="0"/>
      </w:pPr>
      <w:r>
        <w:t xml:space="preserve"/>
      </w:r>
    </w:p>
    <w:p>
      <w:pPr>
        <w:spacing w:before="80" w:after="120"/>
      </w:pPr>
      <w:r>
        <w:rPr>
          <w:rFonts w:ascii="Arial" w:cs="Arial" w:eastAsia="Arial" w:hAnsi="Arial"/>
          <w:sz w:val="22"/>
          <w:szCs w:val="22"/>
        </w:rPr>
        <w:t xml:space="preserve">These exposure profiles are generated through Monte Carlo simulation: the bank models thousands of possible future market paths and computes the mark-to-market value of all trades at each future time step under each path. CVA is then computed by integrating the Expected Exposure profile against the counterparty's default probability and loss given default.</w: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3.  Defining CVA: The Formal Framework</w:t>
      </w:r>
    </w:p>
    <w:p>
      <w:pPr>
        <w:spacing w:before="80" w:after="120"/>
      </w:pPr>
      <w:r>
        <w:rPr>
          <w:rFonts w:ascii="Arial" w:cs="Arial" w:eastAsia="Arial" w:hAnsi="Arial"/>
          <w:sz w:val="22"/>
          <w:szCs w:val="22"/>
        </w:rPr>
        <w:t xml:space="preserve">Credit Valuation Adjustment is defined as the market value of counterparty credit risk embedded in a derivatives portfolio. It represents the difference between the risk-free value of a trade and its true value after accounting for the possibility of counterparty default.</w:t>
      </w:r>
      <w:r>
        <w:rPr>
          <w:rStyle w:val="FootnoteReference"/>
        </w:rPr>
        <w:footnoteReference w:id="[object Objec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Formal Definition</w:t>
            </w:r>
          </w:p>
          <w:p>
            <w:pPr>
              <w:spacing w:before="0" w:after="40"/>
            </w:pPr>
            <w:r>
              <w:rPr>
                <w:rFonts w:ascii="Arial" w:cs="Arial" w:eastAsia="Arial" w:hAnsi="Arial"/>
                <w:sz w:val="21"/>
                <w:szCs w:val="21"/>
              </w:rPr>
              <w:t xml:space="preserve">CVA = Risk-Free Value of Portfolio − Risky Value of Portfolio
Equivalently: CVA is the present value of expected losses arising from counterparty default, measured over the remaining life of all trades with that counterparty.</w:t>
            </w:r>
          </w:p>
        </w:tc>
      </w:tr>
    </w:tbl>
    <w:p>
      <w:pPr>
        <w:spacing w:before="120" w:after="0"/>
      </w:pPr>
      <w:r>
        <w:t xml:space="preserve"/>
      </w:r>
    </w:p>
    <w:p>
      <w:pPr>
        <w:pStyle w:val="Heading2"/>
        <w:spacing w:before="280" w:after="140"/>
      </w:pPr>
      <w:r>
        <w:rPr>
          <w:rFonts w:ascii="Arial" w:cs="Arial" w:eastAsia="Arial" w:hAnsi="Arial"/>
          <w:b/>
          <w:bCs/>
          <w:color w:val="0D7377"/>
          <w:sz w:val="26"/>
          <w:szCs w:val="26"/>
        </w:rPr>
        <w:t xml:space="preserve">3.1  CVA is a Portfolio-Level Concept</w:t>
      </w:r>
    </w:p>
    <w:p>
      <w:pPr>
        <w:spacing w:before="80" w:after="120"/>
      </w:pPr>
      <w:r>
        <w:rPr>
          <w:rFonts w:ascii="Arial" w:cs="Arial" w:eastAsia="Arial" w:hAnsi="Arial"/>
          <w:sz w:val="22"/>
          <w:szCs w:val="22"/>
        </w:rPr>
        <w:t xml:space="preserve">CVA is not computed trade-by-trade. Because netting agreements — legally binding contracts under the ISDA Master Agreement that allow gains and losses across multiple trades to be offset in default — aggregate exposures, CVA must be assessed at the netting set level.</w:t>
      </w:r>
      <w:r>
        <w:rPr>
          <w:rStyle w:val="FootnoteReference"/>
        </w:rPr>
        <w:footnoteReference w:id="[object Object]"/>
      </w:r>
    </w:p>
    <w:p>
      <w:pPr>
        <w:spacing w:before="80" w:after="120"/>
      </w:pPr>
      <w:r>
        <w:rPr>
          <w:rFonts w:ascii="Arial" w:cs="Arial" w:eastAsia="Arial" w:hAnsi="Arial"/>
          <w:sz w:val="22"/>
          <w:szCs w:val="22"/>
        </w:rPr>
        <w:t xml:space="preserve">A netting set is the collection of all trades with a counterparty under a single master netting agreement. Adding a new trade can either increase CVA (adds exposure) or decrease it (offsets existing exposure). This portfolio effect is what makes CVA management a specialised function.</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3.2  CVA is Mark-to-Market</w:t>
      </w:r>
    </w:p>
    <w:p>
      <w:pPr>
        <w:spacing w:before="80" w:after="120"/>
      </w:pPr>
      <w:r>
        <w:rPr>
          <w:rFonts w:ascii="Arial" w:cs="Arial" w:eastAsia="Arial" w:hAnsi="Arial"/>
          <w:sz w:val="22"/>
          <w:szCs w:val="22"/>
        </w:rPr>
        <w:t xml:space="preserve">Three variables drive day-to-day CVA volatility:</w:t>
      </w:r>
    </w:p>
    <w:p>
      <w:pPr>
        <w:pStyle w:val="ListParagraph"/>
        <w:numPr>
          <w:ilvl w:val="0"/>
          <w:numId w:val="2"/>
        </w:numPr>
        <w:spacing w:before="60" w:after="60"/>
      </w:pPr>
      <w:r>
        <w:rPr>
          <w:rFonts w:ascii="Arial" w:cs="Arial" w:eastAsia="Arial" w:hAnsi="Arial"/>
          <w:sz w:val="22"/>
          <w:szCs w:val="22"/>
        </w:rPr>
        <w:t xml:space="preserve">Market risk drivers (rates, FX, volatilities) — which change trade values and thus the exposure profile.</w:t>
      </w:r>
    </w:p>
    <w:p>
      <w:pPr>
        <w:pStyle w:val="ListParagraph"/>
        <w:numPr>
          <w:ilvl w:val="0"/>
          <w:numId w:val="2"/>
        </w:numPr>
        <w:spacing w:before="60" w:after="60"/>
      </w:pPr>
      <w:r>
        <w:rPr>
          <w:rFonts w:ascii="Arial" w:cs="Arial" w:eastAsia="Arial" w:hAnsi="Arial"/>
          <w:sz w:val="22"/>
          <w:szCs w:val="22"/>
        </w:rPr>
        <w:t xml:space="preserve">Counterparty credit spreads — which feed directly into default probability estimates.</w:t>
      </w:r>
    </w:p>
    <w:p>
      <w:pPr>
        <w:pStyle w:val="ListParagraph"/>
        <w:numPr>
          <w:ilvl w:val="0"/>
          <w:numId w:val="2"/>
        </w:numPr>
        <w:spacing w:before="60" w:after="60"/>
      </w:pPr>
      <w:r>
        <w:rPr>
          <w:rFonts w:ascii="Arial" w:cs="Arial" w:eastAsia="Arial" w:hAnsi="Arial"/>
          <w:sz w:val="22"/>
          <w:szCs w:val="22"/>
        </w:rPr>
        <w:t xml:space="preserve">Time decay — as trades approach maturity, remaining exposure typically declines.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3.3  Bilateral CVA</w:t>
      </w:r>
    </w:p>
    <w:p>
      <w:pPr>
        <w:spacing w:before="80" w:after="120"/>
      </w:pPr>
      <w:r>
        <w:rPr>
          <w:rFonts w:ascii="Arial" w:cs="Arial" w:eastAsia="Arial" w:hAnsi="Arial"/>
          <w:sz w:val="22"/>
          <w:szCs w:val="22"/>
        </w:rPr>
        <w:t xml:space="preserve">Bilateral CVA (BCVA) extends the framework to include both directions: the bank's credit risk on the counterparty (CVA) and the counterparty's credit risk on the bank (DVA). BCVA = CVA − DVA. This bilateral formulation is the basis for IFRS 13 and ASC 820, which require derivatives to be measured at fair value including all credit adjustments.</w:t>
      </w:r>
      <w:r>
        <w:rPr>
          <w:rStyle w:val="FootnoteReference"/>
        </w:rPr>
        <w:footnoteReference w:id="[object Objec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4.  Debt Valuation Adjustment (DVA): The Mirror Image</w:t>
      </w:r>
    </w:p>
    <w:p>
      <w:pPr>
        <w:spacing w:before="80" w:after="120"/>
      </w:pPr>
      <w:r>
        <w:rPr>
          <w:rFonts w:ascii="Arial" w:cs="Arial" w:eastAsia="Arial" w:hAnsi="Arial"/>
          <w:sz w:val="22"/>
          <w:szCs w:val="22"/>
        </w:rPr>
        <w:t xml:space="preserve">Debt Valuation Adjustment is one of the most intellectually contested concepts in modern derivatives accounting. It emerges logically from the bilateral CVA framework yet its practical implications generate persistent discomfort among regulators, auditors, and practitioners alike.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4.1  The Logic of DVA</w:t>
      </w:r>
    </w:p>
    <w:p>
      <w:pPr>
        <w:spacing w:before="80" w:after="120"/>
      </w:pPr>
      <w:r>
        <w:rPr>
          <w:rFonts w:ascii="Arial" w:cs="Arial" w:eastAsia="Arial" w:hAnsi="Arial"/>
          <w:sz w:val="22"/>
          <w:szCs w:val="22"/>
        </w:rPr>
        <w:t xml:space="preserve">If a bank must adjust the value of its derivatives assets downward to reflect counterparty credit risk (CVA), symmetry demands it also adjust the value of its derivatives liabilities downward to reflect its own credit risk. A liability that might not be fully honoured — because the bank might default — is worth less than face value. That reduction in liability value is DVA. Accounting logic and economic symmetry both support it.</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4.2  The Uncomfortable Implication</w:t>
      </w:r>
    </w:p>
    <w:p>
      <w:pPr>
        <w:spacing w:before="80" w:after="120"/>
      </w:pPr>
      <w:r>
        <w:rPr>
          <w:rFonts w:ascii="Arial" w:cs="Arial" w:eastAsia="Arial" w:hAnsi="Arial"/>
          <w:sz w:val="22"/>
          <w:szCs w:val="22"/>
        </w:rPr>
        <w:t xml:space="preserve">DVA increases when a bank's own credit quality deteriorates. As credit spreads widen, the bank books a DVA gain on its derivatives liabilities. During the 2008 crisis, several large financial institutions reported significant DVA gains at precisely the moments when their own viability was most in question.</w:t>
      </w:r>
      <w:r>
        <w:rPr>
          <w:rStyle w:val="FootnoteReference"/>
        </w:rPr>
        <w:footnoteReference w:id="[object Objec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22A" w:sz="1"/>
              <w:left w:val="single" w:color="C8922A" w:sz="1"/>
              <w:bottom w:val="single" w:color="C8922A" w:sz="1"/>
              <w:right w:val="single" w:color="C8922A" w:sz="1"/>
            </w:tcBorders>
            <w:shd w:fill="FDF3E3" w:val="clear"/>
            <w:tcMar>
              <w:top w:type="dxa" w:w="160"/>
              <w:left w:type="dxa" w:w="200"/>
              <w:bottom w:type="dxa" w:w="160"/>
              <w:right w:type="dxa" w:w="200"/>
            </w:tcMar>
          </w:tcPr>
          <w:p>
            <w:pPr>
              <w:spacing w:before="60" w:after="60"/>
            </w:pPr>
            <w:r>
              <w:rPr>
                <w:rFonts w:ascii="Arial" w:cs="Arial" w:eastAsia="Arial" w:hAnsi="Arial"/>
                <w:i/>
                <w:iCs/>
                <w:sz w:val="21"/>
                <w:szCs w:val="21"/>
              </w:rPr>
              <w:t xml:space="preserve">During Q3 2011, Morgan Stanley reported a DVA gain of approximately $3.4 billion, driven by a sharp widening of the firm’s own credit spreads during a period of intense market stress.²⁵ The bank was simultaneously less creditworthy and more profitable — a paradox that crystallises the core tension in DVA accounting.</w:t>
            </w:r>
          </w:p>
        </w:tc>
      </w:tr>
    </w:tbl>
    <w:p>
      <w:pPr>
        <w:spacing w:before="120" w:after="0"/>
      </w:pPr>
      <w:r>
        <w:t xml:space="preserve"/>
      </w:r>
    </w:p>
    <w:p>
      <w:pPr>
        <w:pStyle w:val="Heading2"/>
        <w:spacing w:before="280" w:after="140"/>
      </w:pPr>
      <w:r>
        <w:rPr>
          <w:rFonts w:ascii="Arial" w:cs="Arial" w:eastAsia="Arial" w:hAnsi="Arial"/>
          <w:b/>
          <w:bCs/>
          <w:color w:val="0D7377"/>
          <w:sz w:val="26"/>
          <w:szCs w:val="26"/>
        </w:rPr>
        <w:t xml:space="preserve">4.3  Can DVA be Monetised?</w:t>
      </w:r>
    </w:p>
    <w:p>
      <w:pPr>
        <w:spacing w:before="80" w:after="120"/>
      </w:pPr>
      <w:r>
        <w:rPr>
          <w:rFonts w:ascii="Arial" w:cs="Arial" w:eastAsia="Arial" w:hAnsi="Arial"/>
          <w:sz w:val="22"/>
          <w:szCs w:val="22"/>
        </w:rPr>
        <w:t xml:space="preserve">The theoretical defence of DVA rests on the premise that a bank could repurchase its own liabilities at their depressed fair value. In practice, this is operationally complex, constrained by liquidity, and often restricted by regulators. Hedging DVA risk is also structurally problematic: buying protection on your own name signals distress and is operationally difficult.</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4.4  Regulatory Treatment of DVA</w:t>
      </w:r>
    </w:p>
    <w:p>
      <w:pPr>
        <w:spacing w:before="80" w:after="120"/>
      </w:pPr>
      <w:r>
        <w:rPr>
          <w:rFonts w:ascii="Arial" w:cs="Arial" w:eastAsia="Arial" w:hAnsi="Arial"/>
          <w:sz w:val="22"/>
          <w:szCs w:val="22"/>
        </w:rPr>
        <w:t xml:space="preserve">Basel III took the explicit position that DVA gains should not count towards regulatory capital. Under CRR Article 33(1)(c), deductions are made from Common Equity Tier 1 for fair value gains attributable to changes in the bank's own credit standing on liabilities — effectively neutralising DVA in the regulatory capital stack, even where it appears in accounting profit.</w:t>
      </w:r>
      <w:r>
        <w:rPr>
          <w:rStyle w:val="FootnoteReference"/>
        </w:rPr>
        <w:footnoteReference w:id="[object Objec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5.  The CVA Formula: Step-by-Step</w:t>
      </w:r>
    </w:p>
    <w:p>
      <w:pPr>
        <w:spacing w:before="80" w:after="120"/>
      </w:pPr>
      <w:r>
        <w:rPr>
          <w:rFonts w:ascii="Arial" w:cs="Arial" w:eastAsia="Arial" w:hAnsi="Arial"/>
          <w:sz w:val="22"/>
          <w:szCs w:val="22"/>
        </w:rPr>
        <w:t xml:space="preserve">The mathematical formulation of CVA combines exposure, probability of default, and loss given default within a present-value framework that accounts for the timing of potential default across the full life of the trade.</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5.1  The Standard CVA Formula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CVA Formula (Discrete Approximation)</w:t>
            </w:r>
          </w:p>
          <w:p>
            <w:pPr>
              <w:spacing w:before="0" w:after="40"/>
            </w:pPr>
            <w:r>
              <w:rPr>
                <w:rFonts w:ascii="Arial" w:cs="Arial" w:eastAsia="Arial" w:hAnsi="Arial"/>
                <w:sz w:val="21"/>
                <w:szCs w:val="21"/>
              </w:rPr>
              <w:t xml:space="preserve">CVA ≈ LGD × Σ [ EE(tᵢ) × PD(tᵢ₋₁, tᵢ) × D(tᵢ) ]
where the sum runs over time steps i = 1, 2, ..., n covering the life of the trade/portfolio.</w:t>
            </w:r>
          </w:p>
        </w:tc>
      </w:tr>
    </w:tbl>
    <w:p>
      <w:pPr>
        <w:spacing w:before="120" w:after="0"/>
      </w:pPr>
      <w:r>
        <w:t xml:space="preserve"/>
      </w:r>
    </w:p>
    <w:p>
      <w:pPr>
        <w:pStyle w:val="Heading2"/>
        <w:spacing w:before="280" w:after="140"/>
      </w:pPr>
      <w:r>
        <w:rPr>
          <w:rFonts w:ascii="Arial" w:cs="Arial" w:eastAsia="Arial" w:hAnsi="Arial"/>
          <w:b/>
          <w:bCs/>
          <w:color w:val="0D7377"/>
          <w:sz w:val="26"/>
          <w:szCs w:val="26"/>
        </w:rPr>
        <w:t xml:space="preserve">5.2  Component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Definition and Use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LGD (Loss Given Default)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fraction of exposure actually lost upon default. LGD = 1 − Recovery Rate. For senior unsecured OTC derivatives, LGD is commonly assumed at 60% (40% recovery rate).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EE(tᵢ) — Expected Exposure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Probability-weighted average MtM value of the portfolio at future time tᵢ, floored at zero. Generated through Monte Carlo simulation.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PD(tᵢ₋₁, tᵢ) — Marginal Default Probability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probability of default specifically in interval (tᵢ₋₁, tᵢ), conditional on surviving until tᵢ₋₁. Derived from the counterparty’s CDS spread using the hazard rate model.</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D(tᵢ) — Discount Factor</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Present value of one unit of currency at time tᵢ, derived from the risk-free (OIS) discount curve.</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5.3  Deriving Default Probabilities from Credit Spreads</w:t>
      </w:r>
    </w:p>
    <w:p>
      <w:pPr>
        <w:spacing w:before="80" w:after="120"/>
      </w:pPr>
      <w:r>
        <w:rPr>
          <w:rFonts w:ascii="Arial" w:cs="Arial" w:eastAsia="Arial" w:hAnsi="Arial"/>
          <w:sz w:val="22"/>
          <w:szCs w:val="22"/>
        </w:rPr>
        <w:t xml:space="preserve">In practice, marginal default probabilities are inferred from observable market data — specifically CDS spreads — using the hazard rate (default intensity) framework. For a flat credit spread s and constant recovery rate R:</w:t>
      </w:r>
      <w:r>
        <w:rPr>
          <w:rStyle w:val="FootnoteReference"/>
        </w:rPr>
        <w:footnoteReference w:id="[object Object]"/>
      </w:r>
      <w:r>
        <w:rPr>
          <w:rStyle w:val="FootnoteReference"/>
        </w:rPr>
        <w:footnoteReference w:id="[object Objec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60" w:after="60"/>
            </w:pPr>
            <w:r>
              <w:rPr>
                <w:rFonts w:ascii="Arial" w:cs="Arial" w:eastAsia="Arial" w:hAnsi="Arial"/>
                <w:i/>
                <w:iCs/>
                <w:sz w:val="21"/>
                <w:szCs w:val="21"/>
              </w:rPr>
              <w:t xml:space="preserve">Hazard Rate (approximate):   h ≈ s / (1 − R)
Survival Probability to time T:   S(T) = exp(−h × T)
Marginal Default Probability in interval (tᵢ₋₁, tᵢ):   PD(tᵢ₋₁, tᵢ) = S(tᵢ₋₁) − S(tᵢ)</w:t>
            </w:r>
          </w:p>
        </w:tc>
      </w:tr>
    </w:tbl>
    <w:p>
      <w:pPr>
        <w:spacing w:before="120" w:after="0"/>
      </w:pPr>
      <w:r>
        <w:t xml:space="preserve"/>
      </w:r>
    </w:p>
    <w:p>
      <w:pPr>
        <w:spacing w:before="80" w:after="120"/>
      </w:pPr>
      <w:r>
        <w:rPr>
          <w:rFonts w:ascii="Arial" w:cs="Arial" w:eastAsia="Arial" w:hAnsi="Arial"/>
          <w:sz w:val="22"/>
          <w:szCs w:val="22"/>
        </w:rPr>
        <w:t xml:space="preserve">For example: a counterparty with a 5-year CDS spread of 200 bps and a 40% recovery rate implies h ≈ 3.33% p.a. and a 5-year cumulative default probability of roughly 15.4%.</w:t>
      </w:r>
    </w:p>
    <w:p>
      <w:r>
        <w:br w:type="page"/>
      </w:r>
    </w:p>
    <w:p>
      <w:pPr>
        <w:pStyle w:val="Heading1"/>
        <w:spacing w:before="360" w:after="180"/>
      </w:pPr>
      <w:r>
        <w:rPr>
          <w:rFonts w:ascii="Arial" w:cs="Arial" w:eastAsia="Arial" w:hAnsi="Arial"/>
          <w:b/>
          <w:bCs/>
          <w:color w:val="1A3A5C"/>
          <w:sz w:val="32"/>
          <w:szCs w:val="32"/>
        </w:rPr>
        <w:t xml:space="preserve">6.  A Worked Numerical Example</w:t>
      </w:r>
    </w:p>
    <w:p>
      <w:pPr>
        <w:spacing w:before="80" w:after="120"/>
      </w:pPr>
      <w:r>
        <w:rPr>
          <w:rFonts w:ascii="Arial" w:cs="Arial" w:eastAsia="Arial" w:hAnsi="Arial"/>
          <w:sz w:val="22"/>
          <w:szCs w:val="22"/>
        </w:rPr>
        <w:t xml:space="preserve">The following example walks through a simplified CVA calculation for a 3-year interest rate swap. While real-world CVA calculations involve thousands of Monte Carlo paths, this stylised example preserves all the essential mechanics.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6.1  Trade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Value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Instrument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3-year interest rate swap (bank pays fixed, receives floating)</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Notional</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$10,000,000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Counterparty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Corporate BBB-rated entity</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Netting agreement</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ISDA Master Agreement in place; no CSA/collateral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CDS spread (flat)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150 bps per annum</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Assumed Recovery Rate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40%  ⇒  LGD = 60%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Discount rate (OIS)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4.0% flat</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6.2  Step 1: Hazard Rate and Default Probabilities</w:t>
      </w:r>
    </w:p>
    <w:p>
      <w:pPr>
        <w:spacing w:before="80" w:after="120"/>
      </w:pPr>
      <w:r>
        <w:rPr>
          <w:rFonts w:ascii="Arial" w:cs="Arial" w:eastAsia="Arial" w:hAnsi="Arial"/>
          <w:sz w:val="22"/>
          <w:szCs w:val="22"/>
        </w:rPr>
        <w:t xml:space="preserve">Hazard rate: h = 0.0150 / (1 − 0.40) = 2.50% per annum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3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Survival Probability</w:t>
            </w:r>
          </w:p>
        </w:tc>
        <w:tc>
          <w:tcPr>
            <w:tcW w:type="dxa" w:w="33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Marginal PD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1</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S(0,1) = exp(−0.025 × 1) = 97.53%</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2.47%</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Year 2</w:t>
            </w:r>
          </w:p>
        </w:tc>
        <w:tc>
          <w:tcPr>
            <w:tcW w:type="dxa" w:w="3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S(0,2) = exp(−0.025 × 2) = 95.12%</w:t>
            </w:r>
          </w:p>
        </w:tc>
        <w:tc>
          <w:tcPr>
            <w:tcW w:type="dxa" w:w="3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2.41%</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3</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S(0,3) = exp(−0.025 × 3) = 92.77%</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2.35%</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6.3  Step 2: Expected Exposure Profile</w:t>
      </w:r>
    </w:p>
    <w:p>
      <w:pPr>
        <w:spacing w:before="80" w:after="120"/>
      </w:pPr>
      <w:r>
        <w:rPr>
          <w:rFonts w:ascii="Arial" w:cs="Arial" w:eastAsia="Arial" w:hAnsi="Arial"/>
          <w:sz w:val="22"/>
          <w:szCs w:val="22"/>
        </w:rPr>
        <w:t xml:space="preserve">For an at-market IRS, the exposure profile is typically hump-shaped: near zero at inception, rising as the rate differential accumulates, then falling as remaining cash flows decrease.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3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EE (% of notional)</w:t>
            </w:r>
          </w:p>
        </w:tc>
        <w:tc>
          <w:tcPr>
            <w:tcW w:type="dxa" w:w="33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EE ($)</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1</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1.20%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$120,000</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Year 2</w:t>
            </w:r>
          </w:p>
        </w:tc>
        <w:tc>
          <w:tcPr>
            <w:tcW w:type="dxa" w:w="3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1.80%</w:t>
            </w:r>
          </w:p>
        </w:tc>
        <w:tc>
          <w:tcPr>
            <w:tcW w:type="dxa" w:w="3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$180,000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3</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0.90%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$90,000</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6.4  Step 3: Discount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Discount Factor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Year 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D(1) = exp(−0.04 × 1) = 0.9608</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Year 2</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D(2) = exp(−0.04 × 2) = 0.9231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Year 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D(3) = exp(−0.04 × 3) = 0.8869</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6.5  Step 4: Compute CVA</w:t>
      </w:r>
    </w:p>
    <w:p>
      <w:pPr>
        <w:spacing w:before="80" w:after="120"/>
      </w:pPr>
      <w:r>
        <w:rPr>
          <w:rFonts w:ascii="Arial" w:cs="Arial" w:eastAsia="Arial" w:hAnsi="Arial"/>
          <w:sz w:val="22"/>
          <w:szCs w:val="22"/>
        </w:rPr>
        <w:t xml:space="preserve">CVA = LGD × Σ [EE(tᵢ) × PD(tᵢ) × D(tᵢ)]</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40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Calculation</w:t>
            </w:r>
          </w:p>
        </w:tc>
        <w:tc>
          <w:tcPr>
            <w:tcW w:type="dxa" w:w="28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Result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1</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$120,000 × 2.47% × 0.9608</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$2,845</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Year 2</w:t>
            </w:r>
          </w:p>
        </w:tc>
        <w:tc>
          <w:tcPr>
            <w:tcW w:type="dxa" w:w="4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$180,000 × 2.41% × 0.9231</w:t>
            </w:r>
          </w:p>
        </w:tc>
        <w:tc>
          <w:tcPr>
            <w:tcW w:type="dxa" w:w="2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$4,003</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3</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$90,000 × 2.35% × 0.8869</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$1,874</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Sum</w:t>
            </w:r>
          </w:p>
        </w:tc>
        <w:tc>
          <w:tcPr>
            <w:tcW w:type="dxa" w:w="4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
            </w:r>
          </w:p>
        </w:tc>
        <w:tc>
          <w:tcPr>
            <w:tcW w:type="dxa" w:w="2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$8,722</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CVA = 60% × $8,722</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$5,233</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Interpretation</w:t>
            </w:r>
          </w:p>
          <w:p>
            <w:pPr>
              <w:spacing w:before="0" w:after="40"/>
            </w:pPr>
            <w:r>
              <w:rPr>
                <w:rFonts w:ascii="Arial" w:cs="Arial" w:eastAsia="Arial" w:hAnsi="Arial"/>
                <w:sz w:val="21"/>
                <w:szCs w:val="21"/>
              </w:rPr>
              <w:t xml:space="preserve">The CVA on this 3-year swap is approximately $5,233. The bank reduces the fair value of this trade by $5,233 on its books. If pricing a new trade, it would add this amount (in spread terms) to the fixed rate charged to the counterparty as a credit premium.</w:t>
            </w:r>
          </w:p>
        </w:tc>
      </w:tr>
    </w:tbl>
    <w:p>
      <w:pPr>
        <w:spacing w:before="120" w:after="0"/>
      </w:pPr>
      <w:r>
        <w:t xml:space="preserve"/>
      </w:r>
    </w:p>
    <w:p>
      <w:r>
        <w:br w:type="page"/>
      </w:r>
    </w:p>
    <w:p>
      <w:pPr>
        <w:pStyle w:val="Heading1"/>
        <w:spacing w:before="360" w:after="180"/>
      </w:pPr>
      <w:r>
        <w:rPr>
          <w:rFonts w:ascii="Arial" w:cs="Arial" w:eastAsia="Arial" w:hAnsi="Arial"/>
          <w:b/>
          <w:bCs/>
          <w:color w:val="1A3A5C"/>
          <w:sz w:val="32"/>
          <w:szCs w:val="32"/>
        </w:rPr>
        <w:t xml:space="preserve">7.  Regulatory CVA: Basel III, CRR and the FRTB-CVA Framework</w:t>
      </w:r>
    </w:p>
    <w:p>
      <w:pPr>
        <w:spacing w:before="80" w:after="120"/>
      </w:pPr>
      <w:r>
        <w:rPr>
          <w:rFonts w:ascii="Arial" w:cs="Arial" w:eastAsia="Arial" w:hAnsi="Arial"/>
          <w:sz w:val="22"/>
          <w:szCs w:val="22"/>
        </w:rPr>
        <w:t xml:space="preserve">CVA is not solely an internal pricing tool — it is a pillar of regulatory capital requirements. The Basel Committee estimated that during the 2007–2009 crisis, approximately two-thirds of counterparty credit losses were attributable to CVA volatility rather than outright default. This finding prompted the explicit introduction of a CVA capital charge under Basel III, effective from 2013.</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7.1  Basel III CVA Capital Approaches</w:t>
      </w:r>
    </w:p>
    <w:p>
      <w:pPr>
        <w:spacing w:before="80" w:after="120"/>
      </w:pPr>
      <w:r>
        <w:rPr>
          <w:rFonts w:ascii="Arial" w:cs="Arial" w:eastAsia="Arial" w:hAnsi="Arial"/>
          <w:sz w:val="22"/>
          <w:szCs w:val="22"/>
        </w:rPr>
        <w:t xml:space="preserve">Under Basel III and the EU's Capital Requirements Regulation (CRR/CRR2), banks must hold capital against CVA risk using one of two approaches:</w:t>
      </w:r>
      <w:r>
        <w:rPr>
          <w:rStyle w:val="FootnoteReference"/>
        </w:rPr>
        <w:footnoteReference w:id="[object Object]"/>
      </w:r>
      <w:r>
        <w:rPr>
          <w:rStyle w:val="FootnoteReference"/>
        </w:rPr>
        <w:footnoteReference w:id="[object Object]"/>
      </w:r>
    </w:p>
    <w:p>
      <w:pPr>
        <w:spacing w:before="80" w:after="0"/>
      </w:pPr>
      <w:r>
        <w:t xml:space="preserve"/>
      </w:r>
    </w:p>
    <w:p>
      <w:pPr>
        <w:pStyle w:val="Heading3"/>
        <w:spacing w:before="200" w:after="100"/>
      </w:pPr>
      <w:r>
        <w:rPr>
          <w:rFonts w:ascii="Arial" w:cs="Arial" w:eastAsia="Arial" w:hAnsi="Arial"/>
          <w:b/>
          <w:bCs/>
          <w:color w:val="1A3A5C"/>
          <w:sz w:val="22"/>
          <w:szCs w:val="22"/>
        </w:rPr>
        <w:t xml:space="preserve">7.1.1  Standardised CVA Approach (SA-CVA)</w:t>
      </w:r>
    </w:p>
    <w:p>
      <w:pPr>
        <w:spacing w:before="80" w:after="120"/>
      </w:pPr>
      <w:r>
        <w:rPr>
          <w:rFonts w:ascii="Arial" w:cs="Arial" w:eastAsia="Arial" w:hAnsi="Arial"/>
          <w:sz w:val="22"/>
          <w:szCs w:val="22"/>
        </w:rPr>
        <w:t xml:space="preserve">SA-CVA is a sensitivities-based method capturing CVA risk through delta and vega sensitivities to counterparty credit spreads, interest rates, FX rates, equity prices, and commodity prices. SA-CVA requires banks to have a CVA desk, approved CVA models, and robust data infrastructure. Eligible CVA hedges (CDS, swaptions, etc.) can reduce the capital charge.</w:t>
      </w:r>
      <w:r>
        <w:rPr>
          <w:rStyle w:val="FootnoteReference"/>
        </w:rPr>
        <w:footnoteReference w:id="[object Object]"/>
      </w:r>
    </w:p>
    <w:p>
      <w:pPr>
        <w:spacing w:before="80" w:after="0"/>
      </w:pPr>
      <w:r>
        <w:t xml:space="preserve"/>
      </w:r>
    </w:p>
    <w:p>
      <w:pPr>
        <w:pStyle w:val="Heading3"/>
        <w:spacing w:before="200" w:after="100"/>
      </w:pPr>
      <w:r>
        <w:rPr>
          <w:rFonts w:ascii="Arial" w:cs="Arial" w:eastAsia="Arial" w:hAnsi="Arial"/>
          <w:b/>
          <w:bCs/>
          <w:color w:val="1A3A5C"/>
          <w:sz w:val="22"/>
          <w:szCs w:val="22"/>
        </w:rPr>
        <w:t xml:space="preserve">7.1.2  Basic CVA Approach (BA-CVA)</w:t>
      </w:r>
    </w:p>
    <w:p>
      <w:pPr>
        <w:spacing w:before="80" w:after="120"/>
      </w:pPr>
      <w:r>
        <w:rPr>
          <w:rFonts w:ascii="Arial" w:cs="Arial" w:eastAsia="Arial" w:hAnsi="Arial"/>
          <w:sz w:val="22"/>
          <w:szCs w:val="22"/>
        </w:rPr>
        <w:t xml:space="preserve">BA-CVA is a simplified formula-driven approach available to banks that do not meet SA-CVA eligibility criteria. It is risk-insensitive and generally produces higher capital charges, acting as an incentive to invest in proper CVA infrastructure.</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7.2  FRTB-CVA: The Next Generation Framework</w:t>
      </w:r>
    </w:p>
    <w:p>
      <w:pPr>
        <w:spacing w:before="80" w:after="120"/>
      </w:pPr>
      <w:r>
        <w:rPr>
          <w:rFonts w:ascii="Arial" w:cs="Arial" w:eastAsia="Arial" w:hAnsi="Arial"/>
          <w:sz w:val="22"/>
          <w:szCs w:val="22"/>
        </w:rPr>
        <w:t xml:space="preserve">The Fundamental Review of the Trading Book (finalised Basel IV, 2017; implemented 2023–2025) brought a comprehensive overhaul to CVA capital requirements under the FRTB-CVA framework.</w:t>
      </w:r>
      <w:r>
        <w:rPr>
          <w:rStyle w:val="FootnoteReference"/>
        </w:rPr>
        <w:footnoteReference w:id="[object Object]"/>
      </w:r>
      <w:r>
        <w:rPr>
          <w:rStyle w:val="FootnoteReference"/>
        </w:rPr>
        <w:footnoteReference w:id="[object Object]"/>
      </w:r>
    </w:p>
    <w:p>
      <w:pPr>
        <w:pStyle w:val="ListParagraph"/>
        <w:numPr>
          <w:ilvl w:val="0"/>
          <w:numId w:val="2"/>
        </w:numPr>
        <w:spacing w:before="60" w:after="60"/>
      </w:pPr>
      <w:r>
        <w:rPr>
          <w:rFonts w:ascii="Arial" w:cs="Arial" w:eastAsia="Arial" w:hAnsi="Arial"/>
          <w:sz w:val="22"/>
          <w:szCs w:val="22"/>
        </w:rPr>
        <w:t xml:space="preserve">Full alignment with the FRTB market risk framework — IMA-CVA or SA-CVA consistent with trading book capital rules.</w:t>
      </w:r>
      <w:r>
        <w:rPr>
          <w:rStyle w:val="FootnoteReference"/>
        </w:rPr>
        <w:footnoteReference w:id="[object Object]"/>
      </w:r>
    </w:p>
    <w:p>
      <w:pPr>
        <w:pStyle w:val="ListParagraph"/>
        <w:numPr>
          <w:ilvl w:val="0"/>
          <w:numId w:val="2"/>
        </w:numPr>
        <w:spacing w:before="60" w:after="60"/>
      </w:pPr>
      <w:r>
        <w:rPr>
          <w:rFonts w:ascii="Arial" w:cs="Arial" w:eastAsia="Arial" w:hAnsi="Arial"/>
          <w:sz w:val="22"/>
          <w:szCs w:val="22"/>
        </w:rPr>
        <w:t xml:space="preserve">IMA-CVA requires Expected Shortfall rather than VaR, capturing tail risk more robustly, and must pass backtesting and P&amp;L attribution tests.</w:t>
      </w:r>
    </w:p>
    <w:p>
      <w:pPr>
        <w:pStyle w:val="ListParagraph"/>
        <w:numPr>
          <w:ilvl w:val="0"/>
          <w:numId w:val="2"/>
        </w:numPr>
        <w:spacing w:before="60" w:after="60"/>
      </w:pPr>
      <w:r>
        <w:rPr>
          <w:rFonts w:ascii="Arial" w:cs="Arial" w:eastAsia="Arial" w:hAnsi="Arial"/>
          <w:sz w:val="22"/>
          <w:szCs w:val="22"/>
        </w:rPr>
        <w:t xml:space="preserve">SA-CVA under FRTB uses the Sensitivities-Based Method (SBM) with delta, vega, and curvature risk charges.</w:t>
      </w:r>
    </w:p>
    <w:p>
      <w:pPr>
        <w:pStyle w:val="ListParagraph"/>
        <w:numPr>
          <w:ilvl w:val="0"/>
          <w:numId w:val="2"/>
        </w:numPr>
        <w:spacing w:before="60" w:after="60"/>
      </w:pPr>
      <w:r>
        <w:rPr>
          <w:rFonts w:ascii="Arial" w:cs="Arial" w:eastAsia="Arial" w:hAnsi="Arial"/>
          <w:sz w:val="22"/>
          <w:szCs w:val="22"/>
        </w:rPr>
        <w:t xml:space="preserve">CVA hedges receive more systematic regulatory recognition, reducing the historical penalty for prudent hedging.</w:t>
      </w:r>
    </w:p>
    <w:p>
      <w:pPr>
        <w:pStyle w:val="ListParagraph"/>
        <w:numPr>
          <w:ilvl w:val="0"/>
          <w:numId w:val="2"/>
        </w:numPr>
        <w:spacing w:before="60" w:after="60"/>
      </w:pPr>
      <w:r>
        <w:rPr>
          <w:rFonts w:ascii="Arial" w:cs="Arial" w:eastAsia="Arial" w:hAnsi="Arial"/>
          <w:sz w:val="22"/>
          <w:szCs w:val="22"/>
        </w:rPr>
        <w:t xml:space="preserve">Certain trades are explicitly excluded: CCP-cleared trades, intragroup transactions, SFTs, and certain sovereign exposures.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7.3  CVA Exemptions and Scope</w:t>
      </w:r>
    </w:p>
    <w:p>
      <w:pPr>
        <w:spacing w:before="80" w:after="120"/>
      </w:pPr>
      <w:r>
        <w:rPr>
          <w:rFonts w:ascii="Arial" w:cs="Arial" w:eastAsia="Arial" w:hAnsi="Arial"/>
          <w:sz w:val="22"/>
          <w:szCs w:val="22"/>
        </w:rPr>
        <w:t xml:space="preserve">Not all derivative trades are subject to CVA capital charges. Trades cleared through qualifying CCPs carry a separate default fund exposure charge instead. Intragroup transactions, SFTs, and certain sovereign counterparty exposures — depending on supervisory jurisdiction — are also typically exempt.</w: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8.  The xVA Family: Where CVA Sits</w:t>
      </w:r>
    </w:p>
    <w:p>
      <w:pPr>
        <w:spacing w:before="80" w:after="120"/>
      </w:pPr>
      <w:r>
        <w:rPr>
          <w:rFonts w:ascii="Arial" w:cs="Arial" w:eastAsia="Arial" w:hAnsi="Arial"/>
          <w:sz w:val="22"/>
          <w:szCs w:val="22"/>
        </w:rPr>
        <w:t xml:space="preserve">CVA and DVA are the original members of what practitioners call the "xVA family" — a collection of valuation adjustments, each capturing a distinct dimension of cost, risk, or friction associated with derivatives trading.</w:t>
      </w:r>
      <w:r>
        <w:rPr>
          <w:rStyle w:val="FootnoteReference"/>
        </w:rPr>
        <w:footnoteReference w:id="[object Objec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Abbreviation</w:t>
            </w:r>
          </w:p>
        </w:tc>
        <w:tc>
          <w:tcPr>
            <w:tcW w:type="dxa" w:w="32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Full Name</w:t>
            </w:r>
          </w:p>
        </w:tc>
        <w:tc>
          <w:tcPr>
            <w:tcW w:type="dxa" w:w="43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Economic Meaning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CVA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Credit Valuation Adjustment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Expected cost of counterparty default. Reduces asset fair value.</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DVA</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Debt Valuation Adjustment</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Own credit risk on liabilities. Controversial gain on own deterioration.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FVA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Funding Valuation Adjustment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Cost of funding uncollateralised derivatives positions.</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MVA</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Margin Valuation Adjustment</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Cost of posting initial margin under UMR or CCP rules.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KVA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Capital Valuation Adjustment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Cost of holding regulatory capital against a trade over its life.</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ColVA</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Collateral Valuation Adjustment</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Adjustment for optionality in CSA terms.</w:t>
            </w:r>
          </w:p>
        </w:tc>
      </w:tr>
    </w:tbl>
    <w:p>
      <w:pPr>
        <w:spacing w:before="160" w:after="0"/>
      </w:pPr>
      <w:r>
        <w:t xml:space="preserve"/>
      </w:r>
    </w:p>
    <w:p>
      <w:pPr>
        <w:spacing w:before="80" w:after="120"/>
      </w:pPr>
      <w:r>
        <w:rPr>
          <w:rFonts w:ascii="Arial" w:cs="Arial" w:eastAsia="Arial" w:hAnsi="Arial"/>
          <w:sz w:val="22"/>
          <w:szCs w:val="22"/>
        </w:rPr>
        <w:t xml:space="preserve">The proliferation of xVA adjustments reflects the recognition that derivatives are not costless to hold. CVA desks at major banks have progressively expanded their remit to become XVA desks, managing the full suite of adjustments and their interdependencies within a unified risk framework.</w: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9.  Crisis Case Studies</w:t>
      </w:r>
    </w:p>
    <w:p>
      <w:pPr>
        <w:spacing w:before="80" w:after="120"/>
      </w:pPr>
      <w:r>
        <w:rPr>
          <w:rFonts w:ascii="Arial" w:cs="Arial" w:eastAsia="Arial" w:hAnsi="Arial"/>
          <w:sz w:val="22"/>
          <w:szCs w:val="22"/>
        </w:rPr>
        <w:t xml:space="preserve">The 2007–2009 global financial crisis transformed CVA from an internal accounting adjustment into a central preoccupation of regulatory capital frameworks. Three categories of counterparty credit risk materialised simultaneously and on an unprecedented scale.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9.1  Lehman Brothers (2008): Replacement Cost at Scale</w:t>
      </w:r>
    </w:p>
    <w:p>
      <w:pPr>
        <w:spacing w:before="80" w:after="120"/>
      </w:pPr>
      <w:r>
        <w:rPr>
          <w:rFonts w:ascii="Arial" w:cs="Arial" w:eastAsia="Arial" w:hAnsi="Arial"/>
          <w:sz w:val="22"/>
          <w:szCs w:val="22"/>
        </w:rPr>
        <w:t xml:space="preserve">When Lehman Brothers filed for Chapter 11 bankruptcy on 15 September 2008, it was a derivatives counterparty to hundreds of financial institutions globally, with an estimated $35–40 trillion in notional derivatives outstanding. The secondary effect — sharp widening of credit spreads across the financial sector — caused CVA on all counterparty relationships to spike simultaneously, producing tens of billions of mark-to-market losses across the industry.</w:t>
      </w:r>
      <w:r>
        <w:rPr>
          <w:rStyle w:val="FootnoteReference"/>
        </w:rPr>
        <w:footnoteReference w:id="[object Object]"/>
      </w:r>
    </w:p>
    <w:p>
      <w:pPr>
        <w:spacing w:before="80" w:after="120"/>
      </w:pPr>
      <w:r>
        <w:rPr>
          <w:rFonts w:ascii="Arial" w:cs="Arial" w:eastAsia="Arial" w:hAnsi="Arial"/>
          <w:sz w:val="22"/>
          <w:szCs w:val="22"/>
        </w:rPr>
        <w:t xml:space="preserve">The Lehman failure crystallised the Basel III insight: the dominant source of counterparty credit loss is not default itself, but CVA mark-to-market volatility in the lead-up to and aftermath of a credit event.</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9.2  Monoline Insurers (2007–2009): Concentrated, Illiquid Exposure</w:t>
      </w:r>
    </w:p>
    <w:p>
      <w:pPr>
        <w:spacing w:before="80" w:after="120"/>
      </w:pPr>
      <w:r>
        <w:rPr>
          <w:rFonts w:ascii="Arial" w:cs="Arial" w:eastAsia="Arial" w:hAnsi="Arial"/>
          <w:sz w:val="22"/>
          <w:szCs w:val="22"/>
        </w:rPr>
        <w:t xml:space="preserve">Monoline insurance companies — AMBAC, MBIA, FGIC — had written credit protection on large volumes of structured credit products to major banks. The exposures were enormous and the monolines effectively unhedgeable. Banks were forced to take multi-billion dollar CVA charges, with Merrill Lynch and Citigroup among the most heavily affected. The episode illustrated fundamental CVA concentration risk: a large, correlated, operationally irreplaceable counterparty.</w:t>
      </w:r>
      <w:r>
        <w:rPr>
          <w:rStyle w:val="FootnoteReference"/>
        </w:rPr>
        <w:footnoteReference w:id="[object Objec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9.3  Sovereign CVA (2010–2012): The European Debt Crisis</w:t>
      </w:r>
    </w:p>
    <w:p>
      <w:pPr>
        <w:spacing w:before="80" w:after="120"/>
      </w:pPr>
      <w:r>
        <w:rPr>
          <w:rFonts w:ascii="Arial" w:cs="Arial" w:eastAsia="Arial" w:hAnsi="Arial"/>
          <w:sz w:val="22"/>
          <w:szCs w:val="22"/>
        </w:rPr>
        <w:t xml:space="preserve">The European sovereign debt crisis introduced a counterparty credit risk dimension that many practitioners had not previously contemplated seriously. The Greek PSI restructuring of March 2012 imposed losses of over 50% on private creditors, confirming that sovereign default was a real risk in developed markets. Banks slow to build CVA reserves against sovereign exposures faced significant P&amp;L charges as the crisis progressed.</w: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10.  Governance, CVA Desks &amp; Hedging</w:t>
      </w:r>
    </w:p>
    <w:p>
      <w:pPr>
        <w:spacing w:before="80" w:after="120"/>
      </w:pPr>
      <w:r>
        <w:rPr>
          <w:rFonts w:ascii="Arial" w:cs="Arial" w:eastAsia="Arial" w:hAnsi="Arial"/>
          <w:sz w:val="22"/>
          <w:szCs w:val="22"/>
        </w:rPr>
        <w:t xml:space="preserve">The management of CVA risk has evolved from a back-office accounting exercise into a front-office trading function at most major institutions.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10.1  The CVA Desk as Risk Intermediary</w:t>
      </w:r>
    </w:p>
    <w:p>
      <w:pPr>
        <w:spacing w:before="80" w:after="120"/>
      </w:pPr>
      <w:r>
        <w:rPr>
          <w:rFonts w:ascii="Arial" w:cs="Arial" w:eastAsia="Arial" w:hAnsi="Arial"/>
          <w:sz w:val="22"/>
          <w:szCs w:val="22"/>
        </w:rPr>
        <w:t xml:space="preserve">In the modern architecture of a large derivatives dealer, the CVA desk operates as an internal risk intermediary. When a trading desk enters a derivatives contract, it does so at the risk-free price. The CVA desk charges the trading desk an internal CVA premium, effectively purchasing the counterparty credit risk. The CVA desk then manages that credit risk on a portfolio basis, hedging using single-name CDS, index CDS, or other instruments.</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10.2  Wrong-Way Risk</w:t>
      </w:r>
    </w:p>
    <w:p>
      <w:pPr>
        <w:spacing w:before="80" w:after="120"/>
      </w:pPr>
      <w:r>
        <w:rPr>
          <w:rFonts w:ascii="Arial" w:cs="Arial" w:eastAsia="Arial" w:hAnsi="Arial"/>
          <w:sz w:val="22"/>
          <w:szCs w:val="22"/>
        </w:rPr>
        <w:t xml:space="preserve">Wrong-way risk (WWR) is the adverse correlation between a counterparty's probability of default and the bank's exposure to that counterparty — the counterparty is most likely to default precisely when it owes the bank the most money. Standard CVA models assume independence between exposure and default probability. Regulatory frameworks require banks to apply specific stressed assumptions or add-ons for portfolios exhibiting material wrong-way risk.</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10.3  Collateral and CSAs</w:t>
      </w:r>
    </w:p>
    <w:p>
      <w:pPr>
        <w:spacing w:before="80" w:after="120"/>
      </w:pPr>
      <w:r>
        <w:rPr>
          <w:rFonts w:ascii="Arial" w:cs="Arial" w:eastAsia="Arial" w:hAnsi="Arial"/>
          <w:sz w:val="22"/>
          <w:szCs w:val="22"/>
        </w:rPr>
        <w:t xml:space="preserve">Credit Support Annexes (CSAs) require parties to post variation margin as trades move in- or out-of-the-money. A fully collateralised relationship drastically reduces CVA, as the exposure at any point is bounded by the daily margin call lag. Post-crisis reforms — EMIR in Europe, Dodd-Frank in the US — mandated central clearing for standardised derivatives and phased in Uncleared Margin Rules (UMR) from 2016 to 2022, substantially compressing bilateral CVA on in-scope portfolios.</w:t>
      </w:r>
      <w:r>
        <w:rPr>
          <w:rStyle w:val="FootnoteReference"/>
        </w:rPr>
        <w:footnoteReference w:id="[object Objec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11.  Key Debates and Open Questions</w:t>
      </w:r>
    </w:p>
    <w:p>
      <w:pPr>
        <w:spacing w:before="80" w:after="120"/>
      </w:pPr>
      <w:r>
        <w:rPr>
          <w:rFonts w:ascii="Arial" w:cs="Arial" w:eastAsia="Arial" w:hAnsi="Arial"/>
          <w:sz w:val="22"/>
          <w:szCs w:val="22"/>
        </w:rPr>
        <w:t xml:space="preserve">CVA sits at the intersection of accounting standards, regulatory capital rules, market practice, and fundamental questions about fair value measurement. Several debates remain unresolved or actively contested.</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11.1  Should DVA be Recognised in Accounting Profit?</w:t>
      </w:r>
    </w:p>
    <w:p>
      <w:pPr>
        <w:spacing w:before="80" w:after="120"/>
      </w:pPr>
      <w:r>
        <w:rPr>
          <w:rFonts w:ascii="Arial" w:cs="Arial" w:eastAsia="Arial" w:hAnsi="Arial"/>
          <w:sz w:val="22"/>
          <w:szCs w:val="22"/>
        </w:rPr>
        <w:t xml:space="preserve">IFRS 13 and ASC 820 require DVA to be included in fair value measurement. Critics argue that DVA gains on deteriorating creditworthiness represent an accounting artefact with no economic substance. The practical compromise has been to recognise DVA in Other Comprehensive Income (OCI) for certain instruments, partially quarantining its impact on reported earnings.</w:t>
      </w:r>
      <w:r>
        <w:rPr>
          <w:rStyle w:val="FootnoteReference"/>
        </w:rPr>
        <w:footnoteReference w:id="[object Objec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11.2  Accounting CVA vs. Regulatory CVA</w:t>
      </w:r>
    </w:p>
    <w:p>
      <w:pPr>
        <w:spacing w:before="80" w:after="120"/>
      </w:pPr>
      <w:r>
        <w:rPr>
          <w:rFonts w:ascii="Arial" w:cs="Arial" w:eastAsia="Arial" w:hAnsi="Arial"/>
          <w:sz w:val="22"/>
          <w:szCs w:val="22"/>
        </w:rPr>
        <w:t xml:space="preserve">Accounting CVA prioritises market consistency and exit value; regulatory CVA prioritises conservatism and consistency across institutions. The two calculations use different methodologies, different data sources, and different time horizons — and can produce materially different numbers for the same portfolio. Banks must maintain two parallel CVA frameworks and explain the divergence to both auditors and supervisors.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11.3  Model Risk in CVA</w:t>
      </w:r>
    </w:p>
    <w:p>
      <w:pPr>
        <w:spacing w:before="80" w:after="120"/>
      </w:pPr>
      <w:r>
        <w:rPr>
          <w:rFonts w:ascii="Arial" w:cs="Arial" w:eastAsia="Arial" w:hAnsi="Arial"/>
          <w:sz w:val="22"/>
          <w:szCs w:val="22"/>
        </w:rPr>
        <w:t xml:space="preserve">CVA is among the most model-intensive quantities in a bank's risk infrastructure. Monte Carlo simulation, stochastic model choices, calibration of default probability curves, treatment of wrong-way risk, and aggregation across netting sets all involve significant modelling assumptions. Small changes in assumptions can produce material CVA differences. Model risk is explicitly recognised in SA-CVA through add-ons for model uncertainty.</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11.4  The KVA/FVA Challenge to CVA Primacy</w:t>
      </w:r>
    </w:p>
    <w:p>
      <w:pPr>
        <w:spacing w:before="80" w:after="120"/>
      </w:pPr>
      <w:r>
        <w:rPr>
          <w:rFonts w:ascii="Arial" w:cs="Arial" w:eastAsia="Arial" w:hAnsi="Arial"/>
          <w:sz w:val="22"/>
          <w:szCs w:val="22"/>
        </w:rPr>
        <w:t xml:space="preserve">Under Basel IV's output floor and revised SA-CVA, the capital cost of holding derivatives — captured by KVA — has in some portfolios become larger than CVA itself. FVA has similarly emerged as a material pricing component that can dwarf CVA for certain trade types. The full XVA stack is required for accurate derivatives pricing — CVA alone is no longer sufficient.</w:t>
      </w:r>
      <w:r>
        <w:rPr>
          <w:rStyle w:val="FootnoteReference"/>
        </w:rPr>
        <w:footnoteReference w:id="[object Objec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12.  Credits &amp; Acknowledgements</w:t>
      </w:r>
    </w:p>
    <w:p>
      <w:pPr>
        <w:pStyle w:val="Heading2"/>
        <w:spacing w:before="280" w:after="140"/>
      </w:pPr>
      <w:r>
        <w:rPr>
          <w:rFonts w:ascii="Arial" w:cs="Arial" w:eastAsia="Arial" w:hAnsi="Arial"/>
          <w:b/>
          <w:bCs/>
          <w:color w:val="0D7377"/>
          <w:sz w:val="26"/>
          <w:szCs w:val="26"/>
        </w:rPr>
        <w:t xml:space="preserve">12.1  Author</w:t>
      </w:r>
    </w:p>
    <w:p>
      <w:pPr>
        <w:spacing w:before="80" w:after="120"/>
      </w:pPr>
      <w:r>
        <w:rPr>
          <w:rFonts w:ascii="Arial" w:cs="Arial" w:eastAsia="Arial" w:hAnsi="Arial"/>
          <w:sz w:val="22"/>
          <w:szCs w:val="22"/>
        </w:rPr>
        <w:t xml:space="preserve">This module was written by Sarthaka Nanda as part of the Practitioner Knowledge Repository — a structured, practitioner-grade educational series covering banking regulation and risk management. The series is designed for finance professionals, students, and regulators seeking rigorous but accessible coverage of topics including Basel accords, FRTB, xVA, liquidity risk, and related frameworks.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12.2  Community Review</w:t>
      </w:r>
    </w:p>
    <w:p>
      <w:pPr>
        <w:spacing w:before="80" w:after="120"/>
      </w:pPr>
      <w:r>
        <w:rPr>
          <w:rFonts w:ascii="Arial" w:cs="Arial" w:eastAsia="Arial" w:hAnsi="Arial"/>
          <w:sz w:val="22"/>
          <w:szCs w:val="22"/>
        </w:rPr>
        <w:t xml:space="preserve">Substantive review and feedback were provided by:</w:t>
      </w:r>
    </w:p>
    <w:p>
      <w:pPr>
        <w:pStyle w:val="ListParagraph"/>
        <w:numPr>
          <w:ilvl w:val="0"/>
          <w:numId w:val="2"/>
        </w:numPr>
        <w:spacing w:before="60" w:after="60"/>
      </w:pPr>
      <w:r>
        <w:rPr>
          <w:rFonts w:ascii="Arial" w:cs="Arial" w:eastAsia="Arial" w:hAnsi="Arial"/>
          <w:sz w:val="22"/>
          <w:szCs w:val="22"/>
        </w:rPr>
        <w:t xml:space="preserve">Gellért Peti — Reviewer, Sections 3 and 7. Feedback on formal CVA definition, regulatory CVA scope, and FRTB-CVA applicability conditions.</w:t>
      </w:r>
    </w:p>
    <w:p>
      <w:pPr>
        <w:spacing w:before="80" w:after="120"/>
      </w:pPr>
      <w:r>
        <w:rPr>
          <w:rFonts w:ascii="Arial" w:cs="Arial" w:eastAsia="Arial" w:hAnsi="Arial"/>
          <w:sz w:val="22"/>
          <w:szCs w:val="22"/>
        </w:rPr>
        <w:t xml:space="preserve">Community reviewers are credited for substantive contributions to content accuracy and depth. Reviewer credit reflects independent expertise and does not imply endorsement of all views expressed.</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12.3  Primary Academic and Practitioner Sources</w:t>
      </w:r>
    </w:p>
    <w:p>
      <w:pPr>
        <w:spacing w:before="80" w:after="120"/>
      </w:pPr>
      <w:r>
        <w:rPr>
          <w:rFonts w:ascii="Arial" w:cs="Arial" w:eastAsia="Arial" w:hAnsi="Arial"/>
          <w:sz w:val="22"/>
          <w:szCs w:val="22"/>
        </w:rPr>
        <w:t xml:space="preserve">This module draws most heavily on the following works, which are recommended for readers seeking deeper treatment:</w:t>
      </w:r>
    </w:p>
    <w:p>
      <w:pPr>
        <w:pStyle w:val="ListParagraph"/>
        <w:numPr>
          <w:ilvl w:val="0"/>
          <w:numId w:val="2"/>
        </w:numPr>
        <w:spacing w:before="60" w:after="60"/>
      </w:pPr>
      <w:r>
        <w:rPr>
          <w:rFonts w:ascii="Arial" w:cs="Arial" w:eastAsia="Arial" w:hAnsi="Arial"/>
          <w:sz w:val="22"/>
          <w:szCs w:val="22"/>
        </w:rPr>
        <w:t xml:space="preserve">Gregory, J. (2012, 2020). Counterparty Credit Risk and Credit Value Adjustment / The xVA Challenge. Wiley Finance. — The definitive practitioner reference for CVA, DVA, and xVA.</w:t>
      </w:r>
    </w:p>
    <w:p>
      <w:pPr>
        <w:pStyle w:val="ListParagraph"/>
        <w:numPr>
          <w:ilvl w:val="0"/>
          <w:numId w:val="2"/>
        </w:numPr>
        <w:spacing w:before="60" w:after="60"/>
      </w:pPr>
      <w:r>
        <w:rPr>
          <w:rFonts w:ascii="Arial" w:cs="Arial" w:eastAsia="Arial" w:hAnsi="Arial"/>
          <w:sz w:val="22"/>
          <w:szCs w:val="22"/>
        </w:rPr>
        <w:t xml:space="preserve">Brigo, D. &amp; Mercurio, F. (2006). Interest Rate Models — Theory and Practice. Springer. — Foundational treatment of default modelling and reduced-form approaches.</w:t>
      </w:r>
    </w:p>
    <w:p>
      <w:pPr>
        <w:pStyle w:val="ListParagraph"/>
        <w:numPr>
          <w:ilvl w:val="0"/>
          <w:numId w:val="2"/>
        </w:numPr>
        <w:spacing w:before="60" w:after="60"/>
      </w:pPr>
      <w:r>
        <w:rPr>
          <w:rFonts w:ascii="Arial" w:cs="Arial" w:eastAsia="Arial" w:hAnsi="Arial"/>
          <w:sz w:val="22"/>
          <w:szCs w:val="22"/>
        </w:rPr>
        <w:t xml:space="preserve">Hull, J. C. (2018). Options, Futures, and Other Derivatives. Pearson. — Standard reference for derivative pricing and credit risk fundamentals.</w:t>
      </w:r>
    </w:p>
    <w:p>
      <w:pPr>
        <w:pStyle w:val="ListParagraph"/>
        <w:numPr>
          <w:ilvl w:val="0"/>
          <w:numId w:val="2"/>
        </w:numPr>
        <w:spacing w:before="60" w:after="60"/>
      </w:pPr>
      <w:r>
        <w:rPr>
          <w:rFonts w:ascii="Arial" w:cs="Arial" w:eastAsia="Arial" w:hAnsi="Arial"/>
          <w:sz w:val="22"/>
          <w:szCs w:val="22"/>
        </w:rPr>
        <w:t xml:space="preserve">Duffie, D. &amp; Singleton, K. J. (1999). Modeling Term Structures of Defaultable Bonds. Review of Financial Studies. — Foundational paper for the hazard rate / reduced-form framework.</w:t>
      </w:r>
    </w:p>
    <w:p>
      <w:pPr>
        <w:pStyle w:val="ListParagraph"/>
        <w:numPr>
          <w:ilvl w:val="0"/>
          <w:numId w:val="2"/>
        </w:numPr>
        <w:spacing w:before="60" w:after="60"/>
      </w:pPr>
      <w:r>
        <w:rPr>
          <w:rFonts w:ascii="Arial" w:cs="Arial" w:eastAsia="Arial" w:hAnsi="Arial"/>
          <w:sz w:val="22"/>
          <w:szCs w:val="22"/>
        </w:rPr>
        <w:t xml:space="preserve">BCBS (2011, 2017). Basel III publications. Bank for International Settlements. — Primary regulatory source for CVA capital requirements.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12.4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Version</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Changes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v1.0 — March 2026</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Initial release. Sections 1–12, worked example, glossary.</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v2.0 — March 2026</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Added footnotes, full references section, and credits. No content changes.</w:t>
            </w:r>
          </w:p>
        </w:tc>
      </w:tr>
    </w:tbl>
    <w:p>
      <w:pPr>
        <w:spacing w:before="160" w:after="0"/>
      </w:pPr>
      <w:r>
        <w:t xml:space="preserve"/>
      </w:r>
    </w:p>
    <w:p>
      <w:r>
        <w:br w:type="page"/>
      </w:r>
    </w:p>
    <w:p>
      <w:pPr>
        <w:pStyle w:val="Heading1"/>
        <w:spacing w:before="360" w:after="180"/>
      </w:pPr>
      <w:r>
        <w:rPr>
          <w:rFonts w:ascii="Arial" w:cs="Arial" w:eastAsia="Arial" w:hAnsi="Arial"/>
          <w:b/>
          <w:bCs/>
          <w:color w:val="1A3A5C"/>
          <w:sz w:val="32"/>
          <w:szCs w:val="32"/>
        </w:rPr>
        <w:t xml:space="preserve">13.  References</w:t>
      </w:r>
    </w:p>
    <w:p>
      <w:pPr>
        <w:spacing w:before="80" w:after="120"/>
      </w:pPr>
      <w:r>
        <w:rPr>
          <w:rFonts w:ascii="Arial" w:cs="Arial" w:eastAsia="Arial" w:hAnsi="Arial"/>
          <w:sz w:val="22"/>
          <w:szCs w:val="22"/>
        </w:rPr>
        <w:t xml:space="preserve">References are organised by category. In-text footnotes use superscript numbering corresponding to the entries below.</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Regulatory and Official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Ref.</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Full Citation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Basel Committee on Banking Supervision (2011). Basel III: A Global Regulatory Framework for More Resilient Banks and Banking Systems (revised June 2011). BIS. https://www.bis.org/publ/bcbs189.pdf</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[10]</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Basel Committee on Banking Supervision (2017). Basel III: Finalising Post-Crisis Reforms. BIS. https://www.bis.org/bcbs/publ/d424.pdf</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European Banking Authority (2022). EBA Report on CVA Risk under the Revised Market Risk Framework (FRTB-CVA). EBA/REP/2022/06. https://www.eba.europa.eu</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[12]</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European Parliament and Council (2013). Regulation (EU) No 575/2013 — Capital Requirements Regulation (CRR). OJ L 176, 27.6.2013.</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European Parliament and Council (2012). Regulation (EU) No 648/2012 — EMIR. OJ L 201, 27.7.2012.</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[14]</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CFTC &amp; SEC (2011). Dodd-Frank Wall Street Reform and Consumer Protection Act — Title VII. https://www.cftc.gov/LawRegulation/DoddFrankAct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[24]</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Basel Committee on Banking Supervision (2015). Review of the CVA Risk Framework: Consultative Document. BIS. https://www.bis.org/bcbs/publ/d325.pdf</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[6]</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Basel Committee on Banking Supervision (2005). The Application of Basel II to Trading Activities and the Treatment of Double Default Effects. BIS. https://www.bis.org/publ/bcbs116.pdf</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Academic Papers and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Ref.</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Full Citation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[2]</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Gregory, J. (2012). Counterparty Credit Risk and Credit Value Adjustment: A Continuing Challenge for Global Financial Markets (2nd ed.). Wiley Finance.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[23]</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Gregory, J. (2020). The xVA Challenge: Counterparty Risk, Funding, Collateral, Capital and Initial Margin (4th ed.). Wiley Finance.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Hull, J. C. (2018). Options, Futures, and Other Derivatives (10th ed.). Pearson. Chapter 24.</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[5]</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Brigo, D. &amp; Mercurio, F. (2006). Interest Rate Models — Theory and Practice (2nd ed.). Springer Finance. Chapter 21.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[22]</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Duffie, D. &amp; Singleton, K. J. (1999). Modeling Term Structures of Defaultable Bonds. Review of Financial Studies, 12(4), 687–720.</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[7]</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Pykhtin, M. &amp; Zhu, S. (2007). A Guide to Modelling Counterparty Credit Risk. GARP Risk Review, July/August 2007. https://ssrn.com/abstract=1032522</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[8]</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Hull, J. C. &amp; White, A. (2012). CVA and Wrong Way Risk. Financial Analysts Journal, 68(5), 58–69.</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[9]</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Piterbarg, V. (2010). Funding Beyond Discounting: Collateral Agreements and Derivatives Pricing. Risk Magazine, February 2010.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[19]</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Arora, N., Gandhi, P. &amp; Longstaff, F. A. (2012). Counterparty Credit Risk and the Credit Default Swap Market. Journal of Financial Economics, 103(2), 280–293.</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[20]</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Brigo, D., Pallavicini, A. &amp; Torresetti, R. (2010). Credit Models and the Crisis. Wiley Finance. Chapter 5.</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Accounting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Ref.</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Full Citation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[15]</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International Accounting Standards Board (2011). IFRS 13: Fair Value Measurement. IFRS Foundation. https://www.ifrs.org/issued-standards/list-of-standards/ifrs-13-fair-value-measurement/</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[16]</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Financial Accounting Standards Board (2011). ASC Topic 820: Fair Value Measurement. FASB Accounting Standards Codification.</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Crisis and Market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Ref.</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Full Citation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[17]</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Bank for International Settlements (2011). The Impact of Derivative Collateralisation on Liquidity Risk. BIS Quarterly Review, September 2011.</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[18]</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Fleming, M. J. &amp; Sarkar, A. (2014). The Failure Resolution of Lehman Brothers. Federal Reserve Bank of New York Economic Policy Review, 20(2), 175–206.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[21]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IMF (2012). Global Financial Stability Report, April 2012: The Quest for Lasting Stability. https://www.imf.org/en/Publications/GFSR</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[25]</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Morgan Stanley (2011). Q3 2011 Financial Supplement. DVA gain reported. https://www.morganstanley.com/about-us-ir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[4]</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International Swaps and Derivatives Association (2002). ISDA Master Agreement (2002 Edition). https://www.isda.org/book/2002-isda-master-agreement/</w:t>
            </w:r>
          </w:p>
        </w:tc>
      </w:tr>
    </w:tbl>
    <w:p>
      <w:pPr>
        <w:spacing w:before="200" w:after="0"/>
      </w:pPr>
      <w:r>
        <w:t xml:space="preserve"/>
      </w:r>
    </w:p>
    <w:p>
      <w:r>
        <w:br w:type="page"/>
      </w:r>
    </w:p>
    <w:p>
      <w:pPr>
        <w:pStyle w:val="Heading1"/>
        <w:spacing w:before="360" w:after="180"/>
      </w:pPr>
      <w:r>
        <w:rPr>
          <w:rFonts w:ascii="Arial" w:cs="Arial" w:eastAsia="Arial" w:hAnsi="Arial"/>
          <w:b/>
          <w:bCs/>
          <w:color w:val="1A3A5C"/>
          <w:sz w:val="32"/>
          <w:szCs w:val="32"/>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Definition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BA-CVA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Basic CVA Approach — simplified regulatory capital method for CVA risk.</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BCVA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Bilateral CVA — CVA minus DVA; reflects two-sided credit risk.</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CDS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Credit Default Swap — instrument providing protection against a reference entity's default.</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CCR</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Counterparty Credit Risk — the risk that a derivatives counterparty defaults before settlement.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CCP</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Central Counterparty — a clearing house that eliminates bilateral credit risk on cleared trades.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CSA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Credit Support Annex — a bilateral collateral agreement under the ISDA Master Agreement.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Credit Valuation Adjustment — market value of counterparty default risk on a derivatives portfolio.</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DVA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Debt Valuation Adjustment — own-credit adjustment on derivatives liabilities.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EE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Expected Exposure — probability-weighted average positive exposure at a future point in time.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EPE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Expected Positive Exposure — time-averaged Expected Exposure; used in Basel capital formulas.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FVA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Funding Valuation Adjustment — cost of funding uncollateralised derivatives positions.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IMA-CVA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Internal Models Approach for CVA — advanced regulatory method under FRTB-CVA.</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KVA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Capital Valuation Adjustment — cost of regulatory capital consumed by a trade over its life.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LGD</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Loss Given Default — fraction of exposure lost upon default; = 1 minus recovery rate.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MVA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Margin Valuation Adjustment — cost of posting initial margin under UMR or CCP rules.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PD</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Probability of Default — likelihood of counterparty defaulting over a given horizon.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PFE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Potential Future Exposure — high-percentile forward exposure for credit limit management.</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SA-CVA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Standardised CVA Approach — sensitivities-based regulatory capital method under Basel III/FRTB.</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UMR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Uncleared Margin Rules — post-crisis framework requiring initial and variation margin on non-cleared OTC derivatives.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Wrong-Way Risk</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Adverse correlation between counterparty default probability and the bank's exposure to that counterparty.</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xVA / XVA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Collective term for all valuation adjustments (CVA, DVA, FVA, MVA, KVA, ColVA) on derivatives portfolios.</w:t>
            </w:r>
          </w:p>
        </w:tc>
      </w:tr>
    </w:tbl>
    <w:p>
      <w:pPr>
        <w:spacing w:before="200" w:after="0"/>
      </w:pPr>
      <w:r>
        <w:t xml:space="preserve"/>
      </w:r>
    </w:p>
    <w:p>
      <w:pPr>
        <w:pBdr>
          <w:bottom w:val="single" w:color="0D7377" w:sz="6" w:space="1"/>
        </w:pBdr>
        <w:spacing w:before="160" w:after="160"/>
      </w:pPr>
      <w:r>
        <w:t xml:space="preserve"/>
      </w:r>
    </w:p>
    <w:p>
      <w:pPr>
        <w:spacing w:before="120" w:after="60"/>
        <w:jc w:val="center"/>
      </w:pPr>
      <w:r>
        <w:rPr>
          <w:rFonts w:ascii="Arial" w:cs="Arial" w:eastAsia="Arial" w:hAnsi="Arial"/>
          <w:color w:val="888888"/>
          <w:sz w:val="18"/>
          <w:szCs w:val="18"/>
        </w:rPr>
        <w:t xml:space="preserve">Practitioner Knowledge Repository  •  Module 3: CVA and Counterparty Credit Risk  •  Sarthaka Nanda  •  March 2026</w:t>
      </w:r>
    </w:p>
    <w:p>
      <w:pPr>
        <w:spacing w:before="40" w:after="40"/>
        <w:jc w:val="center"/>
      </w:pPr>
      <w:r>
        <w:rPr>
          <w:rFonts w:ascii="Arial" w:cs="Arial" w:eastAsia="Arial" w:hAnsi="Arial"/>
          <w:i/>
          <w:iCs/>
          <w:color w:val="888888"/>
          <w:sz w:val="18"/>
          <w:szCs w:val="18"/>
        </w:rPr>
        <w:t xml:space="preserve">For educational and professional development purposes. Not investment or legal advice.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tabs>
        <w:tab w:val="right" w:pos="9026"/>
      </w:tabs>
      <w:spacing w:before="120" w:after="0"/>
    </w:pPr>
    <w:r>
      <w:rPr>
        <w:rFonts w:ascii="Arial" w:cs="Arial" w:eastAsia="Arial" w:hAnsi="Arial"/>
        <w:color w:val="888888"/>
        <w:sz w:val="18"/>
        <w:szCs w:val="18"/>
      </w:rPr>
      <w:t xml:space="preserve">March 2026  |  Version 2.0</w:t>
    </w:r>
    <w:r>
      <w:rPr>
        <w:rFonts w:ascii="Arial" w:cs="Arial" w:eastAsia="Arial" w:hAnsi="Arial"/>
        <w:sz w:val="18"/>
        <w:szCs w:val="18"/>
      </w:rPr>
      <w:t xml:space="preserve">	</w:t>
    </w:r>
    <w:r>
      <w:rPr>
        <w:rFonts w:ascii="Arial" w:cs="Arial" w:eastAsia="Arial" w:hAnsi="Arial"/>
        <w:i/>
        <w:iCs/>
        <w:color w:val="888888"/>
        <w:sz w:val="18"/>
        <w:szCs w:val="18"/>
      </w:rPr>
      <w:t xml:space="preserve">For educational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before="40" w:after="40"/>
      </w:pPr>
      <w:r>
        <w:rPr>
          <w:rStyle w:val="FootnoteReference"/>
        </w:rPr>
        <w:footnoteRef/>
      </w:r>
      <w:r>
        <w:rPr>
          <w:rFonts w:ascii="Arial" w:cs="Arial" w:eastAsia="Arial" w:hAnsi="Arial"/>
          <w:color w:val="444444"/>
          <w:sz w:val="18"/>
          <w:szCs w:val="18"/>
        </w:rPr>
        <w:t xml:space="preserve">Basel Committee on Banking Supervision (2011). Basel III: A Global Regulatory Framework for More Resilient Banks and Banking Systems (revised June 2011). Bank for International Settlements. https://www.bis.org/publ/bcbs189.pdf</w:t>
      </w:r>
    </w:p>
  </w:footnote>
  <w:footnote w:id="2">
    <w:p>
      <w:pPr>
        <w:spacing w:before="40" w:after="40"/>
      </w:pPr>
      <w:r>
        <w:rPr>
          <w:rStyle w:val="FootnoteReference"/>
        </w:rPr>
        <w:footnoteRef/>
      </w:r>
      <w:r>
        <w:rPr>
          <w:rFonts w:ascii="Arial" w:cs="Arial" w:eastAsia="Arial" w:hAnsi="Arial"/>
          <w:color w:val="444444"/>
          <w:sz w:val="18"/>
          <w:szCs w:val="18"/>
        </w:rPr>
        <w:t xml:space="preserve">Gregory, J. (2012). Counterparty Credit Risk and Credit Value Adjustment: A Continuing Challenge for Global Financial Markets (2nd ed.). Wiley Finance. Chapter 3.</w:t>
      </w:r>
    </w:p>
  </w:footnote>
  <w:footnote w:id="3">
    <w:p>
      <w:pPr>
        <w:spacing w:before="40" w:after="40"/>
      </w:pPr>
      <w:r>
        <w:rPr>
          <w:rStyle w:val="FootnoteReference"/>
        </w:rPr>
        <w:footnoteRef/>
      </w:r>
      <w:r>
        <w:rPr>
          <w:rFonts w:ascii="Arial" w:cs="Arial" w:eastAsia="Arial" w:hAnsi="Arial"/>
          <w:color w:val="444444"/>
          <w:sz w:val="18"/>
          <w:szCs w:val="18"/>
        </w:rPr>
        <w:t xml:space="preserve">Hull, J. C. (2018). Options, Futures, and Other Derivatives (10th ed.). Pearson. Chapter 24: Credit Risk.</w:t>
      </w:r>
    </w:p>
  </w:footnote>
  <w:footnote w:id="4">
    <w:p>
      <w:pPr>
        <w:spacing w:before="40" w:after="40"/>
      </w:pPr>
      <w:r>
        <w:rPr>
          <w:rStyle w:val="FootnoteReference"/>
        </w:rPr>
        <w:footnoteRef/>
      </w:r>
      <w:r>
        <w:rPr>
          <w:rFonts w:ascii="Arial" w:cs="Arial" w:eastAsia="Arial" w:hAnsi="Arial"/>
          <w:color w:val="444444"/>
          <w:sz w:val="18"/>
          <w:szCs w:val="18"/>
        </w:rPr>
        <w:t xml:space="preserve">International Swaps and Derivatives Association (ISDA). ISDA Master Agreement (2002 Edition). https://www.isda.org/book/2002-isda-master-agreement/</w:t>
      </w:r>
    </w:p>
  </w:footnote>
  <w:footnote w:id="5">
    <w:p>
      <w:pPr>
        <w:spacing w:before="40" w:after="40"/>
      </w:pPr>
      <w:r>
        <w:rPr>
          <w:rStyle w:val="FootnoteReference"/>
        </w:rPr>
        <w:footnoteRef/>
      </w:r>
      <w:r>
        <w:rPr>
          <w:rFonts w:ascii="Arial" w:cs="Arial" w:eastAsia="Arial" w:hAnsi="Arial"/>
          <w:color w:val="444444"/>
          <w:sz w:val="18"/>
          <w:szCs w:val="18"/>
        </w:rPr>
        <w:t xml:space="preserve">Brigo, D. &amp; Mercurio, F. (2006). Interest Rate Models — Theory and Practice (2nd ed.). Springer Finance. Chapter 21.</w:t>
      </w:r>
    </w:p>
  </w:footnote>
  <w:footnote w:id="6">
    <w:p>
      <w:pPr>
        <w:spacing w:before="40" w:after="40"/>
      </w:pPr>
      <w:r>
        <w:rPr>
          <w:rStyle w:val="FootnoteReference"/>
        </w:rPr>
        <w:footnoteRef/>
      </w:r>
      <w:r>
        <w:rPr>
          <w:rFonts w:ascii="Arial" w:cs="Arial" w:eastAsia="Arial" w:hAnsi="Arial"/>
          <w:color w:val="444444"/>
          <w:sz w:val="18"/>
          <w:szCs w:val="18"/>
        </w:rPr>
        <w:t xml:space="preserve">Basel Committee on Banking Supervision (2005). The Application of Basel II to Trading Activities and the Treatment of Double Default Effects. Bank for International Settlements. https://www.bis.org/publ/bcbs116.pdf</w:t>
      </w:r>
    </w:p>
  </w:footnote>
  <w:footnote w:id="7">
    <w:p>
      <w:pPr>
        <w:spacing w:before="40" w:after="40"/>
      </w:pPr>
      <w:r>
        <w:rPr>
          <w:rStyle w:val="FootnoteReference"/>
        </w:rPr>
        <w:footnoteRef/>
      </w:r>
      <w:r>
        <w:rPr>
          <w:rFonts w:ascii="Arial" w:cs="Arial" w:eastAsia="Arial" w:hAnsi="Arial"/>
          <w:color w:val="444444"/>
          <w:sz w:val="18"/>
          <w:szCs w:val="18"/>
        </w:rPr>
        <w:t xml:space="preserve">Pykhtin, M. &amp; Zhu, S. (2007). A Guide to Modelling Counterparty Credit Risk. GARP Risk Review, July/August 2007. https://ssrn.com/abstract=1032522</w:t>
      </w:r>
    </w:p>
  </w:footnote>
  <w:footnote w:id="8">
    <w:p>
      <w:pPr>
        <w:spacing w:before="40" w:after="40"/>
      </w:pPr>
      <w:r>
        <w:rPr>
          <w:rStyle w:val="FootnoteReference"/>
        </w:rPr>
        <w:footnoteRef/>
      </w:r>
      <w:r>
        <w:rPr>
          <w:rFonts w:ascii="Arial" w:cs="Arial" w:eastAsia="Arial" w:hAnsi="Arial"/>
          <w:color w:val="444444"/>
          <w:sz w:val="18"/>
          <w:szCs w:val="18"/>
        </w:rPr>
        <w:t xml:space="preserve">Hull, J. C. &amp; White, A. (2012). CVA and Wrong Way Risk. Financial Analysts Journal, 68(5), 58–69. https://doi.org/10.2469/faj.v68.n5.6</w:t>
      </w:r>
    </w:p>
  </w:footnote>
  <w:footnote w:id="9">
    <w:p>
      <w:pPr>
        <w:spacing w:before="40" w:after="40"/>
      </w:pPr>
      <w:r>
        <w:rPr>
          <w:rStyle w:val="FootnoteReference"/>
        </w:rPr>
        <w:footnoteRef/>
      </w:r>
      <w:r>
        <w:rPr>
          <w:rFonts w:ascii="Arial" w:cs="Arial" w:eastAsia="Arial" w:hAnsi="Arial"/>
          <w:color w:val="444444"/>
          <w:sz w:val="18"/>
          <w:szCs w:val="18"/>
        </w:rPr>
        <w:t xml:space="preserve">Piterbarg, V. (2010). Funding Beyond Discounting: Collateral Agreements and Derivatives Pricing. Risk Magazine, February 2010. (Foundational paper on FVA/xVA.)</w:t>
      </w:r>
    </w:p>
  </w:footnote>
  <w:footnote w:id="10">
    <w:p>
      <w:pPr>
        <w:spacing w:before="40" w:after="40"/>
      </w:pPr>
      <w:r>
        <w:rPr>
          <w:rStyle w:val="FootnoteReference"/>
        </w:rPr>
        <w:footnoteRef/>
      </w:r>
      <w:r>
        <w:rPr>
          <w:rFonts w:ascii="Arial" w:cs="Arial" w:eastAsia="Arial" w:hAnsi="Arial"/>
          <w:color w:val="444444"/>
          <w:sz w:val="18"/>
          <w:szCs w:val="18"/>
        </w:rPr>
        <w:t xml:space="preserve">Basel Committee on Banking Supervision (2017). Basel III: Finalising Post-Crisis Reforms. Bank for International Settlements. https://www.bis.org/bcbs/publ/d424.pdf</w:t>
      </w:r>
    </w:p>
  </w:footnote>
  <w:footnote w:id="11">
    <w:p>
      <w:pPr>
        <w:spacing w:before="40" w:after="40"/>
      </w:pPr>
      <w:r>
        <w:rPr>
          <w:rStyle w:val="FootnoteReference"/>
        </w:rPr>
        <w:footnoteRef/>
      </w:r>
      <w:r>
        <w:rPr>
          <w:rFonts w:ascii="Arial" w:cs="Arial" w:eastAsia="Arial" w:hAnsi="Arial"/>
          <w:color w:val="444444"/>
          <w:sz w:val="18"/>
          <w:szCs w:val="18"/>
        </w:rPr>
        <w:t xml:space="preserve">European Banking Authority (2022). EBA Report on CVA Risk under the Revised Market Risk Framework (FRTB-CVA). EBA/REP/2022/06. https://www.eba.europa.eu</w:t>
      </w:r>
    </w:p>
  </w:footnote>
  <w:footnote w:id="12">
    <w:p>
      <w:pPr>
        <w:spacing w:before="40" w:after="40"/>
      </w:pPr>
      <w:r>
        <w:rPr>
          <w:rStyle w:val="FootnoteReference"/>
        </w:rPr>
        <w:footnoteRef/>
      </w:r>
      <w:r>
        <w:rPr>
          <w:rFonts w:ascii="Arial" w:cs="Arial" w:eastAsia="Arial" w:hAnsi="Arial"/>
          <w:color w:val="444444"/>
          <w:sz w:val="18"/>
          <w:szCs w:val="18"/>
        </w:rPr>
        <w:t xml:space="preserve">European Parliament and Council (2013). Regulation (EU) No 575/2013 on Prudential Requirements for Credit Institutions and Investment Firms (Capital Requirements Regulation — CRR). OJ L 176, 27.6.2013. Article 33(1)(c).</w:t>
      </w:r>
    </w:p>
  </w:footnote>
  <w:footnote w:id="13">
    <w:p>
      <w:pPr>
        <w:spacing w:before="40" w:after="40"/>
      </w:pPr>
      <w:r>
        <w:rPr>
          <w:rStyle w:val="FootnoteReference"/>
        </w:rPr>
        <w:footnoteRef/>
      </w:r>
      <w:r>
        <w:rPr>
          <w:rFonts w:ascii="Arial" w:cs="Arial" w:eastAsia="Arial" w:hAnsi="Arial"/>
          <w:color w:val="444444"/>
          <w:sz w:val="18"/>
          <w:szCs w:val="18"/>
        </w:rPr>
        <w:t xml:space="preserve">European Parliament and Council (2012). Regulation (EU) No 648/2012 on OTC Derivatives, Central Counterparties and Trade Repositories (EMIR). OJ L 201, 27.7.2012.</w:t>
      </w:r>
    </w:p>
  </w:footnote>
  <w:footnote w:id="14">
    <w:p>
      <w:pPr>
        <w:spacing w:before="40" w:after="40"/>
      </w:pPr>
      <w:r>
        <w:rPr>
          <w:rStyle w:val="FootnoteReference"/>
        </w:rPr>
        <w:footnoteRef/>
      </w:r>
      <w:r>
        <w:rPr>
          <w:rFonts w:ascii="Arial" w:cs="Arial" w:eastAsia="Arial" w:hAnsi="Arial"/>
          <w:color w:val="444444"/>
          <w:sz w:val="18"/>
          <w:szCs w:val="18"/>
        </w:rPr>
        <w:t xml:space="preserve">US Commodity Futures Trading Commission &amp; Securities and Exchange Commission (2011). Dodd-Frank Wall Street Reform and Consumer Protection Act — Title VII Rulemakings. https://www.cftc.gov/LawRegulation/DoddFrankAct</w:t>
      </w:r>
    </w:p>
  </w:footnote>
  <w:footnote w:id="15">
    <w:p>
      <w:pPr>
        <w:spacing w:before="40" w:after="40"/>
      </w:pPr>
      <w:r>
        <w:rPr>
          <w:rStyle w:val="FootnoteReference"/>
        </w:rPr>
        <w:footnoteRef/>
      </w:r>
      <w:r>
        <w:rPr>
          <w:rFonts w:ascii="Arial" w:cs="Arial" w:eastAsia="Arial" w:hAnsi="Arial"/>
          <w:color w:val="444444"/>
          <w:sz w:val="18"/>
          <w:szCs w:val="18"/>
        </w:rPr>
        <w:t xml:space="preserve">International Accounting Standards Board (2011). IFRS 13: Fair Value Measurement. IFRS Foundation. https://www.ifrs.org/issued-standards/list-of-standards/ifrs-13-fair-value-measurement/</w:t>
      </w:r>
    </w:p>
  </w:footnote>
  <w:footnote w:id="16">
    <w:p>
      <w:pPr>
        <w:spacing w:before="40" w:after="40"/>
      </w:pPr>
      <w:r>
        <w:rPr>
          <w:rStyle w:val="FootnoteReference"/>
        </w:rPr>
        <w:footnoteRef/>
      </w:r>
      <w:r>
        <w:rPr>
          <w:rFonts w:ascii="Arial" w:cs="Arial" w:eastAsia="Arial" w:hAnsi="Arial"/>
          <w:color w:val="444444"/>
          <w:sz w:val="18"/>
          <w:szCs w:val="18"/>
        </w:rPr>
        <w:t xml:space="preserve">Financial Accounting Standards Board (2011). ASC Topic 820: Fair Value Measurement. FASB Accounting Standards Codification.</w:t>
      </w:r>
    </w:p>
  </w:footnote>
  <w:footnote w:id="17">
    <w:p>
      <w:pPr>
        <w:spacing w:before="40" w:after="40"/>
      </w:pPr>
      <w:r>
        <w:rPr>
          <w:rStyle w:val="FootnoteReference"/>
        </w:rPr>
        <w:footnoteRef/>
      </w:r>
      <w:r>
        <w:rPr>
          <w:rFonts w:ascii="Arial" w:cs="Arial" w:eastAsia="Arial" w:hAnsi="Arial"/>
          <w:color w:val="444444"/>
          <w:sz w:val="18"/>
          <w:szCs w:val="18"/>
        </w:rPr>
        <w:t xml:space="preserve">Bank for International Settlements (2011). The Impact of Derivative Collateralisation on Liquidity Risk. BIS Quarterly Review, September 2011.</w:t>
      </w:r>
    </w:p>
  </w:footnote>
  <w:footnote w:id="18">
    <w:p>
      <w:pPr>
        <w:spacing w:before="40" w:after="40"/>
      </w:pPr>
      <w:r>
        <w:rPr>
          <w:rStyle w:val="FootnoteReference"/>
        </w:rPr>
        <w:footnoteRef/>
      </w:r>
      <w:r>
        <w:rPr>
          <w:rFonts w:ascii="Arial" w:cs="Arial" w:eastAsia="Arial" w:hAnsi="Arial"/>
          <w:color w:val="444444"/>
          <w:sz w:val="18"/>
          <w:szCs w:val="18"/>
        </w:rPr>
        <w:t xml:space="preserve">Fleming, M. J. &amp; Sarkar, A. (2014). The Failure Resolution of Lehman Brothers. Federal Reserve Bank of New York Economic Policy Review, 20(2), 175–206.</w:t>
      </w:r>
    </w:p>
  </w:footnote>
  <w:footnote w:id="19">
    <w:p>
      <w:pPr>
        <w:spacing w:before="40" w:after="40"/>
      </w:pPr>
      <w:r>
        <w:rPr>
          <w:rStyle w:val="FootnoteReference"/>
        </w:rPr>
        <w:footnoteRef/>
      </w:r>
      <w:r>
        <w:rPr>
          <w:rFonts w:ascii="Arial" w:cs="Arial" w:eastAsia="Arial" w:hAnsi="Arial"/>
          <w:color w:val="444444"/>
          <w:sz w:val="18"/>
          <w:szCs w:val="18"/>
        </w:rPr>
        <w:t xml:space="preserve">Arora, N., Gandhi, P. &amp; Longstaff, F. A. (2012). Counterparty Credit Risk and the Credit Default Swap Market. Journal of Financial Economics, 103(2), 280–293.</w:t>
      </w:r>
    </w:p>
  </w:footnote>
  <w:footnote w:id="20">
    <w:p>
      <w:pPr>
        <w:spacing w:before="40" w:after="40"/>
      </w:pPr>
      <w:r>
        <w:rPr>
          <w:rStyle w:val="FootnoteReference"/>
        </w:rPr>
        <w:footnoteRef/>
      </w:r>
      <w:r>
        <w:rPr>
          <w:rFonts w:ascii="Arial" w:cs="Arial" w:eastAsia="Arial" w:hAnsi="Arial"/>
          <w:color w:val="444444"/>
          <w:sz w:val="18"/>
          <w:szCs w:val="18"/>
        </w:rPr>
        <w:t xml:space="preserve">Damiano Brigo, Andrea Pallavicini &amp; Roberto Torresetti (2010). Credit Models and the Crisis: A Journey into CDOs, Copulas, Correlations and Dynamic Models. Wiley Finance. Chapter 5 (monoline exposure).</w:t>
      </w:r>
    </w:p>
  </w:footnote>
  <w:footnote w:id="21">
    <w:p>
      <w:pPr>
        <w:spacing w:before="40" w:after="40"/>
      </w:pPr>
      <w:r>
        <w:rPr>
          <w:rStyle w:val="FootnoteReference"/>
        </w:rPr>
        <w:footnoteRef/>
      </w:r>
      <w:r>
        <w:rPr>
          <w:rFonts w:ascii="Arial" w:cs="Arial" w:eastAsia="Arial" w:hAnsi="Arial"/>
          <w:color w:val="444444"/>
          <w:sz w:val="18"/>
          <w:szCs w:val="18"/>
        </w:rPr>
        <w:t xml:space="preserve">IMF (2012). Global Financial Stability Report, April 2012: The Quest for Lasting Stability. Chapter 1. (Covers sovereign CVA and eurozone periphery stress.) https://www.imf.org/en/Publications/GFSR</w:t>
      </w:r>
    </w:p>
  </w:footnote>
  <w:footnote w:id="22">
    <w:p>
      <w:pPr>
        <w:spacing w:before="40" w:after="40"/>
      </w:pPr>
      <w:r>
        <w:rPr>
          <w:rStyle w:val="FootnoteReference"/>
        </w:rPr>
        <w:footnoteRef/>
      </w:r>
      <w:r>
        <w:rPr>
          <w:rFonts w:ascii="Arial" w:cs="Arial" w:eastAsia="Arial" w:hAnsi="Arial"/>
          <w:color w:val="444444"/>
          <w:sz w:val="18"/>
          <w:szCs w:val="18"/>
        </w:rPr>
        <w:t xml:space="preserve">Duffie, D. &amp; Singleton, K. J. (1999). Modeling Term Structures of Defaultable Bonds. Review of Financial Studies, 12(4), 687–720. (Foundational hazard rate / reduced-form default model.)</w:t>
      </w:r>
    </w:p>
  </w:footnote>
  <w:footnote w:id="23">
    <w:p>
      <w:pPr>
        <w:spacing w:before="40" w:after="40"/>
      </w:pPr>
      <w:r>
        <w:rPr>
          <w:rStyle w:val="FootnoteReference"/>
        </w:rPr>
        <w:footnoteRef/>
      </w:r>
      <w:r>
        <w:rPr>
          <w:rFonts w:ascii="Arial" w:cs="Arial" w:eastAsia="Arial" w:hAnsi="Arial"/>
          <w:color w:val="444444"/>
          <w:sz w:val="18"/>
          <w:szCs w:val="18"/>
        </w:rPr>
        <w:t xml:space="preserve">Gregory, J. (2020). The xVA Challenge: Counterparty Risk, Funding, Collateral, Capital and Initial Margin (4th ed.). Wiley Finance. Chapter 4 (xVA overview) and Chapter 17 (KVA).</w:t>
      </w:r>
    </w:p>
  </w:footnote>
  <w:footnote w:id="24">
    <w:p>
      <w:pPr>
        <w:spacing w:before="40" w:after="40"/>
      </w:pPr>
      <w:r>
        <w:rPr>
          <w:rStyle w:val="FootnoteReference"/>
        </w:rPr>
        <w:footnoteRef/>
      </w:r>
      <w:r>
        <w:rPr>
          <w:rFonts w:ascii="Arial" w:cs="Arial" w:eastAsia="Arial" w:hAnsi="Arial"/>
          <w:color w:val="444444"/>
          <w:sz w:val="18"/>
          <w:szCs w:val="18"/>
        </w:rPr>
        <w:t xml:space="preserve">BCBS (2015). Review of the Credit Valuation Adjustment (CVA) Risk Framework: Consultative Document. Bank for International Settlements. https://www.bis.org/bcbs/publ/d325.pdf</w:t>
      </w:r>
    </w:p>
  </w:footnote>
  <w:footnote w:id="25">
    <w:p>
      <w:pPr>
        <w:spacing w:before="40" w:after="40"/>
      </w:pPr>
      <w:r>
        <w:rPr>
          <w:rStyle w:val="FootnoteReference"/>
        </w:rPr>
        <w:footnoteRef/>
      </w:r>
      <w:r>
        <w:rPr>
          <w:rFonts w:ascii="Arial" w:cs="Arial" w:eastAsia="Arial" w:hAnsi="Arial"/>
          <w:color w:val="444444"/>
          <w:sz w:val="18"/>
          <w:szCs w:val="18"/>
        </w:rPr>
        <w:t xml:space="preserve">Morgan Stanley (2011). Q3 2011 Financial Supplement. DVA gain of approximately $3.4 billion reported. https://www.morganstanley.com/about-us-ir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tabs>
        <w:tab w:val="right" w:pos="9026"/>
      </w:tabs>
      <w:spacing w:before="0" w:after="120"/>
    </w:pPr>
    <w:r>
      <w:rPr>
        <w:rFonts w:ascii="Arial" w:cs="Arial" w:eastAsia="Arial" w:hAnsi="Arial"/>
        <w:color w:val="888888"/>
        <w:sz w:val="18"/>
        <w:szCs w:val="18"/>
      </w:rPr>
      <w:t xml:space="preserve">Practitioner Knowledge Repository  —  Module 3: CVA &amp; Counterparty Credit Risk</w:t>
    </w:r>
    <w:r>
      <w:rPr>
        <w:rFonts w:ascii="Arial" w:cs="Arial" w:eastAsia="Arial" w:hAnsi="Arial"/>
        <w:sz w:val="18"/>
        <w:szCs w:val="18"/>
      </w:rPr>
      <w:t xml:space="preserve">	</w:t>
    </w:r>
    <w:r>
      <w:rPr>
        <w:rFonts w:ascii="Arial" w:cs="Arial" w:eastAsia="Arial" w:hAnsi="Arial"/>
        <w:b/>
        <w:bCs/>
        <w:color w:val="0D7377"/>
        <w:sz w:val="18"/>
        <w:szCs w:val="18"/>
      </w:rPr>
      <w:t xml:space="preserve">Sarthaka Nanda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D737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2026-03-25T14:40:08.519Z</dcterms:created>
  <dcterms:modified xsi:type="dcterms:W3CDTF">2026-03-25T14:40:08.519Z</dcterms:modified>
</cp:coreProperties>
</file>

<file path=docProps/custom.xml><?xml version="1.0" encoding="utf-8"?>
<Properties xmlns="http://schemas.openxmlformats.org/officeDocument/2006/custom-properties" xmlns:vt="http://schemas.openxmlformats.org/officeDocument/2006/docPropsVTypes"/>
</file>