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FF6B00"/>
          <w:sz w:val="96"/>
          <w:szCs w:val="96"/>
        </w:rPr>
        <w:t xml:space="preserve">SAFECACHE</w:t>
      </w:r>
    </w:p>
    <w:p>
      <w:pPr>
        <w:spacing w:after="100" w:before="0"/>
      </w:pPr>
      <w:r>
        <w:rPr>
          <w:rFonts w:ascii="Arial" w:cs="Arial" w:eastAsia="Arial" w:hAnsi="Arial"/>
          <w:b/>
          <w:bCs/>
          <w:color w:val="1A1A1A"/>
          <w:sz w:val="40"/>
          <w:szCs w:val="40"/>
        </w:rPr>
        <w:t xml:space="preserve">Research Writeup: Concepts, Gaps &amp; Q&amp;A</w:t>
      </w:r>
    </w:p>
    <w:p>
      <w:pPr>
        <w:spacing w:after="600" w:before="0"/>
      </w:pPr>
      <w:r>
        <w:rPr>
          <w:rFonts w:ascii="Arial" w:cs="Arial" w:eastAsia="Arial" w:hAnsi="Arial"/>
          <w:i/>
          <w:iCs/>
          <w:color w:val="666666"/>
          <w:sz w:val="24"/>
          <w:szCs w:val="24"/>
        </w:rPr>
        <w:t xml:space="preserve">Gateway-Native Tiered Guardrail Caching for Production LLM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pPr>
              <w:spacing w:after="0" w:before="0"/>
            </w:pPr>
            <w:r>
              <w:rPr>
                <w:rFonts w:ascii="Arial" w:cs="Arial" w:eastAsia="Arial" w:hAnsi="Arial"/>
                <w:i/>
                <w:iCs/>
                <w:color w:val="E65100"/>
                <w:sz w:val="20"/>
                <w:szCs w:val="20"/>
              </w:rPr>
              <w:t xml:space="preserve">This document covers the four core research contributions of SafeCache in depth: what they are, why they matter, how they differ from existing work, and how to answer the hard questions a reviewer or colleague will ask. Read this before any discussion, presentation, or paper writing session.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Author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Sarthak Bhatkar</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Platform</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 Street RAI Gateway</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Scale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50K+ daily requests, 21 product teams, 150+ models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Target Venue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USENIX ATC 2027 / NeurIPS Safety Workshop 2026</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Timeline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 weeks build + measure + write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F6B00" w:val="clear"/>
            <w:tcMar>
              <w:top w:type="dxa" w:w="120"/>
              <w:left w:type="dxa" w:w="140"/>
              <w:bottom w:type="dxa" w:w="120"/>
              <w:right w:type="dxa" w:w="140"/>
            </w:tcMar>
            <w:vAlign w:val="center"/>
          </w:tcPr>
          <w:p>
            <w:pPr>
              <w:spacing w:after="0" w:before="0"/>
              <w:jc w:val="center"/>
            </w:pPr>
            <w:r>
              <w:rPr>
                <w:rFonts w:ascii="Arial" w:cs="Arial" w:eastAsia="Arial" w:hAnsi="Arial"/>
                <w:b/>
                <w:bCs/>
                <w:color w:val="FFFFFF"/>
                <w:sz w:val="36"/>
                <w:szCs w:val="36"/>
              </w:rPr>
              <w:t xml:space="preserve">01</w:t>
            </w:r>
          </w:p>
        </w:tc>
        <w:tc>
          <w:tcPr>
            <w:tcW w:type="dxa" w:w="8160"/>
            <w:tcBorders>
              <w:top w:val="none" w:color="FFFFFF" w:sz="0"/>
              <w:left w:val="none" w:color="FFFFFF" w:sz="0"/>
              <w:bottom w:val="none" w:color="FFFFFF" w:sz="0"/>
              <w:right w:val="none" w:color="FFFFFF" w:sz="0"/>
            </w:tcBorders>
            <w:shd w:fill="1A1A1A" w:val="clear"/>
            <w:tcMar>
              <w:top w:type="dxa" w:w="120"/>
              <w:left w:type="dxa" w:w="200"/>
              <w:bottom w:type="dxa" w:w="120"/>
              <w:right w:type="dxa" w:w="140"/>
            </w:tcMar>
          </w:tcPr>
          <w:p>
            <w:pPr>
              <w:spacing w:after="0" w:before="0"/>
            </w:pPr>
            <w:r>
              <w:rPr>
                <w:rFonts w:ascii="Arial" w:cs="Arial" w:eastAsia="Arial" w:hAnsi="Arial"/>
                <w:b/>
                <w:bCs/>
                <w:color w:val="FFFFFF"/>
                <w:sz w:val="28"/>
                <w:szCs w:val="28"/>
              </w:rPr>
              <w:t xml:space="preserve">Guardrail Redundancy Measurement</w:t>
            </w:r>
          </w:p>
        </w:tc>
      </w:tr>
    </w:tbl>
    <w:p>
      <w:pPr>
        <w:spacing w:after="40" w:before="40"/>
      </w:pPr>
    </w:p>
    <w:p>
      <w:pPr>
        <w:spacing w:after="120" w:before="300"/>
      </w:pPr>
      <w:r>
        <w:rPr>
          <w:rFonts w:ascii="Arial" w:cs="Arial" w:eastAsia="Arial" w:hAnsi="Arial"/>
          <w:b/>
          <w:bCs/>
          <w:color w:val="0D47A1"/>
          <w:sz w:val="26"/>
          <w:szCs w:val="26"/>
        </w:rPr>
        <w:t xml:space="preserve">What Is It?</w:t>
      </w:r>
    </w:p>
    <w:p>
      <w:pPr>
        <w:spacing w:after="100" w:before="60"/>
      </w:pPr>
      <w:r>
        <w:rPr>
          <w:rFonts w:ascii="Arial" w:cs="Arial" w:eastAsia="Arial" w:hAnsi="Arial"/>
          <w:b w:val="false"/>
          <w:bCs w:val="false"/>
          <w:color w:val="1A1A1A"/>
          <w:sz w:val="20"/>
          <w:szCs w:val="20"/>
        </w:rPr>
        <w:t xml:space="preserve">In any production LLM gateway, thousands of requests arrive every hour. Many of them are semantically identical or near-identical in safety terms: the same employee asking the same kind of question, the same application retrying a failed request, or users across 21 teams sending prompts that are safety-equivalent even if worded differently. Every single one of those requests currently runs through the full guardrail pipeline: PII detection, jailbreak classification, toxicity checks. That is redundant computation.</w:t>
      </w:r>
    </w:p>
    <w:p>
      <w:pPr>
        <w:spacing w:after="100" w:before="60"/>
      </w:pPr>
      <w:r>
        <w:rPr>
          <w:rFonts w:ascii="Arial" w:cs="Arial" w:eastAsia="Arial" w:hAnsi="Arial"/>
          <w:b w:val="false"/>
          <w:bCs w:val="false"/>
          <w:color w:val="1A1A1A"/>
          <w:sz w:val="20"/>
          <w:szCs w:val="20"/>
        </w:rPr>
        <w:t xml:space="preserve">Guardrail Redundancy Measurement is the empirical study of how large that redundancy actually is in real production traffic. You embed every prompt, compute pairwise similarity across rolling time windows (1hr, 6hr, 24hr), cross-reference with the guardrail verdict each prompt received, and ask: at what similarity threshold do two prompts reliably receive the same verdict?</w:t>
      </w:r>
    </w:p>
    <w:p>
      <w:pPr>
        <w:spacing w:after="40" w:before="40"/>
      </w:pPr>
    </w:p>
    <w:p>
      <w:pPr>
        <w:spacing w:after="120" w:before="300"/>
      </w:pPr>
      <w:r>
        <w:rPr>
          <w:rFonts w:ascii="Arial" w:cs="Arial" w:eastAsia="Arial" w:hAnsi="Arial"/>
          <w:b/>
          <w:bCs/>
          <w:color w:val="C62828"/>
          <w:sz w:val="26"/>
          <w:szCs w:val="26"/>
        </w:rPr>
        <w:t xml:space="preserve">Why Does This Not Exist in the Literature?</w:t>
      </w:r>
    </w:p>
    <w:p>
      <w:pPr>
        <w:spacing w:after="100" w:before="60"/>
      </w:pPr>
      <w:r>
        <w:rPr>
          <w:rFonts w:ascii="Arial" w:cs="Arial" w:eastAsia="Arial" w:hAnsi="Arial"/>
          <w:b w:val="false"/>
          <w:bCs w:val="false"/>
          <w:color w:val="1A1A1A"/>
          <w:sz w:val="20"/>
          <w:szCs w:val="20"/>
        </w:rPr>
        <w:t xml:space="preserve">Every existing guardrail benchmark measures latency in isolation: one request, one GPU, sequential evaluation. LlamaGuard 2 at 141ms. NeMo at 491ms. These numbers are real but misleading. They say nothing about how many of those evaluations were necessary in the first place, and they say nothing about how latency degrades when 21 teams are hitting the same guardrail pipeline concurrently.</w:t>
      </w:r>
    </w:p>
    <w:p>
      <w:pPr>
        <w:spacing w:after="100" w:before="60"/>
      </w:pPr>
      <w:r>
        <w:rPr>
          <w:rFonts w:ascii="Arial" w:cs="Arial" w:eastAsia="Arial" w:hAnsi="Arial"/>
          <w:b w:val="false"/>
          <w:bCs w:val="false"/>
          <w:color w:val="1A1A1A"/>
          <w:sz w:val="20"/>
          <w:szCs w:val="20"/>
        </w:rPr>
        <w:t xml:space="preserve">No academic lab has a production gateway with 50K daily requests and multi-tenant load. They cannot run this study. You can. That is the entire value of this contribution.</w:t>
      </w:r>
    </w:p>
    <w:p>
      <w:pPr>
        <w:spacing w:after="40" w:before="40"/>
      </w:pPr>
    </w:p>
    <w:p>
      <w:pPr>
        <w:spacing w:after="120" w:before="300"/>
      </w:pPr>
      <w:r>
        <w:rPr>
          <w:rFonts w:ascii="Arial" w:cs="Arial" w:eastAsia="Arial" w:hAnsi="Arial"/>
          <w:b/>
          <w:bCs/>
          <w:color w:val="1B5E20"/>
          <w:sz w:val="26"/>
          <w:szCs w:val="26"/>
        </w:rPr>
        <w:t xml:space="preserve">The Core Measurement</w:t>
      </w:r>
    </w:p>
    <w:p>
      <w:pPr>
        <w:spacing w:after="100" w:before="60"/>
      </w:pPr>
      <w:r>
        <w:rPr>
          <w:rFonts w:ascii="Arial" w:cs="Arial" w:eastAsia="Arial" w:hAnsi="Arial"/>
          <w:b w:val="false"/>
          <w:bCs w:val="false"/>
          <w:color w:val="1A1A1A"/>
          <w:sz w:val="20"/>
          <w:szCs w:val="20"/>
        </w:rPr>
        <w:t xml:space="preserve">You need three things from your gateway logs:</w:t>
      </w:r>
    </w:p>
    <w:p>
      <w:pPr>
        <w:pStyle w:val="ListParagraph"/>
        <w:numPr>
          <w:ilvl w:val="0"/>
          <w:numId w:val="2"/>
        </w:numPr>
        <w:spacing w:after="60" w:before="40"/>
      </w:pPr>
      <w:r>
        <w:rPr>
          <w:rFonts w:ascii="Arial" w:cs="Arial" w:eastAsia="Arial" w:hAnsi="Arial"/>
          <w:b w:val="false"/>
          <w:bCs w:val="false"/>
          <w:color w:val="1A1A1A"/>
          <w:sz w:val="20"/>
          <w:szCs w:val="20"/>
        </w:rPr>
        <w:t xml:space="preserve">Prompt embeddings (computed offline from logs using sentence-transformers, not raw prompts)</w:t>
      </w:r>
    </w:p>
    <w:p>
      <w:pPr>
        <w:pStyle w:val="ListParagraph"/>
        <w:numPr>
          <w:ilvl w:val="0"/>
          <w:numId w:val="2"/>
        </w:numPr>
        <w:spacing w:after="60" w:before="40"/>
      </w:pPr>
      <w:r>
        <w:rPr>
          <w:rFonts w:ascii="Arial" w:cs="Arial" w:eastAsia="Arial" w:hAnsi="Arial"/>
          <w:b w:val="false"/>
          <w:bCs w:val="false"/>
          <w:color w:val="1A1A1A"/>
          <w:sz w:val="20"/>
          <w:szCs w:val="20"/>
        </w:rPr>
        <w:t xml:space="preserve">Guardrail verdict per request: BLOCK, ALLOW, or FLAGGED</w:t>
      </w:r>
    </w:p>
    <w:p>
      <w:pPr>
        <w:pStyle w:val="ListParagraph"/>
        <w:numPr>
          <w:ilvl w:val="0"/>
          <w:numId w:val="2"/>
        </w:numPr>
        <w:spacing w:after="60" w:before="40"/>
      </w:pPr>
      <w:r>
        <w:rPr>
          <w:rFonts w:ascii="Arial" w:cs="Arial" w:eastAsia="Arial" w:hAnsi="Arial"/>
          <w:b w:val="false"/>
          <w:bCs w:val="false"/>
          <w:color w:val="1A1A1A"/>
          <w:sz w:val="20"/>
          <w:szCs w:val="20"/>
        </w:rPr>
        <w:t xml:space="preserve">Timestamp and tenant ID (anonymized)</w:t>
      </w:r>
    </w:p>
    <w:p>
      <w:pPr>
        <w:spacing w:after="40" w:before="40"/>
      </w:pPr>
    </w:p>
    <w:p>
      <w:pPr>
        <w:spacing w:after="100" w:before="60"/>
      </w:pPr>
      <w:r>
        <w:rPr>
          <w:rFonts w:ascii="Arial" w:cs="Arial" w:eastAsia="Arial" w:hAnsi="Arial"/>
          <w:b w:val="false"/>
          <w:bCs w:val="false"/>
          <w:color w:val="1A1A1A"/>
          <w:sz w:val="20"/>
          <w:szCs w:val="20"/>
        </w:rPr>
        <w:t xml:space="preserve">The analysis then proceeds in two steps:</w:t>
      </w:r>
    </w:p>
    <w:p>
      <w:pPr>
        <w:pStyle w:val="ListParagraph"/>
        <w:numPr>
          <w:ilvl w:val="0"/>
          <w:numId w:val="3"/>
        </w:numPr>
        <w:spacing w:after="60" w:before="40"/>
      </w:pPr>
      <w:r>
        <w:rPr>
          <w:rFonts w:ascii="Arial" w:cs="Arial" w:eastAsia="Arial" w:hAnsi="Arial"/>
          <w:sz w:val="20"/>
          <w:szCs w:val="20"/>
        </w:rPr>
        <w:t xml:space="preserve">For every pair of requests within a rolling window, compute cosine similarity between their embeddings</w:t>
      </w:r>
    </w:p>
    <w:p>
      <w:pPr>
        <w:pStyle w:val="ListParagraph"/>
        <w:numPr>
          <w:ilvl w:val="0"/>
          <w:numId w:val="3"/>
        </w:numPr>
        <w:spacing w:after="60" w:before="40"/>
      </w:pPr>
      <w:r>
        <w:rPr>
          <w:rFonts w:ascii="Arial" w:cs="Arial" w:eastAsia="Arial" w:hAnsi="Arial"/>
          <w:sz w:val="20"/>
          <w:szCs w:val="20"/>
        </w:rPr>
        <w:t xml:space="preserve">Plot the verdict-agreement rate as a function of similarity threshold, broken down by window size and threat category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60"/>
              <w:left w:type="dxa" w:w="240"/>
              <w:bottom w:type="dxa" w:w="160"/>
              <w:right w:type="dxa" w:w="240"/>
            </w:tcMar>
          </w:tcPr>
          <w:p>
            <w:pPr>
              <w:spacing w:after="0" w:before="0"/>
            </w:pPr>
            <w:r>
              <w:rPr>
                <w:rFonts w:ascii="Arial" w:cs="Arial" w:eastAsia="Arial" w:hAnsi="Arial"/>
                <w:i/>
                <w:iCs/>
                <w:color w:val="0D47A1"/>
                <w:sz w:val="20"/>
                <w:szCs w:val="20"/>
              </w:rPr>
              <w:t xml:space="preserve">The key number: if X% of requests have a near-identical counterpart within the last 24 hours that received the same verdict, that is your headline finding. If X is 30% or higher, you have a paper.</w:t>
            </w:r>
          </w:p>
        </w:tc>
      </w:tr>
    </w:tbl>
    <w:p>
      <w:pPr>
        <w:spacing w:after="40" w:before="40"/>
      </w:pPr>
    </w:p>
    <w:p>
      <w:pPr>
        <w:spacing w:after="120" w:before="300"/>
      </w:pPr>
      <w:r>
        <w:rPr>
          <w:rFonts w:ascii="Arial" w:cs="Arial" w:eastAsia="Arial" w:hAnsi="Arial"/>
          <w:b/>
          <w:bCs/>
          <w:color w:val="4A148C"/>
          <w:sz w:val="26"/>
          <w:szCs w:val="26"/>
        </w:rPr>
        <w:t xml:space="preserve">Questions and Answers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Why is this a research contribution and not just an engineering observation?</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Because the measurement itself produces a novel empirical finding the community does not have. The guardrail literature assumes every request needs full evaluation. If your data shows that 30-40% of evaluations are redundant, that assumption is wrong and the entire field has been optimizing the wrong thing. Measurement papers that overturn baseline assumptions are a standard category at USENIX ATC and EuroSys. The measurement is the contribution.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What if the redundancy rate turns out to be low, say 10-15%?</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paper still works, just with a different framing. Low global redundancy with high per-tenant concentration is actually an interesting finding: it means caching is not uniformly useful but is highly valuable for specific tenant types. You then design a selective cache that only activates for high-redundancy tenants. The finding shapes the system rather than killing it.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Does this require exposing raw prompt content from production?</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No. You compute embeddings offline from logs. The embeddings are 768-dimensional float vectors with no recoverable text content. The analysis never requires or exposes raw prompts. What you need from legal is permission to use anonymized embedding vectors and verdict labels for research. That is a much narrower ask than 'use production data'.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How do you handle the fact that different guardrail checks may have different redundancy rates?</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You stratify by threat category. PII detection likely has very high redundancy because most prompts either contain PII or they do not, and this is stable over time. Jailbreak detection will have lower redundancy because attackers vary prompts deliberately. Toxicity sits somewhere in between. Presenting per-category redundancy curves is actually stronger than a single aggregate number because it directly motivates the per-category threshold design in SafeCache.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A reviewer says: this is just a cache hit rate analysis. Why is it a paper?</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Because it is the first time this analysis has been done at production scale for safety verdicts specifically, under real concurrent multi-tenant load, with per-category and per-tenant breakdown. Cache hit rate analysis for LLM responses exists in GPTCache and vCache. Safety verdict redundancy is a different problem because the cost of a false cache hit is not a bad response, it is a missed jailbreak. The measurement must account for that asymmetric cost. That distinction is what makes it a research contribution rather than an engineering report.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Metric</w:t>
            </w:r>
          </w:p>
        </w:tc>
        <w:tc>
          <w:tcPr>
            <w:tcW w:type="dxa" w:w="312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What It Tells You</w:t>
            </w:r>
          </w:p>
        </w:tc>
        <w:tc>
          <w:tcPr>
            <w:tcW w:type="dxa" w:w="312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Target Value</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Redundancy rate at ε=0.92</w:t>
            </w:r>
          </w:p>
        </w:tc>
        <w:tc>
          <w:tcPr>
            <w:tcW w:type="dxa" w:w="312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Fraction of requests that are safety-equivalent within 24hr window</w:t>
            </w:r>
          </w:p>
        </w:tc>
        <w:tc>
          <w:tcPr>
            <w:tcW w:type="dxa" w:w="312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&gt;25% = strong paper; 15-25% = still publishable</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Verdict agreement at ε=0.92</w:t>
            </w:r>
          </w:p>
        </w:tc>
        <w:tc>
          <w:tcPr>
            <w:tcW w:type="dxa" w:w="312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 of pairs at that similarity with matching verdicts</w:t>
            </w:r>
          </w:p>
        </w:tc>
        <w:tc>
          <w:tcPr>
            <w:tcW w:type="dxa" w:w="312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&gt;95% = safe to cache</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Redundancy by threat category</w:t>
            </w:r>
          </w:p>
        </w:tc>
        <w:tc>
          <w:tcPr>
            <w:tcW w:type="dxa" w:w="312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PII vs jailbreak vs toxicity: which type repeats most</w:t>
            </w:r>
          </w:p>
        </w:tc>
        <w:tc>
          <w:tcPr>
            <w:tcW w:type="dxa" w:w="3120"/>
            <w:tcBorders>
              <w:top w:val="single" w:color="D0D0D0" w:sz="1"/>
              <w:left w:val="single" w:color="D0D0D0" w:sz="1"/>
              <w:bottom w:val="single" w:color="D0D0D0" w:sz="1"/>
              <w:right w:val="single" w:color="D0D0D0" w:sz="1"/>
            </w:tcBorders>
            <w:shd w:fill="FFF3E0"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PII expected highest, jailbreak lowest</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Latency under concurrent load</w:t>
            </w:r>
          </w:p>
        </w:tc>
        <w:tc>
          <w:tcPr>
            <w:tcW w:type="dxa" w:w="312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How much worse is real-world guardrail latency vs single-request benchmarks</w:t>
            </w:r>
          </w:p>
        </w:tc>
        <w:tc>
          <w:tcPr>
            <w:tcW w:type="dxa" w:w="3120"/>
            <w:tcBorders>
              <w:top w:val="single" w:color="D0D0D0" w:sz="1"/>
              <w:left w:val="single" w:color="D0D0D0" w:sz="1"/>
              <w:bottom w:val="single" w:color="D0D0D0" w:sz="1"/>
              <w:right w:val="single" w:color="D0D0D0" w:sz="1"/>
            </w:tcBorders>
            <w:shd w:fill="FFEBEE"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2-5x degradation expected; confirms the problem is real</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0D47A1" w:val="clear"/>
            <w:tcMar>
              <w:top w:type="dxa" w:w="120"/>
              <w:left w:type="dxa" w:w="140"/>
              <w:bottom w:type="dxa" w:w="120"/>
              <w:right w:type="dxa" w:w="140"/>
            </w:tcMar>
            <w:vAlign w:val="center"/>
          </w:tcPr>
          <w:p>
            <w:pPr>
              <w:spacing w:after="0" w:before="0"/>
              <w:jc w:val="center"/>
            </w:pPr>
            <w:r>
              <w:rPr>
                <w:rFonts w:ascii="Arial" w:cs="Arial" w:eastAsia="Arial" w:hAnsi="Arial"/>
                <w:b/>
                <w:bCs/>
                <w:color w:val="FFFFFF"/>
                <w:sz w:val="36"/>
                <w:szCs w:val="36"/>
              </w:rPr>
              <w:t xml:space="preserve">02</w:t>
            </w:r>
          </w:p>
        </w:tc>
        <w:tc>
          <w:tcPr>
            <w:tcW w:type="dxa" w:w="8160"/>
            <w:tcBorders>
              <w:top w:val="none" w:color="FFFFFF" w:sz="0"/>
              <w:left w:val="none" w:color="FFFFFF" w:sz="0"/>
              <w:bottom w:val="none" w:color="FFFFFF" w:sz="0"/>
              <w:right w:val="none" w:color="FFFFFF" w:sz="0"/>
            </w:tcBorders>
            <w:shd w:fill="1A1A1A" w:val="clear"/>
            <w:tcMar>
              <w:top w:type="dxa" w:w="120"/>
              <w:left w:type="dxa" w:w="200"/>
              <w:bottom w:type="dxa" w:w="120"/>
              <w:right w:type="dxa" w:w="140"/>
            </w:tcMar>
          </w:tcPr>
          <w:p>
            <w:pPr>
              <w:spacing w:after="0" w:before="0"/>
            </w:pPr>
            <w:r>
              <w:rPr>
                <w:rFonts w:ascii="Arial" w:cs="Arial" w:eastAsia="Arial" w:hAnsi="Arial"/>
                <w:b/>
                <w:bCs/>
                <w:color w:val="FFFFFF"/>
                <w:sz w:val="28"/>
                <w:szCs w:val="28"/>
              </w:rPr>
              <w:t xml:space="preserve">Safety-Similarity Tradeoff Curve</w:t>
            </w:r>
          </w:p>
        </w:tc>
      </w:tr>
    </w:tbl>
    <w:p>
      <w:pPr>
        <w:spacing w:after="40" w:before="40"/>
      </w:pPr>
    </w:p>
    <w:p>
      <w:pPr>
        <w:spacing w:after="120" w:before="300"/>
      </w:pPr>
      <w:r>
        <w:rPr>
          <w:rFonts w:ascii="Arial" w:cs="Arial" w:eastAsia="Arial" w:hAnsi="Arial"/>
          <w:b/>
          <w:bCs/>
          <w:color w:val="0D47A1"/>
          <w:sz w:val="26"/>
          <w:szCs w:val="26"/>
        </w:rPr>
        <w:t xml:space="preserve">What Is It?</w:t>
      </w:r>
    </w:p>
    <w:p>
      <w:pPr>
        <w:spacing w:after="100" w:before="60"/>
      </w:pPr>
      <w:r>
        <w:rPr>
          <w:rFonts w:ascii="Arial" w:cs="Arial" w:eastAsia="Arial" w:hAnsi="Arial"/>
          <w:b w:val="false"/>
          <w:bCs w:val="false"/>
          <w:color w:val="1A1A1A"/>
          <w:sz w:val="20"/>
          <w:szCs w:val="20"/>
        </w:rPr>
        <w:t xml:space="preserve">Semantic similarity is already used in LLM response caching: if two prompts are close enough in embedding space, serve the cached response. The assumption is that semantically similar prompts deserve semantically similar answers.</w:t>
      </w:r>
    </w:p>
    <w:p>
      <w:pPr>
        <w:spacing w:after="100" w:before="60"/>
      </w:pPr>
      <w:r>
        <w:rPr>
          <w:rFonts w:ascii="Arial" w:cs="Arial" w:eastAsia="Arial" w:hAnsi="Arial"/>
          <w:b w:val="false"/>
          <w:bCs w:val="false"/>
          <w:color w:val="1A1A1A"/>
          <w:sz w:val="20"/>
          <w:szCs w:val="20"/>
        </w:rPr>
        <w:t xml:space="preserve">For safety verdicts, this assumption breaks down in a specific and dangerous way. A jailbreak paraphrase is deliberately crafted to be semantically distant from known jailbreaks while preserving the harmful intent. Standard cosine similarity will not flag it as similar to a previously blocked prompt. You cache an ALLOW verdict when you should re-evaluate.</w:t>
      </w:r>
    </w:p>
    <w:p>
      <w:pPr>
        <w:spacing w:after="100" w:before="60"/>
      </w:pPr>
      <w:r>
        <w:rPr>
          <w:rFonts w:ascii="Arial" w:cs="Arial" w:eastAsia="Arial" w:hAnsi="Arial"/>
          <w:b w:val="false"/>
          <w:bCs w:val="false"/>
          <w:color w:val="1A1A1A"/>
          <w:sz w:val="20"/>
          <w:szCs w:val="20"/>
        </w:rPr>
        <w:t xml:space="preserve">The Safety-Similarity Tradeoff Curve is the empirical characterization of exactly where this breaks. You take a set of blocked prompts, generate paraphrases at controlled similarity distances, run your guardrail on all of them, and plot: at what similarity score does verdict agreement drop below 99%? 95%? 90%? You do this per threat category. The resulting curves are the analytical foundation of every design decision in SafeCache.</w:t>
      </w:r>
    </w:p>
    <w:p>
      <w:pPr>
        <w:spacing w:after="40" w:before="40"/>
      </w:pPr>
    </w:p>
    <w:p>
      <w:pPr>
        <w:spacing w:after="120" w:before="300"/>
      </w:pPr>
      <w:r>
        <w:rPr>
          <w:rFonts w:ascii="Arial" w:cs="Arial" w:eastAsia="Arial" w:hAnsi="Arial"/>
          <w:b/>
          <w:bCs/>
          <w:color w:val="C62828"/>
          <w:sz w:val="26"/>
          <w:szCs w:val="26"/>
        </w:rPr>
        <w:t xml:space="preserve">Why Does This Not Exist in the Literature?</w:t>
      </w:r>
    </w:p>
    <w:p>
      <w:pPr>
        <w:spacing w:after="100" w:before="60"/>
      </w:pPr>
      <w:r>
        <w:rPr>
          <w:rFonts w:ascii="Arial" w:cs="Arial" w:eastAsia="Arial" w:hAnsi="Arial"/>
          <w:b w:val="false"/>
          <w:bCs w:val="false"/>
          <w:color w:val="1A1A1A"/>
          <w:sz w:val="20"/>
          <w:szCs w:val="20"/>
        </w:rPr>
        <w:t xml:space="preserve">Semantic caching research tunes similarity for response quality. If a cached response is slightly wrong, the user gets a mildly inaccurate answer. The cost is low. Papers like vCache and Krites optimize the similarity threshold to maximize hit rate while keeping response quality above some acceptable floor. They use BLEU scores, ROUGE, or human preference ratings as quality proxies.</w:t>
      </w:r>
    </w:p>
    <w:p>
      <w:pPr>
        <w:spacing w:after="100" w:before="60"/>
      </w:pPr>
      <w:r>
        <w:rPr>
          <w:rFonts w:ascii="Arial" w:cs="Arial" w:eastAsia="Arial" w:hAnsi="Arial"/>
          <w:b w:val="false"/>
          <w:bCs w:val="false"/>
          <w:color w:val="1A1A1A"/>
          <w:sz w:val="20"/>
          <w:szCs w:val="20"/>
        </w:rPr>
        <w:t xml:space="preserve">Nobody has published the equivalent curve for safety verdicts because nobody has asked the right question: what is the right notion of equivalence for guardrail verdict reuse, where the cost of a false cache hit is not a bad answer but a missed jailbreak? That question requires a different dataset, a different evaluation metric, and a different threshold philosophy. That is the gap.</w:t>
      </w:r>
    </w:p>
    <w:p>
      <w:pPr>
        <w:spacing w:after="40" w:before="40"/>
      </w:pPr>
    </w:p>
    <w:p>
      <w:pPr>
        <w:spacing w:after="120" w:before="300"/>
      </w:pPr>
      <w:r>
        <w:rPr>
          <w:rFonts w:ascii="Arial" w:cs="Arial" w:eastAsia="Arial" w:hAnsi="Arial"/>
          <w:b/>
          <w:bCs/>
          <w:color w:val="1B5E20"/>
          <w:sz w:val="26"/>
          <w:szCs w:val="26"/>
        </w:rPr>
        <w:t xml:space="preserve">How to Build It</w:t>
      </w:r>
    </w:p>
    <w:p>
      <w:pPr>
        <w:pStyle w:val="ListParagraph"/>
        <w:numPr>
          <w:ilvl w:val="0"/>
          <w:numId w:val="3"/>
        </w:numPr>
        <w:spacing w:after="60" w:before="40"/>
      </w:pPr>
      <w:r>
        <w:rPr>
          <w:rFonts w:ascii="Arial" w:cs="Arial" w:eastAsia="Arial" w:hAnsi="Arial"/>
          <w:sz w:val="20"/>
          <w:szCs w:val="20"/>
        </w:rPr>
        <w:t xml:space="preserve">Take 500 prompts from your BLOCK verdicts across all three threat categories (PII, jailbreak, toxicity). These can be synthetic templates, not real production prompts.</w:t>
      </w:r>
    </w:p>
    <w:p>
      <w:pPr>
        <w:pStyle w:val="ListParagraph"/>
        <w:numPr>
          <w:ilvl w:val="0"/>
          <w:numId w:val="3"/>
        </w:numPr>
        <w:spacing w:after="60" w:before="40"/>
      </w:pPr>
      <w:r>
        <w:rPr>
          <w:rFonts w:ascii="Arial" w:cs="Arial" w:eastAsia="Arial" w:hAnsi="Arial"/>
          <w:sz w:val="20"/>
          <w:szCs w:val="20"/>
        </w:rPr>
        <w:t xml:space="preserve">Use an LLM to generate 5 paraphrases of each at controlled similarity levels: 0.98 (near-identical), 0.92 (very similar), 0.85 (similar), 0.75 (loose), 0.60 (distant).</w:t>
      </w:r>
    </w:p>
    <w:p>
      <w:pPr>
        <w:pStyle w:val="ListParagraph"/>
        <w:numPr>
          <w:ilvl w:val="0"/>
          <w:numId w:val="3"/>
        </w:numPr>
        <w:spacing w:after="60" w:before="40"/>
      </w:pPr>
      <w:r>
        <w:rPr>
          <w:rFonts w:ascii="Arial" w:cs="Arial" w:eastAsia="Arial" w:hAnsi="Arial"/>
          <w:sz w:val="20"/>
          <w:szCs w:val="20"/>
        </w:rPr>
        <w:t xml:space="preserve">Compute actual cosine similarity between each paraphrase and the original using sentence-transformers.</w:t>
      </w:r>
    </w:p>
    <w:p>
      <w:pPr>
        <w:pStyle w:val="ListParagraph"/>
        <w:numPr>
          <w:ilvl w:val="0"/>
          <w:numId w:val="3"/>
        </w:numPr>
        <w:spacing w:after="60" w:before="40"/>
      </w:pPr>
      <w:r>
        <w:rPr>
          <w:rFonts w:ascii="Arial" w:cs="Arial" w:eastAsia="Arial" w:hAnsi="Arial"/>
          <w:sz w:val="20"/>
          <w:szCs w:val="20"/>
        </w:rPr>
        <w:t xml:space="preserve">Run your guardrail on all paraphrases. Record the verdict.</w:t>
      </w:r>
    </w:p>
    <w:p>
      <w:pPr>
        <w:pStyle w:val="ListParagraph"/>
        <w:numPr>
          <w:ilvl w:val="0"/>
          <w:numId w:val="3"/>
        </w:numPr>
        <w:spacing w:after="60" w:before="40"/>
      </w:pPr>
      <w:r>
        <w:rPr>
          <w:rFonts w:ascii="Arial" w:cs="Arial" w:eastAsia="Arial" w:hAnsi="Arial"/>
          <w:sz w:val="20"/>
          <w:szCs w:val="20"/>
        </w:rPr>
        <w:t xml:space="preserve">For each similarity bin, compute verdict agreement rate. Plot the curve.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spacing w:after="0" w:before="0"/>
            </w:pPr>
            <w:r>
              <w:rPr>
                <w:rFonts w:ascii="Arial" w:cs="Arial" w:eastAsia="Arial" w:hAnsi="Arial"/>
                <w:i/>
                <w:iCs/>
                <w:color w:val="1B5E20"/>
                <w:sz w:val="20"/>
                <w:szCs w:val="20"/>
              </w:rPr>
              <w:t xml:space="preserve">The shape of the curve is the finding. If verdict agreement drops sharply below ε=0.92 for jailbreaks but stays high until ε=0.75 for PII, that means you need a tighter cache threshold for jailbreak detection than for PII detection. Per-category thresholds are not arbitrary configuration, they are empirically derived from this curve.</w:t>
            </w:r>
          </w:p>
        </w:tc>
      </w:tr>
    </w:tbl>
    <w:p>
      <w:pPr>
        <w:spacing w:after="40" w:before="40"/>
      </w:pPr>
    </w:p>
    <w:p>
      <w:pPr>
        <w:spacing w:after="120" w:before="300"/>
      </w:pPr>
      <w:r>
        <w:rPr>
          <w:rFonts w:ascii="Arial" w:cs="Arial" w:eastAsia="Arial" w:hAnsi="Arial"/>
          <w:b/>
          <w:bCs/>
          <w:color w:val="4A148C"/>
          <w:sz w:val="26"/>
          <w:szCs w:val="26"/>
        </w:rPr>
        <w:t xml:space="preserve">Questions and Answers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Is generating synthetic paraphrases valid? A reviewer might say this is artificial.</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You address this head-on by validating synthetic paraphrases against real adversarial datasets. JailbreakBench, AdvBench, and WildGuardMix all contain real adversarial variations. You show that the similarity distribution of your synthetic paraphrases matches the distribution of real adversarial variations in these benchmarks. If the distributions match, the synthetic data is a valid proxy. This validation step is one paragraph in the paper and it pre-empts the objection.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What is the difference between this and just tuning a threshold? Reviewers may see it as hyperparameter search.</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Hyperparameter search finds the value that maximizes a metric on a validation set. What you are doing is characterizing a fundamental property of the safety-similarity relationship: the shape of the tradeoff curve, how it varies by threat category, and where it exhibits sharp discontinuities. The curve is the contribution, not the threshold value. It tells future researchers and system designers where the danger zones are for any semantic cache applied to safety verdicts.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Why can standard cosine similarity not be used as-is? What is actually wrong with it?</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Standard sentence-transformer embeddings are trained to cluster semantically similar text together. Jailbreak attacks exploit this by paraphrasing harmful intent into semantically benign-sounding language. A prompt like 'explain how to synthesize aspirin' and 'explain how to synthesize X ' where X is a controlled substance may have identical semantic structure and score 0.94 similarity, but one is benign and one is not. Standard cosine similarity cannot distinguish them. Your curve shows exactly where and how often this failure mode occurs.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How do you handle the asymmetric cost: a missed BLOCK is much worse than a false ALLOW revocation?</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You build asymmetry directly into the threshold selection. The curve gives you, for each similarity level, the false-negative rate (missed blocks) and the cache hit rate. You then apply a loss function that weights false negatives 10x or 100x more than false positives and find the threshold that minimizes expected loss. For jailbreak detection, this pushes the selected threshold higher, meaning you require very high similarity before trusting a cached ALLOW verdict. You are explicit about this weighting in the paper and let readers adjust for their own risk tolerance.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Does this work change if a new guardrail model is deployed?</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Yes, and that is a feature not a bug. The curve is specific to a guardrail model because different models have different decision boundaries. When you upgrade your guardrail, you recompute the curve on a small validation set and update the cache thresholds. This is operationally straightforward and you describe it as part of the deployment lifecycle in the paper. It is honest about the maintenance cost rather than hiding it.</w:t>
            </w:r>
          </w:p>
        </w:tc>
      </w:tr>
    </w:tbl>
    <w:p>
      <w:pPr>
        <w:spacing w:after="40" w:before="4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004D40" w:val="clear"/>
            <w:tcMar>
              <w:top w:type="dxa" w:w="120"/>
              <w:left w:type="dxa" w:w="140"/>
              <w:bottom w:type="dxa" w:w="120"/>
              <w:right w:type="dxa" w:w="140"/>
            </w:tcMar>
            <w:vAlign w:val="center"/>
          </w:tcPr>
          <w:p>
            <w:pPr>
              <w:spacing w:after="0" w:before="0"/>
              <w:jc w:val="center"/>
            </w:pPr>
            <w:r>
              <w:rPr>
                <w:rFonts w:ascii="Arial" w:cs="Arial" w:eastAsia="Arial" w:hAnsi="Arial"/>
                <w:b/>
                <w:bCs/>
                <w:color w:val="FFFFFF"/>
                <w:sz w:val="36"/>
                <w:szCs w:val="36"/>
              </w:rPr>
              <w:t xml:space="preserve">03</w:t>
            </w:r>
          </w:p>
        </w:tc>
        <w:tc>
          <w:tcPr>
            <w:tcW w:type="dxa" w:w="8160"/>
            <w:tcBorders>
              <w:top w:val="none" w:color="FFFFFF" w:sz="0"/>
              <w:left w:val="none" w:color="FFFFFF" w:sz="0"/>
              <w:bottom w:val="none" w:color="FFFFFF" w:sz="0"/>
              <w:right w:val="none" w:color="FFFFFF" w:sz="0"/>
            </w:tcBorders>
            <w:shd w:fill="1A1A1A" w:val="clear"/>
            <w:tcMar>
              <w:top w:type="dxa" w:w="120"/>
              <w:left w:type="dxa" w:w="200"/>
              <w:bottom w:type="dxa" w:w="120"/>
              <w:right w:type="dxa" w:w="140"/>
            </w:tcMar>
          </w:tcPr>
          <w:p>
            <w:pPr>
              <w:spacing w:after="0" w:before="0"/>
            </w:pPr>
            <w:r>
              <w:rPr>
                <w:rFonts w:ascii="Arial" w:cs="Arial" w:eastAsia="Arial" w:hAnsi="Arial"/>
                <w:b/>
                <w:bCs/>
                <w:color w:val="FFFFFF"/>
                <w:sz w:val="28"/>
                <w:szCs w:val="28"/>
              </w:rPr>
              <w:t xml:space="preserve">Tiered Cascade Architecture with Verdict Caching</w:t>
            </w:r>
          </w:p>
        </w:tc>
      </w:tr>
    </w:tbl>
    <w:p>
      <w:pPr>
        <w:spacing w:after="40" w:before="40"/>
      </w:pPr>
    </w:p>
    <w:p>
      <w:pPr>
        <w:spacing w:after="120" w:before="300"/>
      </w:pPr>
      <w:r>
        <w:rPr>
          <w:rFonts w:ascii="Arial" w:cs="Arial" w:eastAsia="Arial" w:hAnsi="Arial"/>
          <w:b/>
          <w:bCs/>
          <w:color w:val="0D47A1"/>
          <w:sz w:val="26"/>
          <w:szCs w:val="26"/>
        </w:rPr>
        <w:t xml:space="preserve">What Is It?</w:t>
      </w:r>
    </w:p>
    <w:p>
      <w:pPr>
        <w:spacing w:after="100" w:before="60"/>
      </w:pPr>
      <w:r>
        <w:rPr>
          <w:rFonts w:ascii="Arial" w:cs="Arial" w:eastAsia="Arial" w:hAnsi="Arial"/>
          <w:b w:val="false"/>
          <w:bCs w:val="false"/>
          <w:color w:val="1A1A1A"/>
          <w:sz w:val="20"/>
          <w:szCs w:val="20"/>
        </w:rPr>
        <w:t xml:space="preserve">SafeCache is not a single cache layer sitting in front of a guardrail. It is a three-tier pipeline where each tier is progressively more expensive and each tier boundary has a cache.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80"/>
        <w:gridCol w:w="1680"/>
        <w:gridCol w:w="1800"/>
      </w:tblGrid>
      <w:tr>
        <w:tc>
          <w:tcPr>
            <w:tcW w:type="dxa" w:w="14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Tier</w:t>
            </w:r>
          </w:p>
        </w:tc>
        <w:tc>
          <w:tcPr>
            <w:tcW w:type="dxa" w:w="20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Mechanism</w:t>
            </w:r>
          </w:p>
        </w:tc>
        <w:tc>
          <w:tcPr>
            <w:tcW w:type="dxa" w:w="248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What It Catches</w:t>
            </w:r>
          </w:p>
        </w:tc>
        <w:tc>
          <w:tcPr>
            <w:tcW w:type="dxa" w:w="168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Latency</w:t>
            </w:r>
          </w:p>
        </w:tc>
        <w:tc>
          <w:tcPr>
            <w:tcW w:type="dxa" w:w="18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Cache Type</w:t>
            </w:r>
          </w:p>
        </w:tc>
      </w:tr>
      <w:tr>
        <w:tc>
          <w:tcPr>
            <w:tcW w:type="dxa" w:w="140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Exact hash match</w:t>
            </w:r>
          </w:p>
        </w:tc>
        <w:tc>
          <w:tcPr>
            <w:tcW w:type="dxa" w:w="248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Identical strings: retries, repeated queries</w:t>
            </w:r>
          </w:p>
        </w:tc>
        <w:tc>
          <w:tcPr>
            <w:tcW w:type="dxa" w:w="168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&lt;1ms</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Redis key-value</w:t>
            </w:r>
          </w:p>
        </w:tc>
      </w:tr>
      <w:tr>
        <w:tc>
          <w:tcPr>
            <w:tcW w:type="dxa" w:w="1400"/>
            <w:tcBorders>
              <w:top w:val="single" w:color="D0D0D0" w:sz="1"/>
              <w:left w:val="single" w:color="D0D0D0" w:sz="1"/>
              <w:bottom w:val="single" w:color="D0D0D0" w:sz="1"/>
              <w:right w:val="single" w:color="D0D0D0" w:sz="1"/>
            </w:tcBorders>
            <w:shd w:fill="FFF3E0"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2</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Semantic similarity (safety-tuned ε)</w:t>
            </w:r>
          </w:p>
        </w:tc>
        <w:tc>
          <w:tcPr>
            <w:tcW w:type="dxa" w:w="248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Paraphrased prompts, near-duplicates within safe similarity boundary</w:t>
            </w:r>
          </w:p>
        </w:tc>
        <w:tc>
          <w:tcPr>
            <w:tcW w:type="dxa" w:w="1680"/>
            <w:tcBorders>
              <w:top w:val="single" w:color="D0D0D0" w:sz="1"/>
              <w:left w:val="single" w:color="D0D0D0" w:sz="1"/>
              <w:bottom w:val="single" w:color="D0D0D0" w:sz="1"/>
              <w:right w:val="single" w:color="D0D0D0" w:sz="1"/>
            </w:tcBorders>
            <w:shd w:fill="FFF3E0"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5-15ms</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FAISS vector store</w:t>
            </w:r>
          </w:p>
        </w:tc>
      </w:tr>
      <w:tr>
        <w:tc>
          <w:tcPr>
            <w:tcW w:type="dxa" w:w="1400"/>
            <w:tcBorders>
              <w:top w:val="single" w:color="D0D0D0" w:sz="1"/>
              <w:left w:val="single" w:color="D0D0D0" w:sz="1"/>
              <w:bottom w:val="single" w:color="D0D0D0" w:sz="1"/>
              <w:right w:val="single" w:color="D0D0D0" w:sz="1"/>
            </w:tcBorders>
            <w:shd w:fill="FFEBEE"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3</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Full guardrail pipeline</w:t>
            </w:r>
          </w:p>
        </w:tc>
        <w:tc>
          <w:tcPr>
            <w:tcW w:type="dxa" w:w="248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Novel prompts, adversarial variations, anything outside cache boundaries</w:t>
            </w:r>
          </w:p>
        </w:tc>
        <w:tc>
          <w:tcPr>
            <w:tcW w:type="dxa" w:w="1680"/>
            <w:tcBorders>
              <w:top w:val="single" w:color="D0D0D0" w:sz="1"/>
              <w:left w:val="single" w:color="D0D0D0" w:sz="1"/>
              <w:bottom w:val="single" w:color="D0D0D0" w:sz="1"/>
              <w:right w:val="single" w:color="D0D0D0" w:sz="1"/>
            </w:tcBorders>
            <w:shd w:fill="FFEBEE"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141ms-491ms</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No cache, result written back to T2</w:t>
            </w:r>
          </w:p>
        </w:tc>
      </w:tr>
    </w:tbl>
    <w:p>
      <w:pPr>
        <w:spacing w:after="40" w:before="40"/>
      </w:pPr>
    </w:p>
    <w:p>
      <w:pPr>
        <w:spacing w:after="100" w:before="60"/>
      </w:pPr>
      <w:r>
        <w:rPr>
          <w:rFonts w:ascii="Arial" w:cs="Arial" w:eastAsia="Arial" w:hAnsi="Arial"/>
          <w:b w:val="false"/>
          <w:bCs w:val="false"/>
          <w:color w:val="1A1A1A"/>
          <w:sz w:val="20"/>
          <w:szCs w:val="20"/>
        </w:rPr>
        <w:t xml:space="preserve">On a Tier 3 evaluation, the verdict is written back to the Tier 2 semantic cache so future semantically similar requests skip to Tier 2. On a Tier 2 hit, the verdict is served directly. On a Tier 1 hit, the verdict is served with zero embedding computation. The guardrail pipeline only runs when both cache tiers miss.</w:t>
      </w:r>
    </w:p>
    <w:p>
      <w:pPr>
        <w:spacing w:after="40" w:before="40"/>
      </w:pPr>
    </w:p>
    <w:p>
      <w:pPr>
        <w:spacing w:after="120" w:before="300"/>
      </w:pPr>
      <w:r>
        <w:rPr>
          <w:rFonts w:ascii="Arial" w:cs="Arial" w:eastAsia="Arial" w:hAnsi="Arial"/>
          <w:b/>
          <w:bCs/>
          <w:color w:val="C62828"/>
          <w:sz w:val="26"/>
          <w:szCs w:val="26"/>
        </w:rPr>
        <w:t xml:space="preserve">Why Does This Not Exist in the Literature?</w:t>
      </w:r>
    </w:p>
    <w:p>
      <w:pPr>
        <w:spacing w:after="100" w:before="60"/>
      </w:pPr>
      <w:r>
        <w:rPr>
          <w:rFonts w:ascii="Arial" w:cs="Arial" w:eastAsia="Arial" w:hAnsi="Arial"/>
          <w:b w:val="false"/>
          <w:bCs w:val="false"/>
          <w:color w:val="1A1A1A"/>
          <w:sz w:val="20"/>
          <w:szCs w:val="20"/>
        </w:rPr>
        <w:t xml:space="preserve">Tiered guardrail approaches are mentioned as best practice in practitioner guides: use fast regex first, escalate to heavy models only when necessary. But no paper has formally designed, implemented, and benchmarked this as a complete system with verdict caching between tiers. The Wildflare GuardRail paper is the closest but it caches nothing between stages and has no semantic similarity layer. The combination of tier caching plus semantic similarity plus provenance logging at each tier boundary is the system design novelty.</w:t>
      </w:r>
    </w:p>
    <w:p>
      <w:pPr>
        <w:spacing w:after="40" w:before="40"/>
      </w:pPr>
    </w:p>
    <w:p>
      <w:pPr>
        <w:spacing w:after="120" w:before="300"/>
      </w:pPr>
      <w:r>
        <w:rPr>
          <w:rFonts w:ascii="Arial" w:cs="Arial" w:eastAsia="Arial" w:hAnsi="Arial"/>
          <w:b/>
          <w:bCs/>
          <w:color w:val="1B5E20"/>
          <w:sz w:val="26"/>
          <w:szCs w:val="26"/>
        </w:rPr>
        <w:t xml:space="preserve">The Audit Trail Component</w:t>
      </w:r>
    </w:p>
    <w:p>
      <w:pPr>
        <w:spacing w:after="100" w:before="60"/>
      </w:pPr>
      <w:r>
        <w:rPr>
          <w:rFonts w:ascii="Arial" w:cs="Arial" w:eastAsia="Arial" w:hAnsi="Arial"/>
          <w:b w:val="false"/>
          <w:bCs w:val="false"/>
          <w:color w:val="1A1A1A"/>
          <w:sz w:val="20"/>
          <w:szCs w:val="20"/>
        </w:rPr>
        <w:t xml:space="preserve">State Street is a regulated financial institution. Every cached verdict must be traceable. SafeCache logs the following for every cache hit:</w:t>
      </w:r>
    </w:p>
    <w:p>
      <w:pPr>
        <w:pStyle w:val="ListParagraph"/>
        <w:numPr>
          <w:ilvl w:val="0"/>
          <w:numId w:val="2"/>
        </w:numPr>
        <w:spacing w:after="60" w:before="40"/>
      </w:pPr>
      <w:r>
        <w:rPr>
          <w:rFonts w:ascii="Arial" w:cs="Arial" w:eastAsia="Arial" w:hAnsi="Arial"/>
          <w:b w:val="false"/>
          <w:bCs w:val="false"/>
          <w:color w:val="1A1A1A"/>
          <w:sz w:val="20"/>
          <w:szCs w:val="20"/>
        </w:rPr>
        <w:t xml:space="preserve">Source evaluation ID: which original evaluation this cached verdict derives from</w:t>
      </w:r>
    </w:p>
    <w:p>
      <w:pPr>
        <w:pStyle w:val="ListParagraph"/>
        <w:numPr>
          <w:ilvl w:val="0"/>
          <w:numId w:val="2"/>
        </w:numPr>
        <w:spacing w:after="60" w:before="40"/>
      </w:pPr>
      <w:r>
        <w:rPr>
          <w:rFonts w:ascii="Arial" w:cs="Arial" w:eastAsia="Arial" w:hAnsi="Arial"/>
          <w:b w:val="false"/>
          <w:bCs w:val="false"/>
          <w:color w:val="1A1A1A"/>
          <w:sz w:val="20"/>
          <w:szCs w:val="20"/>
        </w:rPr>
        <w:t xml:space="preserve">Similarity score: the cosine distance that triggered the cache hit</w:t>
      </w:r>
    </w:p>
    <w:p>
      <w:pPr>
        <w:pStyle w:val="ListParagraph"/>
        <w:numPr>
          <w:ilvl w:val="0"/>
          <w:numId w:val="2"/>
        </w:numPr>
        <w:spacing w:after="60" w:before="40"/>
      </w:pPr>
      <w:r>
        <w:rPr>
          <w:rFonts w:ascii="Arial" w:cs="Arial" w:eastAsia="Arial" w:hAnsi="Arial"/>
          <w:b w:val="false"/>
          <w:bCs w:val="false"/>
          <w:color w:val="1A1A1A"/>
          <w:sz w:val="20"/>
          <w:szCs w:val="20"/>
        </w:rPr>
        <w:t xml:space="preserve">Tenant ID and policy version: which team's policy was in effect</w:t>
      </w:r>
    </w:p>
    <w:p>
      <w:pPr>
        <w:pStyle w:val="ListParagraph"/>
        <w:numPr>
          <w:ilvl w:val="0"/>
          <w:numId w:val="2"/>
        </w:numPr>
        <w:spacing w:after="60" w:before="40"/>
      </w:pPr>
      <w:r>
        <w:rPr>
          <w:rFonts w:ascii="Arial" w:cs="Arial" w:eastAsia="Arial" w:hAnsi="Arial"/>
          <w:b w:val="false"/>
          <w:bCs w:val="false"/>
          <w:color w:val="1A1A1A"/>
          <w:sz w:val="20"/>
          <w:szCs w:val="20"/>
        </w:rPr>
        <w:t xml:space="preserve">Timestamp delta: how old the source evaluation is</w:t>
      </w:r>
    </w:p>
    <w:p>
      <w:pPr>
        <w:pStyle w:val="ListParagraph"/>
        <w:numPr>
          <w:ilvl w:val="0"/>
          <w:numId w:val="2"/>
        </w:numPr>
        <w:spacing w:after="60" w:before="40"/>
      </w:pPr>
      <w:r>
        <w:rPr>
          <w:rFonts w:ascii="Arial" w:cs="Arial" w:eastAsia="Arial" w:hAnsi="Arial"/>
          <w:b w:val="false"/>
          <w:bCs w:val="false"/>
          <w:color w:val="1A1A1A"/>
          <w:sz w:val="20"/>
          <w:szCs w:val="20"/>
        </w:rPr>
        <w:t xml:space="preserve">Cache tier: whether this was a Tier 1 (exact) or Tier 2 (semantic) hit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0F2F1" w:val="clear"/>
            <w:tcMar>
              <w:top w:type="dxa" w:w="160"/>
              <w:left w:type="dxa" w:w="240"/>
              <w:bottom w:type="dxa" w:w="160"/>
              <w:right w:type="dxa" w:w="240"/>
            </w:tcMar>
          </w:tcPr>
          <w:p>
            <w:pPr>
              <w:spacing w:after="0" w:before="0"/>
            </w:pPr>
            <w:r>
              <w:rPr>
                <w:rFonts w:ascii="Arial" w:cs="Arial" w:eastAsia="Arial" w:hAnsi="Arial"/>
                <w:i/>
                <w:iCs/>
                <w:color w:val="004D40"/>
                <w:sz w:val="20"/>
                <w:szCs w:val="20"/>
              </w:rPr>
              <w:t xml:space="preserve">This audit trail is not just a compliance feature. It is what makes the system trustworthy in regulated environments and directly differentiates SafeCache from every existing academic caching paper. No caching system in the literature maintains safety decision provenance.</w:t>
            </w:r>
          </w:p>
        </w:tc>
      </w:tr>
    </w:tbl>
    <w:p>
      <w:pPr>
        <w:spacing w:after="40" w:before="40"/>
      </w:pPr>
    </w:p>
    <w:p>
      <w:pPr>
        <w:spacing w:after="120" w:before="300"/>
      </w:pPr>
      <w:r>
        <w:rPr>
          <w:rFonts w:ascii="Arial" w:cs="Arial" w:eastAsia="Arial" w:hAnsi="Arial"/>
          <w:b/>
          <w:bCs/>
          <w:color w:val="4A148C"/>
          <w:sz w:val="26"/>
          <w:szCs w:val="26"/>
        </w:rPr>
        <w:t xml:space="preserve">Questions and Answers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A reviewer says: tiered guardrails are already recommended best practice. Where is the novelty?</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Best practice recommendations are not the same as a formally implemented and evaluated system. The novelty is threefold: first, verdict caching between tiers (not just escalation without memory). Second, the safety-tuned similarity threshold for Tier 2 derived from the tradeoff curve in Topic 2. Third, the provenance audit trail that makes cached decisions traceable. No existing system has all three. You can point to specific papers: Wildflare GuardRail has tiers but no caching. GPTCache has caching but no safety-tuned similarity and no provenance. SafeCache is the synthesis.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What happens when a cache entry becomes stale? A jailbreak that was ALLOW yesterday might be BLOCK today.</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Cache entries have a TTL (time-to-live) that you tune empirically. The tradeoff curve in Topic 2 also gives you a staleness dimension: how much does verdict agreement drop as the time delta between source evaluation and cache hit increases? If agreement degrades significantly over 48 hours, you set TTL to 24 hours. This is an empirical parameter, not a guess. You report the TTL sensitivity analysis in the evaluation section.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Does the embedding computation for Tier 2 lookup add too much latency to be worth it?</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Sentence-transformer inference for a single prompt takes 5-15ms on CPU, under 1ms on GPU. Your guardrail pipeline costs 141-491ms. The Tier 2 lookup costs roughly 3% of a full evaluation. If the Tier 2 hit rate is even 20%, the expected latency is 0.8 x 15ms + 0.2 x 491ms = 110ms versus 491ms with no cache. That is a 78% reduction. The embedding cost is negligible against the avoided guardrail invocations.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How does this handle streaming responses where the full prompt is not known upfront?</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SafeCache operates on the input prompt, which is known in full before guardrail evaluation begins. Output-side guardrails on streaming responses are a separate problem that you explicitly scope out of this paper. Your system focuses on the input guardrail pipeline. This is an honest scoping decision and reviewers will accept it if you state it clearly.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Why does the audit trail matter to a systems conference reviewer? Is it just a compliance feature?</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audit trail is what makes the system deployable in the real world, not just publishable in a paper. A systems paper without a path to real deployment is weaker. The audit trail is the deployment enabler for regulated industries, which happen to be the largest consumers of enterprise LLM gateways: finance, healthcare, legal, government. If you can show that SafeCache is deployable at State Street specifically because of this feature, you are demonstrating real-world impact that no academic system can claim.</w:t>
            </w:r>
          </w:p>
        </w:tc>
      </w:tr>
    </w:tbl>
    <w:p>
      <w:pPr>
        <w:spacing w:after="40" w:before="4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4A148C" w:val="clear"/>
            <w:tcMar>
              <w:top w:type="dxa" w:w="120"/>
              <w:left w:type="dxa" w:w="140"/>
              <w:bottom w:type="dxa" w:w="120"/>
              <w:right w:type="dxa" w:w="140"/>
            </w:tcMar>
            <w:vAlign w:val="center"/>
          </w:tcPr>
          <w:p>
            <w:pPr>
              <w:spacing w:after="0" w:before="0"/>
              <w:jc w:val="center"/>
            </w:pPr>
            <w:r>
              <w:rPr>
                <w:rFonts w:ascii="Arial" w:cs="Arial" w:eastAsia="Arial" w:hAnsi="Arial"/>
                <w:b/>
                <w:bCs/>
                <w:color w:val="FFFFFF"/>
                <w:sz w:val="36"/>
                <w:szCs w:val="36"/>
              </w:rPr>
              <w:t xml:space="preserve">04</w:t>
            </w:r>
          </w:p>
        </w:tc>
        <w:tc>
          <w:tcPr>
            <w:tcW w:type="dxa" w:w="8160"/>
            <w:tcBorders>
              <w:top w:val="none" w:color="FFFFFF" w:sz="0"/>
              <w:left w:val="none" w:color="FFFFFF" w:sz="0"/>
              <w:bottom w:val="none" w:color="FFFFFF" w:sz="0"/>
              <w:right w:val="none" w:color="FFFFFF" w:sz="0"/>
            </w:tcBorders>
            <w:shd w:fill="1A1A1A" w:val="clear"/>
            <w:tcMar>
              <w:top w:type="dxa" w:w="120"/>
              <w:left w:type="dxa" w:w="200"/>
              <w:bottom w:type="dxa" w:w="120"/>
              <w:right w:type="dxa" w:w="140"/>
            </w:tcMar>
          </w:tcPr>
          <w:p>
            <w:pPr>
              <w:spacing w:after="0" w:before="0"/>
            </w:pPr>
            <w:r>
              <w:rPr>
                <w:rFonts w:ascii="Arial" w:cs="Arial" w:eastAsia="Arial" w:hAnsi="Arial"/>
                <w:b/>
                <w:bCs/>
                <w:color w:val="FFFFFF"/>
                <w:sz w:val="28"/>
                <w:szCs w:val="28"/>
              </w:rPr>
              <w:t xml:space="preserve">Per-Tenant Adaptive Thresholds</w:t>
            </w:r>
          </w:p>
        </w:tc>
      </w:tr>
    </w:tbl>
    <w:p>
      <w:pPr>
        <w:spacing w:after="40" w:before="40"/>
      </w:pPr>
    </w:p>
    <w:p>
      <w:pPr>
        <w:spacing w:after="120" w:before="300"/>
      </w:pPr>
      <w:r>
        <w:rPr>
          <w:rFonts w:ascii="Arial" w:cs="Arial" w:eastAsia="Arial" w:hAnsi="Arial"/>
          <w:b/>
          <w:bCs/>
          <w:color w:val="0D47A1"/>
          <w:sz w:val="26"/>
          <w:szCs w:val="26"/>
        </w:rPr>
        <w:t xml:space="preserve">What Is It?</w:t>
      </w:r>
    </w:p>
    <w:p>
      <w:pPr>
        <w:spacing w:after="100" w:before="60"/>
      </w:pPr>
      <w:r>
        <w:rPr>
          <w:rFonts w:ascii="Arial" w:cs="Arial" w:eastAsia="Arial" w:hAnsi="Arial"/>
          <w:b w:val="false"/>
          <w:bCs w:val="false"/>
          <w:color w:val="1A1A1A"/>
          <w:sz w:val="20"/>
          <w:szCs w:val="20"/>
        </w:rPr>
        <w:t xml:space="preserve">Every existing guardrail system applies a single global similarity threshold. One ε value governs whether a cache hit is considered safe across all tenants, all request types, all risk profiles.</w:t>
      </w:r>
    </w:p>
    <w:p>
      <w:pPr>
        <w:spacing w:after="100" w:before="60"/>
      </w:pPr>
      <w:r>
        <w:rPr>
          <w:rFonts w:ascii="Arial" w:cs="Arial" w:eastAsia="Arial" w:hAnsi="Arial"/>
          <w:b w:val="false"/>
          <w:bCs w:val="false"/>
          <w:color w:val="1A1A1A"/>
          <w:sz w:val="20"/>
          <w:szCs w:val="20"/>
        </w:rPr>
        <w:t xml:space="preserve">In a multi-tenant enterprise gateway serving 21 teams, this is wrong. A financial compliance team processing customer data has fundamentally different risk tolerance than an internal developer chatbot team experimenting with code generation. Applying the same cache threshold to both means either you are over-restricting the low-risk team (too many cache misses, unnecessary latency) or under-restricting the high-risk team (too many cache hits, increased false-negative risk).</w:t>
      </w:r>
    </w:p>
    <w:p>
      <w:pPr>
        <w:spacing w:after="100" w:before="60"/>
      </w:pPr>
      <w:r>
        <w:rPr>
          <w:rFonts w:ascii="Arial" w:cs="Arial" w:eastAsia="Arial" w:hAnsi="Arial"/>
          <w:b w:val="false"/>
          <w:bCs w:val="false"/>
          <w:color w:val="1A1A1A"/>
          <w:sz w:val="20"/>
          <w:szCs w:val="20"/>
        </w:rPr>
        <w:t xml:space="preserve">Per-Tenant Adaptive Thresholds means calibrating ε per tenant risk class using your actual traffic data, then showing empirically how this Pareto-dominates the single global threshold across all tenants simultaneously.</w:t>
      </w:r>
    </w:p>
    <w:p>
      <w:pPr>
        <w:spacing w:after="40" w:before="40"/>
      </w:pPr>
    </w:p>
    <w:p>
      <w:pPr>
        <w:spacing w:after="120" w:before="300"/>
      </w:pPr>
      <w:r>
        <w:rPr>
          <w:rFonts w:ascii="Arial" w:cs="Arial" w:eastAsia="Arial" w:hAnsi="Arial"/>
          <w:b/>
          <w:bCs/>
          <w:color w:val="1B5E20"/>
          <w:sz w:val="26"/>
          <w:szCs w:val="26"/>
        </w:rPr>
        <w:t xml:space="preserve">The Tenant Risk Classification</w:t>
      </w:r>
    </w:p>
    <w:p>
      <w:pPr>
        <w:spacing w:after="100" w:before="60"/>
      </w:pPr>
      <w:r>
        <w:rPr>
          <w:rFonts w:ascii="Arial" w:cs="Arial" w:eastAsia="Arial" w:hAnsi="Arial"/>
          <w:b w:val="false"/>
          <w:bCs w:val="false"/>
          <w:color w:val="1A1A1A"/>
          <w:sz w:val="20"/>
          <w:szCs w:val="20"/>
        </w:rPr>
        <w:t xml:space="preserve">You do not need to classify 21 individual tenants. You classify them into 3-4 risk classes: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Risk Class</w:t>
            </w:r>
          </w:p>
        </w:tc>
        <w:tc>
          <w:tcPr>
            <w:tcW w:type="dxa" w:w="30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Example Tenants</w:t>
            </w:r>
          </w:p>
        </w:tc>
        <w:tc>
          <w:tcPr>
            <w:tcW w:type="dxa" w:w="216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Recommended ε</w:t>
            </w:r>
          </w:p>
        </w:tc>
        <w:tc>
          <w:tcPr>
            <w:tcW w:type="dxa" w:w="22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Rationale</w:t>
            </w:r>
          </w:p>
        </w:tc>
      </w:tr>
      <w:tr>
        <w:tc>
          <w:tcPr>
            <w:tcW w:type="dxa" w:w="2000"/>
            <w:tcBorders>
              <w:top w:val="single" w:color="D0D0D0" w:sz="1"/>
              <w:left w:val="single" w:color="D0D0D0" w:sz="1"/>
              <w:bottom w:val="single" w:color="D0D0D0" w:sz="1"/>
              <w:right w:val="single" w:color="D0D0D0" w:sz="1"/>
            </w:tcBorders>
            <w:shd w:fill="FFEBEE" w:val="clear"/>
            <w:tcMar>
              <w:top w:type="dxa" w:w="100"/>
              <w:left w:type="dxa" w:w="140"/>
              <w:bottom w:type="dxa" w:w="100"/>
              <w:right w:type="dxa" w:w="140"/>
            </w:tcMar>
          </w:tcPr>
          <w:p>
            <w:r>
              <w:rPr>
                <w:rFonts w:ascii="Arial" w:cs="Arial" w:eastAsia="Arial" w:hAnsi="Arial"/>
                <w:b/>
                <w:bCs/>
                <w:i w:val="false"/>
                <w:iCs w:val="false"/>
                <w:color w:val="C62828"/>
                <w:sz w:val="18"/>
                <w:szCs w:val="18"/>
              </w:rPr>
              <w:t xml:space="preserve">Critical</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Compliance reporting, customer data processing, regulatory filings</w:t>
            </w:r>
          </w:p>
        </w:tc>
        <w:tc>
          <w:tcPr>
            <w:tcW w:type="dxa" w:w="2160"/>
            <w:tcBorders>
              <w:top w:val="single" w:color="D0D0D0" w:sz="1"/>
              <w:left w:val="single" w:color="D0D0D0" w:sz="1"/>
              <w:bottom w:val="single" w:color="D0D0D0" w:sz="1"/>
              <w:right w:val="single" w:color="D0D0D0" w:sz="1"/>
            </w:tcBorders>
            <w:shd w:fill="FFEBEE"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0.97-0.99</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Near-exact match only. Safety &gt; latency.</w:t>
            </w:r>
          </w:p>
        </w:tc>
      </w:tr>
      <w:tr>
        <w:tc>
          <w:tcPr>
            <w:tcW w:type="dxa" w:w="2000"/>
            <w:tcBorders>
              <w:top w:val="single" w:color="D0D0D0" w:sz="1"/>
              <w:left w:val="single" w:color="D0D0D0" w:sz="1"/>
              <w:bottom w:val="single" w:color="D0D0D0" w:sz="1"/>
              <w:right w:val="single" w:color="D0D0D0" w:sz="1"/>
            </w:tcBorders>
            <w:shd w:fill="FFF3E0" w:val="clear"/>
            <w:tcMar>
              <w:top w:type="dxa" w:w="100"/>
              <w:left w:type="dxa" w:w="140"/>
              <w:bottom w:type="dxa" w:w="100"/>
              <w:right w:type="dxa" w:w="140"/>
            </w:tcMar>
          </w:tcPr>
          <w:p>
            <w:r>
              <w:rPr>
                <w:rFonts w:ascii="Arial" w:cs="Arial" w:eastAsia="Arial" w:hAnsi="Arial"/>
                <w:b/>
                <w:bCs/>
                <w:i w:val="false"/>
                <w:iCs w:val="false"/>
                <w:color w:val="E65100"/>
                <w:sz w:val="18"/>
                <w:szCs w:val="18"/>
              </w:rPr>
              <w:t xml:space="preserve">High</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Risk analytics, client-facing chat, fraud detection</w:t>
            </w:r>
          </w:p>
        </w:tc>
        <w:tc>
          <w:tcPr>
            <w:tcW w:type="dxa" w:w="2160"/>
            <w:tcBorders>
              <w:top w:val="single" w:color="D0D0D0" w:sz="1"/>
              <w:left w:val="single" w:color="D0D0D0" w:sz="1"/>
              <w:bottom w:val="single" w:color="D0D0D0" w:sz="1"/>
              <w:right w:val="single" w:color="D0D0D0" w:sz="1"/>
            </w:tcBorders>
            <w:shd w:fill="FFF3E0"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0.93-0.96</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Tight semantic match. Conservative cache.</w:t>
            </w:r>
          </w:p>
        </w:tc>
      </w:tr>
      <w:tr>
        <w:tc>
          <w:tcPr>
            <w:tcW w:type="dxa" w:w="2000"/>
            <w:tcBorders>
              <w:top w:val="single" w:color="D0D0D0" w:sz="1"/>
              <w:left w:val="single" w:color="D0D0D0" w:sz="1"/>
              <w:bottom w:val="single" w:color="D0D0D0" w:sz="1"/>
              <w:right w:val="single" w:color="D0D0D0" w:sz="1"/>
            </w:tcBorders>
            <w:shd w:fill="FFFDE7" w:val="clear"/>
            <w:tcMar>
              <w:top w:type="dxa" w:w="100"/>
              <w:left w:type="dxa" w:w="140"/>
              <w:bottom w:type="dxa" w:w="100"/>
              <w:right w:type="dxa" w:w="140"/>
            </w:tcMar>
          </w:tcPr>
          <w:p>
            <w:r>
              <w:rPr>
                <w:rFonts w:ascii="Arial" w:cs="Arial" w:eastAsia="Arial" w:hAnsi="Arial"/>
                <w:b/>
                <w:bCs/>
                <w:i w:val="false"/>
                <w:iCs w:val="false"/>
                <w:color w:val="795548"/>
                <w:sz w:val="18"/>
                <w:szCs w:val="18"/>
              </w:rPr>
              <w:t xml:space="preserve">Standard</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Internal analytics, report generation, knowledge base search</w:t>
            </w:r>
          </w:p>
        </w:tc>
        <w:tc>
          <w:tcPr>
            <w:tcW w:type="dxa" w:w="2160"/>
            <w:tcBorders>
              <w:top w:val="single" w:color="D0D0D0" w:sz="1"/>
              <w:left w:val="single" w:color="D0D0D0" w:sz="1"/>
              <w:bottom w:val="single" w:color="D0D0D0" w:sz="1"/>
              <w:right w:val="single" w:color="D0D0D0" w:sz="1"/>
            </w:tcBorders>
            <w:shd w:fill="FFFDE7"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0.88-0.92</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Standard semantic match. Balanced tradeoff.</w:t>
            </w:r>
          </w:p>
        </w:tc>
      </w:tr>
      <w:tr>
        <w:tc>
          <w:tcPr>
            <w:tcW w:type="dxa" w:w="200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bCs/>
                <w:i w:val="false"/>
                <w:iCs w:val="false"/>
                <w:color w:val="1B5E20"/>
                <w:sz w:val="18"/>
                <w:szCs w:val="18"/>
              </w:rPr>
              <w:t xml:space="preserve">Low</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Internal developer tooling, sandbox, prototype testing</w:t>
            </w:r>
          </w:p>
        </w:tc>
        <w:tc>
          <w:tcPr>
            <w:tcW w:type="dxa" w:w="216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0.80-0.87</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Looser match acceptable. Maximize cache hits.</w:t>
            </w:r>
          </w:p>
        </w:tc>
      </w:tr>
    </w:tbl>
    <w:p>
      <w:pPr>
        <w:spacing w:after="40" w:before="40"/>
      </w:pPr>
    </w:p>
    <w:p>
      <w:pPr>
        <w:spacing w:after="100" w:before="60"/>
      </w:pPr>
      <w:r>
        <w:rPr>
          <w:rFonts w:ascii="Arial" w:cs="Arial" w:eastAsia="Arial" w:hAnsi="Arial"/>
          <w:b w:val="false"/>
          <w:bCs w:val="false"/>
          <w:color w:val="1A1A1A"/>
          <w:sz w:val="20"/>
          <w:szCs w:val="20"/>
        </w:rPr>
        <w:t xml:space="preserve">The ε values above are hypothetical starting points. Your actual calibration derives them from the safety-similarity tradeoff curve in Topic 2, applied to the actual verdict distribution of each tenant class. The calibration is data-driven, not manually assigned.</w:t>
      </w:r>
    </w:p>
    <w:p>
      <w:pPr>
        <w:spacing w:after="40" w:before="40"/>
      </w:pPr>
    </w:p>
    <w:p>
      <w:pPr>
        <w:spacing w:after="120" w:before="300"/>
      </w:pPr>
      <w:r>
        <w:rPr>
          <w:rFonts w:ascii="Arial" w:cs="Arial" w:eastAsia="Arial" w:hAnsi="Arial"/>
          <w:b/>
          <w:bCs/>
          <w:color w:val="C62828"/>
          <w:sz w:val="26"/>
          <w:szCs w:val="26"/>
        </w:rPr>
        <w:t xml:space="preserve">Why This Is an Evaluation Contribution, Not Just Configuration</w:t>
      </w:r>
    </w:p>
    <w:p>
      <w:pPr>
        <w:spacing w:after="100" w:before="60"/>
      </w:pPr>
      <w:r>
        <w:rPr>
          <w:rFonts w:ascii="Arial" w:cs="Arial" w:eastAsia="Arial" w:hAnsi="Arial"/>
          <w:b w:val="false"/>
          <w:bCs w:val="false"/>
          <w:color w:val="1A1A1A"/>
          <w:sz w:val="20"/>
          <w:szCs w:val="20"/>
        </w:rPr>
        <w:t xml:space="preserve">The honest assessment: per-tenant thresholds alone are not a research contribution. Tuning a parameter per customer is what every enterprise software vendor does. What makes this publishable is the formal characterization of HOW to calibrate those thresholds from data, and the empirical demonstration that per-tenant calibration Pareto-dominates a global threshold.</w:t>
      </w:r>
    </w:p>
    <w:p>
      <w:pPr>
        <w:spacing w:after="100" w:before="60"/>
      </w:pPr>
      <w:r>
        <w:rPr>
          <w:rFonts w:ascii="Arial" w:cs="Arial" w:eastAsia="Arial" w:hAnsi="Arial"/>
          <w:b w:val="false"/>
          <w:bCs w:val="false"/>
          <w:color w:val="1A1A1A"/>
          <w:sz w:val="20"/>
          <w:szCs w:val="20"/>
        </w:rPr>
        <w:t xml:space="preserve">Pareto dominance means: for every tenant, the per-tenant threshold achieves either lower false-negative rate at the same cache hit rate, or higher cache hit rate at the same false-negative rate, compared to the best global threshold. If you can show this across all 21 tenants, it is a strong result.</w:t>
      </w:r>
    </w:p>
    <w:p>
      <w:pPr>
        <w:spacing w:after="40" w:before="40"/>
      </w:pPr>
    </w:p>
    <w:p>
      <w:pPr>
        <w:spacing w:after="120" w:before="300"/>
      </w:pPr>
      <w:r>
        <w:rPr>
          <w:rFonts w:ascii="Arial" w:cs="Arial" w:eastAsia="Arial" w:hAnsi="Arial"/>
          <w:b/>
          <w:bCs/>
          <w:color w:val="4A148C"/>
          <w:sz w:val="26"/>
          <w:szCs w:val="26"/>
        </w:rPr>
        <w:t xml:space="preserve">Questions and Answers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A reviewer says: this is just hyperparameter tuning per customer. Why is it in a research paper?</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The contribution is not the per-tenant configuration itself. The contribution is three things: first, the formal framework for deriving ε from the safety-similarity tradeoff curve rather than guessing. Second, the empirical demonstration that a single global threshold cannot simultaneously optimize all tenants, which the community has never shown with production data. Third, the Pareto-dominance result showing per-tenant calibration strictly improves outcomes. Together these constitute a principled methodology, not just parameter tuning.</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How do you prevent a tenant from gaming their risk classification to get a looser threshold?</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Risk classification is assigned by the gateway operator (your RAI platform team) based on data sensitivity and regulatory requirements, not self-reported by tenants. A tenant cannot lower their own risk class. This is no different from how RBAC works in any enterprise system. You state this in the paper as a deployment assumption and it is a reasonable one.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What if a high-risk tenant starts sending low-risk queries? The conservative threshold wastes latency.</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This is the motivating observation for making thresholds adaptive rather than static. You can track per-tenant verdict distributions over rolling windows and adjust ε dynamically when a tenant's traffic profile shifts. A tenant that consistently shows near-zero BLOCK rates for 30 days could have its threshold temporarily relaxed. This is the future work section of the paper, not a requirement for the current contribution.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How do you evaluate this without ground truth on what the correct threshold for each tenant is?</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You use held-out data. For each tenant class, you split their traffic 80/20. Calibrate ε on the 80% training window. Evaluate false-negative rate and cache hit rate on the 20% held-out window. Compare against the best global threshold evaluated on the same held-out set. The comparison is apples-to-apples: same data, same guardrail, different threshold strategies.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gridSpan w:val="1"/>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pPr>
            <w:r>
              <w:rPr>
                <w:rFonts w:ascii="Arial" w:cs="Arial" w:eastAsia="Arial" w:hAnsi="Arial"/>
                <w:b/>
                <w:bCs/>
                <w:color w:val="FF6B00"/>
                <w:sz w:val="20"/>
                <w:szCs w:val="20"/>
              </w:rPr>
              <w:t xml:space="preserve">Q: </w:t>
            </w:r>
            <w:r>
              <w:rPr>
                <w:rFonts w:ascii="Arial" w:cs="Arial" w:eastAsia="Arial" w:hAnsi="Arial"/>
                <w:b/>
                <w:bCs/>
                <w:color w:val="FFFFFF"/>
                <w:sz w:val="20"/>
                <w:szCs w:val="20"/>
              </w:rPr>
              <w:t xml:space="preserve">Does per-tenant threshold add significant operational complexity to the gateway?</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before="80"/>
            </w:pPr>
            <w:r>
              <w:rPr>
                <w:rFonts w:ascii="Arial" w:cs="Arial" w:eastAsia="Arial" w:hAnsi="Arial"/>
                <w:b/>
                <w:bCs/>
                <w:color w:val="1B5E20"/>
                <w:sz w:val="20"/>
                <w:szCs w:val="20"/>
              </w:rPr>
              <w:t xml:space="preserve">A: </w:t>
            </w:r>
            <w:r>
              <w:rPr>
                <w:rFonts w:ascii="Arial" w:cs="Arial" w:eastAsia="Arial" w:hAnsi="Arial"/>
                <w:color w:val="1A1A1A"/>
                <w:sz w:val="20"/>
                <w:szCs w:val="20"/>
              </w:rPr>
              <w:t xml:space="preserve">No, and this is worth stating explicitly. The threshold is a single float per tenant stored in a config map. The cache lookup is identical regardless of threshold value. The only additional operation is reading the tenant's ε before the similarity comparison, which is a Redis GET: sub-millisecond. The operational cost is negligible. The complexity lives in the calibration pipeline, which runs offline on a schedule, not in the hot path.</w:t>
            </w:r>
          </w:p>
        </w:tc>
      </w:tr>
    </w:tbl>
    <w:p>
      <w:pPr>
        <w:spacing w:after="40" w:before="40"/>
      </w:pPr>
    </w:p>
    <w:p>
      <w:pPr>
        <w:pBdr>
          <w:bottom w:val="single" w:color="FF6B00" w:sz="4" w:space="1"/>
        </w:pBdr>
        <w:spacing w:after="200" w:before="200"/>
      </w:pPr>
    </w:p>
    <w:p>
      <w:pPr>
        <w:spacing w:after="40" w:before="40"/>
      </w:pPr>
    </w:p>
    <w:p>
      <w:pPr>
        <w:pBdr>
          <w:bottom w:val="single" w:color="FF6B00" w:sz="6" w:space="4"/>
        </w:pBdr>
        <w:spacing w:after="160" w:before="480"/>
      </w:pPr>
      <w:r>
        <w:rPr>
          <w:rFonts w:ascii="Arial" w:cs="Arial" w:eastAsia="Arial" w:hAnsi="Arial"/>
          <w:b/>
          <w:bCs/>
          <w:color w:val="1A1A1A"/>
          <w:sz w:val="36"/>
          <w:szCs w:val="36"/>
        </w:rPr>
        <w:t xml:space="preserve">Summary: The Four Contributions at a Glance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360"/>
        <w:gridCol w:w="2200"/>
      </w:tblGrid>
      <w:tr>
        <w:tc>
          <w:tcPr>
            <w:tcW w:type="dxa" w:w="4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w:t>
            </w:r>
          </w:p>
        </w:tc>
        <w:tc>
          <w:tcPr>
            <w:tcW w:type="dxa" w:w="22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Contribution</w:t>
            </w:r>
          </w:p>
        </w:tc>
        <w:tc>
          <w:tcPr>
            <w:tcW w:type="dxa" w:w="22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Novel vs. Literature</w:t>
            </w:r>
          </w:p>
        </w:tc>
        <w:tc>
          <w:tcPr>
            <w:tcW w:type="dxa" w:w="236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Key Result</w:t>
            </w:r>
          </w:p>
        </w:tc>
        <w:tc>
          <w:tcPr>
            <w:tcW w:type="dxa" w:w="22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Paper Section</w:t>
            </w:r>
          </w:p>
        </w:tc>
      </w:tr>
      <w:tr>
        <w:tc>
          <w:tcPr>
            <w:tcW w:type="dxa" w:w="400"/>
            <w:tcBorders>
              <w:top w:val="single" w:color="D0D0D0" w:sz="1"/>
              <w:left w:val="single" w:color="D0D0D0" w:sz="1"/>
              <w:bottom w:val="single" w:color="D0D0D0" w:sz="1"/>
              <w:right w:val="single" w:color="D0D0D0" w:sz="1"/>
            </w:tcBorders>
            <w:shd w:fill="FF6B00"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01</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Guardrail Redundancy Measurement</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First production-scale measurement of safety verdict redundancy in multi-tenant gateway</w:t>
            </w:r>
          </w:p>
        </w:tc>
        <w:tc>
          <w:tcPr>
            <w:tcW w:type="dxa" w:w="236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X% of guardrail evaluations are redundant within 24hr window at ε=0.92</w:t>
            </w:r>
          </w:p>
        </w:tc>
        <w:tc>
          <w:tcPr>
            <w:tcW w:type="dxa" w:w="2200"/>
            <w:tcBorders>
              <w:top w:val="single" w:color="D0D0D0" w:sz="1"/>
              <w:left w:val="single" w:color="D0D0D0" w:sz="1"/>
              <w:bottom w:val="single" w:color="D0D0D0" w:sz="1"/>
              <w:right w:val="single" w:color="D0D0D0" w:sz="1"/>
            </w:tcBorders>
            <w:shd w:fill="FFF3E0"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§3 Primary Finding</w:t>
            </w:r>
          </w:p>
        </w:tc>
      </w:tr>
      <w:tr>
        <w:tc>
          <w:tcPr>
            <w:tcW w:type="dxa" w:w="400"/>
            <w:tcBorders>
              <w:top w:val="single" w:color="D0D0D0" w:sz="1"/>
              <w:left w:val="single" w:color="D0D0D0" w:sz="1"/>
              <w:bottom w:val="single" w:color="D0D0D0" w:sz="1"/>
              <w:right w:val="single" w:color="D0D0D0" w:sz="1"/>
            </w:tcBorders>
            <w:shd w:fill="FF6B00"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02</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Safety-Similarity Tradeoff Curve</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First empirical characterization of where cosine similarity fails for safety verdict reuse</w:t>
            </w:r>
          </w:p>
        </w:tc>
        <w:tc>
          <w:tcPr>
            <w:tcW w:type="dxa" w:w="236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Per-category curves showing exact ε thresholds for 99% verdict agreement</w:t>
            </w:r>
          </w:p>
        </w:tc>
        <w:tc>
          <w:tcPr>
            <w:tcW w:type="dxa" w:w="2200"/>
            <w:tcBorders>
              <w:top w:val="single" w:color="D0D0D0" w:sz="1"/>
              <w:left w:val="single" w:color="D0D0D0" w:sz="1"/>
              <w:bottom w:val="single" w:color="D0D0D0" w:sz="1"/>
              <w:right w:val="single" w:color="D0D0D0" w:sz="1"/>
            </w:tcBorders>
            <w:shd w:fill="F3E5F5"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§4 Key Figure</w:t>
            </w:r>
          </w:p>
        </w:tc>
      </w:tr>
      <w:tr>
        <w:tc>
          <w:tcPr>
            <w:tcW w:type="dxa" w:w="400"/>
            <w:tcBorders>
              <w:top w:val="single" w:color="D0D0D0" w:sz="1"/>
              <w:left w:val="single" w:color="D0D0D0" w:sz="1"/>
              <w:bottom w:val="single" w:color="D0D0D0" w:sz="1"/>
              <w:right w:val="single" w:color="D0D0D0" w:sz="1"/>
            </w:tcBorders>
            <w:shd w:fill="FF6B00"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03</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Tiered Cascade with Verdict Caching + Audit Trail</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First complete system combining tiered guardrails with verdict caching and provenance logging</w:t>
            </w:r>
          </w:p>
        </w:tc>
        <w:tc>
          <w:tcPr>
            <w:tcW w:type="dxa" w:w="236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X% latency reduction, Y% hit rate, Z% FNR delta vs. no-cache baseline</w:t>
            </w:r>
          </w:p>
        </w:tc>
        <w:tc>
          <w:tcPr>
            <w:tcW w:type="dxa" w:w="2200"/>
            <w:tcBorders>
              <w:top w:val="single" w:color="D0D0D0" w:sz="1"/>
              <w:left w:val="single" w:color="D0D0D0" w:sz="1"/>
              <w:bottom w:val="single" w:color="D0D0D0" w:sz="1"/>
              <w:right w:val="single" w:color="D0D0D0" w:sz="1"/>
            </w:tcBorders>
            <w:shd w:fill="E0F2F1"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§5 System Design + §7 Eval</w:t>
            </w:r>
          </w:p>
        </w:tc>
      </w:tr>
      <w:tr>
        <w:tc>
          <w:tcPr>
            <w:tcW w:type="dxa" w:w="400"/>
            <w:tcBorders>
              <w:top w:val="single" w:color="D0D0D0" w:sz="1"/>
              <w:left w:val="single" w:color="D0D0D0" w:sz="1"/>
              <w:bottom w:val="single" w:color="D0D0D0" w:sz="1"/>
              <w:right w:val="single" w:color="D0D0D0" w:sz="1"/>
            </w:tcBorders>
            <w:shd w:fill="FF6B00"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04</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i w:val="false"/>
                <w:iCs w:val="false"/>
                <w:color w:val="1A1A1A"/>
                <w:sz w:val="18"/>
                <w:szCs w:val="18"/>
              </w:rPr>
              <w:t xml:space="preserve">Per-Tenant Adaptive Threshold Calibration</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Principled calibration of per-tenant ε from tradeoff curves; Pareto-dominance over global threshold</w:t>
            </w:r>
          </w:p>
        </w:tc>
        <w:tc>
          <w:tcPr>
            <w:tcW w:type="dxa" w:w="2360"/>
            <w:tcBorders>
              <w:top w:val="single" w:color="D0D0D0" w:sz="1"/>
              <w:left w:val="single" w:color="D0D0D0" w:sz="1"/>
              <w:bottom w:val="single" w:color="D0D0D0" w:sz="1"/>
              <w:right w:val="single" w:color="D0D0D0" w:sz="1"/>
            </w:tcBorders>
            <w:shd w:fill="E8F5E9"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Per-tenant calibration Pareto-dominates global threshold across all 21 tenant profiles</w:t>
            </w:r>
          </w:p>
        </w:tc>
        <w:tc>
          <w:tcPr>
            <w:tcW w:type="dxa" w:w="2200"/>
            <w:tcBorders>
              <w:top w:val="single" w:color="D0D0D0" w:sz="1"/>
              <w:left w:val="single" w:color="D0D0D0" w:sz="1"/>
              <w:bottom w:val="single" w:color="D0D0D0" w:sz="1"/>
              <w:right w:val="single" w:color="D0D0D0" w:sz="1"/>
            </w:tcBorders>
            <w:shd w:fill="FFEBEE" w:val="clear"/>
            <w:tcMar>
              <w:top w:type="dxa" w:w="100"/>
              <w:left w:type="dxa" w:w="140"/>
              <w:bottom w:type="dxa" w:w="100"/>
              <w:right w:type="dxa" w:w="140"/>
            </w:tcMar>
          </w:tcPr>
          <w:p>
            <w:r>
              <w:rPr>
                <w:rFonts w:ascii="Arial" w:cs="Arial" w:eastAsia="Arial" w:hAnsi="Arial"/>
                <w:b w:val="false"/>
                <w:bCs w:val="false"/>
                <w:i w:val="false"/>
                <w:iCs w:val="false"/>
                <w:color w:val="1A1A1A"/>
                <w:sz w:val="18"/>
                <w:szCs w:val="18"/>
              </w:rPr>
              <w:t xml:space="preserve">§6 Calibration + §7 Eval</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60"/>
              <w:left w:type="dxa" w:w="240"/>
              <w:bottom w:type="dxa" w:w="160"/>
              <w:right w:type="dxa" w:w="240"/>
            </w:tcMar>
          </w:tcPr>
          <w:p>
            <w:pPr>
              <w:spacing w:after="0" w:before="0"/>
            </w:pPr>
            <w:r>
              <w:rPr>
                <w:rFonts w:ascii="Arial" w:cs="Arial" w:eastAsia="Arial" w:hAnsi="Arial"/>
                <w:i/>
                <w:iCs/>
                <w:color w:val="C62828"/>
                <w:sz w:val="20"/>
                <w:szCs w:val="20"/>
              </w:rPr>
              <w:t xml:space="preserve">The paper is only Tier-1 worthy if Contribution 01 produces a strong empirical finding from production data. Everything else is a system built on that finding. Secure the legal clearance for production data in Week 1. If it is denied, pivot to a synthetic dataset and target NeurIPS Safety Workshop instead of USENIX ATC.</w:t>
            </w:r>
          </w:p>
        </w:tc>
      </w:tr>
    </w:tbl>
    <w:p>
      <w:pPr>
        <w:spacing w:after="40" w:before="40"/>
      </w:pPr>
    </w:p>
    <w:p>
      <w:pPr>
        <w:spacing w:after="40" w:before="4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2026-06-08T20:20:12.792Z</dcterms:created>
  <dcterms:modified xsi:type="dcterms:W3CDTF">2026-06-08T20:20:12.792Z</dcterms:modified>
</cp:coreProperties>
</file>

<file path=docProps/custom.xml><?xml version="1.0" encoding="utf-8"?>
<Properties xmlns="http://schemas.openxmlformats.org/officeDocument/2006/custom-properties" xmlns:vt="http://schemas.openxmlformats.org/officeDocument/2006/docPropsVTypes"/>
</file>