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52"/>
        </w:rPr>
        <w:t>Personal Finance Tracker</w:t>
      </w:r>
    </w:p>
    <w:p>
      <w:pPr>
        <w:spacing w:after="320"/>
      </w:pPr>
      <w:r>
        <w:rPr>
          <w:rFonts w:ascii="Calibri" w:hAnsi="Calibri"/>
          <w:i/>
          <w:color w:val="64748B"/>
          <w:sz w:val="28"/>
        </w:rPr>
        <w:t>Frontend Architecture, HTML5 &amp; CSS3 Technical Notes (Viva &amp; Project Guide)</w:t>
      </w:r>
    </w:p>
    <w:tbl>
      <w:tblPr>
        <w:tblW w:type="auto" w:w="0"/>
        <w:jc w:val="center"/>
        <w:tblLayout w:type="fixed"/>
        <w:tblLook w:firstColumn="1" w:firstRow="1" w:lastColumn="0" w:lastRow="0" w:noHBand="0" w:noVBand="1" w:val="04A0"/>
      </w:tblPr>
      <w:tblGrid>
        <w:gridCol w:w="9360"/>
      </w:tblGrid>
      <w:tr>
        <w:tc>
          <w:tcPr>
            <w:tcW w:type="dxa" w:w="9360"/>
            <w:shd w:fill="4F46E5"/>
          </w:tcPr>
          <w:p>
            <w:pPr>
              <w:spacing w:before="0" w:after="0"/>
            </w:pPr>
            <w:r/>
          </w:p>
        </w:tc>
      </w:tr>
    </w:tbl>
    <w:p>
      <w:pPr>
        <w:spacing w:after="240"/>
      </w:pPr>
    </w:p>
    <w:p>
      <w:pPr>
        <w:pStyle w:val="Heading1"/>
      </w:pPr>
      <w:r>
        <w:rPr>
          <w:color w:val="0F172A"/>
        </w:rPr>
        <w:t>1. Executive Summary &amp; Tech Stack</w:t>
      </w:r>
    </w:p>
    <w:p>
      <w:r>
        <w:t>This project is a modern Personal Finance Web Application designed as a portfolio-grade B.Tech AI &amp; Data Science macro project. The backend is powered by Python (Flask &amp; SQLite), and the frontend is constructed using a Component-Driven HTML5, modern CSS3 (Custom Properties &amp; Flexbox), and interactive JavaScript with Chart.js.</w:t>
      </w:r>
    </w:p>
    <w:tbl>
      <w:tblPr>
        <w:tblW w:type="auto" w:w="0"/>
        <w:jc w:val="center"/>
        <w:tblLook w:firstColumn="1" w:firstRow="1" w:lastColumn="0" w:lastRow="0" w:noHBand="0" w:noVBand="1" w:val="04A0"/>
      </w:tblPr>
      <w:tblGrid>
        <w:gridCol w:w="3168"/>
        <w:gridCol w:w="6192"/>
      </w:tblGrid>
      <w:tr>
        <w:tc>
          <w:tcPr>
            <w:tcW w:type="dxa" w:w="4680"/>
            <w:shd w:fill="F1F5F9"/>
            <w:tcMar>
              <w:top w:w="120" w:type="dxa"/>
              <w:bottom w:w="120" w:type="dxa"/>
              <w:left w:w="150" w:type="dxa"/>
              <w:right w:w="150" w:type="dxa"/>
            </w:tcMar>
          </w:tcPr>
          <w:p>
            <w:r>
              <w:rPr>
                <w:b/>
                <w:color w:val="0F172A"/>
              </w:rPr>
              <w:t>Layer / Domain</w:t>
            </w:r>
          </w:p>
        </w:tc>
        <w:tc>
          <w:tcPr>
            <w:tcW w:type="dxa" w:w="4680"/>
            <w:shd w:fill="F1F5F9"/>
            <w:tcMar>
              <w:top w:w="120" w:type="dxa"/>
              <w:bottom w:w="120" w:type="dxa"/>
              <w:left w:w="150" w:type="dxa"/>
              <w:right w:w="150" w:type="dxa"/>
            </w:tcMar>
          </w:tcPr>
          <w:p>
            <w:r>
              <w:rPr>
                <w:b/>
                <w:color w:val="0F172A"/>
              </w:rPr>
              <w:t>Technologies &amp; Specifications</w:t>
            </w:r>
          </w:p>
        </w:tc>
      </w:tr>
      <w:tr>
        <w:tc>
          <w:tcPr>
            <w:tcW w:type="dxa" w:w="4680"/>
            <w:tcMar>
              <w:top w:w="100" w:type="dxa"/>
              <w:bottom w:w="100" w:type="dxa"/>
              <w:left w:w="150" w:type="dxa"/>
              <w:right w:w="150" w:type="dxa"/>
            </w:tcMar>
          </w:tcPr>
          <w:p>
            <w:r>
              <w:rPr>
                <w:b/>
              </w:rPr>
              <w:t>Backend Framework</w:t>
            </w:r>
          </w:p>
        </w:tc>
        <w:tc>
          <w:tcPr>
            <w:tcW w:type="dxa" w:w="4680"/>
            <w:tcMar>
              <w:top w:w="100" w:type="dxa"/>
              <w:bottom w:w="100" w:type="dxa"/>
              <w:left w:w="150" w:type="dxa"/>
              <w:right w:w="150" w:type="dxa"/>
            </w:tcMar>
          </w:tcPr>
          <w:p>
            <w:r>
              <w:t>Python 3, Flask 3.1.0, Werkzeug (Security &amp; Password Hashing)</w:t>
            </w:r>
          </w:p>
        </w:tc>
      </w:tr>
      <w:tr>
        <w:tc>
          <w:tcPr>
            <w:tcW w:type="dxa" w:w="4680"/>
            <w:tcMar>
              <w:top w:w="100" w:type="dxa"/>
              <w:bottom w:w="100" w:type="dxa"/>
              <w:left w:w="150" w:type="dxa"/>
              <w:right w:w="150" w:type="dxa"/>
            </w:tcMar>
            <w:shd w:fill="F8FAFC"/>
          </w:tcPr>
          <w:p>
            <w:r>
              <w:rPr>
                <w:b/>
              </w:rPr>
              <w:t>Database Engine</w:t>
            </w:r>
          </w:p>
        </w:tc>
        <w:tc>
          <w:tcPr>
            <w:tcW w:type="dxa" w:w="4680"/>
            <w:tcMar>
              <w:top w:w="100" w:type="dxa"/>
              <w:bottom w:w="100" w:type="dxa"/>
              <w:left w:w="150" w:type="dxa"/>
              <w:right w:w="150" w:type="dxa"/>
            </w:tcMar>
            <w:shd w:fill="F8FAFC"/>
          </w:tcPr>
          <w:p>
            <w:r>
              <w:t>SQLite3 with relational constraints, cascading keys, and aggregations</w:t>
            </w:r>
          </w:p>
        </w:tc>
      </w:tr>
      <w:tr>
        <w:tc>
          <w:tcPr>
            <w:tcW w:type="dxa" w:w="4680"/>
            <w:tcMar>
              <w:top w:w="100" w:type="dxa"/>
              <w:bottom w:w="100" w:type="dxa"/>
              <w:left w:w="150" w:type="dxa"/>
              <w:right w:w="150" w:type="dxa"/>
            </w:tcMar>
          </w:tcPr>
          <w:p>
            <w:r>
              <w:rPr>
                <w:b/>
              </w:rPr>
              <w:t>Frontend Layout &amp; Styling</w:t>
            </w:r>
          </w:p>
        </w:tc>
        <w:tc>
          <w:tcPr>
            <w:tcW w:type="dxa" w:w="4680"/>
            <w:tcMar>
              <w:top w:w="100" w:type="dxa"/>
              <w:bottom w:w="100" w:type="dxa"/>
              <w:left w:w="150" w:type="dxa"/>
              <w:right w:w="150" w:type="dxa"/>
            </w:tcMar>
          </w:tcPr>
          <w:p>
            <w:r>
              <w:t>Semantic HTML5, CSS3 Custom Properties (Variables), Flexbox, Bootstrap 5.3</w:t>
            </w:r>
          </w:p>
        </w:tc>
      </w:tr>
      <w:tr>
        <w:tc>
          <w:tcPr>
            <w:tcW w:type="dxa" w:w="4680"/>
            <w:tcMar>
              <w:top w:w="100" w:type="dxa"/>
              <w:bottom w:w="100" w:type="dxa"/>
              <w:left w:w="150" w:type="dxa"/>
              <w:right w:w="150" w:type="dxa"/>
            </w:tcMar>
            <w:shd w:fill="F8FAFC"/>
          </w:tcPr>
          <w:p>
            <w:r>
              <w:rPr>
                <w:b/>
              </w:rPr>
              <w:t>Visuals &amp; Visualization</w:t>
            </w:r>
          </w:p>
        </w:tc>
        <w:tc>
          <w:tcPr>
            <w:tcW w:type="dxa" w:w="4680"/>
            <w:tcMar>
              <w:top w:w="100" w:type="dxa"/>
              <w:bottom w:w="100" w:type="dxa"/>
              <w:left w:w="150" w:type="dxa"/>
              <w:right w:w="150" w:type="dxa"/>
            </w:tcMar>
            <w:shd w:fill="F8FAFC"/>
          </w:tcPr>
          <w:p>
            <w:r>
              <w:t>Chart.js (Doughnut, Bar &amp; Gradient Trend Lines), ReportLab (PDF generation)</w:t>
            </w:r>
          </w:p>
        </w:tc>
      </w:tr>
    </w:tbl>
    <w:p>
      <w:pPr>
        <w:spacing w:after="240"/>
      </w:pPr>
    </w:p>
    <w:p>
      <w:pPr>
        <w:pStyle w:val="Heading1"/>
      </w:pPr>
      <w:r>
        <w:rPr>
          <w:color w:val="0F172A"/>
        </w:rPr>
        <w:t>2. Template Architecture &amp; Jinja2 Inheritance</w:t>
      </w:r>
    </w:p>
    <w:p>
      <w:r>
        <w:t>The presentation layer utilizes the Server-Side Rendered (SSR) Template Pattern with Jinja2. This eliminates code duplication across screens and ensures modular scalability.</w:t>
      </w:r>
    </w:p>
    <w:p>
      <w:pPr>
        <w:pStyle w:val="ListBullet"/>
      </w:pPr>
      <w:r>
        <w:t>• base.html (Master Layout Shell): Hosts the persistent sidebar, top navigation bar, Google Web Fonts (Plus Jakarta Sans), Bootstrap icons, flash message containers, and scripts.</w:t>
      </w:r>
    </w:p>
    <w:p>
      <w:pPr>
        <w:pStyle w:val="ListBullet"/>
      </w:pPr>
      <w:r>
        <w:t>• dashboard.html: Injects 4 high-impact KPI summary cards, dynamic Chart.js canvas elements, automated smart insight alerts, and recent transaction logs.</w:t>
      </w:r>
    </w:p>
    <w:p>
      <w:pPr>
        <w:pStyle w:val="ListBullet"/>
      </w:pPr>
      <w:r>
        <w:t>• transactions.html: Employs a split layout: sticky left-hand transaction creation form (with fast category pills) and right-hand multi-criteria filterable transaction ledger.</w:t>
      </w:r>
    </w:p>
    <w:p>
      <w:pPr>
        <w:pStyle w:val="ListBullet"/>
      </w:pPr>
      <w:r>
        <w:t>• budget.html: Monthly allowance planner with dynamic usage gauges, remaining balance calculations, and alert indicators.</w:t>
      </w:r>
    </w:p>
    <w:p>
      <w:pPr>
        <w:pStyle w:val="ListBullet"/>
      </w:pPr>
      <w:r>
        <w:t>• goals.html: Savings milestones tracking with target/saved comparisons and native &lt;details&gt; collapsible inline adjustment forms.</w:t>
      </w:r>
    </w:p>
    <w:p>
      <w:pPr>
        <w:pStyle w:val="ListBullet"/>
      </w:pPr>
      <w:r>
        <w:t>• reports.html: Monthly statement breakdowns with one-click export actions to CSV and ReportLab-generated PDFs.</w:t>
      </w:r>
    </w:p>
    <w:p>
      <w:pPr>
        <w:pStyle w:val="ListBullet"/>
      </w:pPr>
      <w:r>
        <w:t>• login.html &amp; register.html: Focused authentication cards with input credential validation and password reveal toggles.</w:t>
      </w:r>
    </w:p>
    <w:p>
      <w:pPr>
        <w:spacing w:after="240"/>
      </w:pPr>
    </w:p>
    <w:p>
      <w:pPr>
        <w:pStyle w:val="Heading1"/>
      </w:pPr>
      <w:r>
        <w:rPr>
          <w:color w:val="0F172A"/>
        </w:rPr>
        <w:t>3. HTML5 Core Concepts Implemented</w:t>
      </w:r>
    </w:p>
    <w:p>
      <w:pPr>
        <w:pStyle w:val="Heading2"/>
      </w:pPr>
      <w:r>
        <w:rPr>
          <w:color w:val="4F46E5"/>
        </w:rPr>
        <w:t>A. Semantic Structural Landmarks</w:t>
      </w:r>
    </w:p>
    <w:p>
      <w:r>
        <w:t>Rather than generic &lt;div&gt; soup, semantic HTML5 elements are employed to boost accessibility (screen readers) and document indexing:</w:t>
      </w:r>
    </w:p>
    <w:p>
      <w:pPr>
        <w:pStyle w:val="ListBullet"/>
      </w:pPr>
      <w:r>
        <w:t>• &lt;aside class='sidebar'&gt;: Defines the primary navigation drawer independent of the main content.</w:t>
      </w:r>
    </w:p>
    <w:p>
      <w:pPr>
        <w:pStyle w:val="ListBullet"/>
      </w:pPr>
      <w:r>
        <w:t>• &lt;header class='top-bar'&gt;: Sticky top application bar housing section headers and quick actions.</w:t>
      </w:r>
    </w:p>
    <w:p>
      <w:pPr>
        <w:pStyle w:val="ListBullet"/>
      </w:pPr>
      <w:r>
        <w:t>• &lt;main class='main-content'&gt;: Identifies the primary content block for assistive technologies.</w:t>
      </w:r>
    </w:p>
    <w:p>
      <w:pPr>
        <w:pStyle w:val="ListBullet"/>
      </w:pPr>
      <w:r>
        <w:t>• &lt;nav&gt;: Groups navigation links within the sidebar and brand header.</w:t>
      </w:r>
    </w:p>
    <w:p>
      <w:pPr>
        <w:pStyle w:val="ListBullet"/>
      </w:pPr>
      <w:r>
        <w:t>• &lt;details&gt; &amp; &lt;summary&gt;: Native disclosure elements in goals.html for collapsible edit forms without extra JS.</w:t>
      </w:r>
    </w:p>
    <w:p>
      <w:pPr>
        <w:pStyle w:val="Heading2"/>
      </w:pPr>
      <w:r>
        <w:rPr>
          <w:color w:val="4F46E5"/>
        </w:rPr>
        <w:t>B. HTML5 Form Controls &amp; Constraints</w:t>
      </w:r>
    </w:p>
    <w:p>
      <w:r>
        <w:t>• type='email': Automatically enforces standard email RFC syntax before submission.</w:t>
      </w:r>
    </w:p>
    <w:p>
      <w:r>
        <w:t>• type='date': Renders native OS calendar pickers for cross-device transaction tracking.</w:t>
      </w:r>
    </w:p>
    <w:p>
      <w:r>
        <w:t>• type='month': Optimized year-and-month selector (YYYY-MM) in statement reports.</w:t>
      </w:r>
    </w:p>
    <w:p>
      <w:r>
        <w:t>• type='number' step='0.01' min='0.01': Enforces floating-point financial amounts and forbids zero or negative entries.</w:t>
      </w:r>
    </w:p>
    <w:p>
      <w:r>
        <w:t>• required, autofocus, minlength='6': Declarative native validation attributes without heavy script overhead.</w:t>
      </w:r>
    </w:p>
    <w:p>
      <w:pPr>
        <w:pStyle w:val="Heading2"/>
      </w:pPr>
      <w:r>
        <w:rPr>
          <w:color w:val="4F46E5"/>
        </w:rPr>
        <w:t>C. Custom Data Attributes (data-*)</w:t>
      </w:r>
    </w:p>
    <w:p>
      <w:r>
        <w:t>• data-category: Embedded on category pills. Clicking a pill copies its value directly into the form.</w:t>
      </w:r>
    </w:p>
    <w:p>
      <w:r>
        <w:t>• data-target: Associates eye-icon toggle buttons directly with password input field IDs.</w:t>
      </w:r>
    </w:p>
    <w:p>
      <w:r>
        <w:t>• data-confirm-delete: Custom safety attribute intercepting delete submissions to prompt confirmation.</w:t>
      </w:r>
    </w:p>
    <w:p>
      <w:pPr>
        <w:pStyle w:val="Heading2"/>
      </w:pPr>
      <w:r>
        <w:rPr>
          <w:color w:val="4F46E5"/>
        </w:rPr>
        <w:t>D. HTML5 Canvas Graphics (&lt;canvas&gt;)</w:t>
      </w:r>
    </w:p>
    <w:p>
      <w:r>
        <w:t>Utilized in dashboard.html for rendering hardware-accelerated 2D bitmap graphs (doughnut category distributions, income/expense comparisons, and smoothed 6-month bezier curves) via Chart.js.</w:t>
      </w:r>
    </w:p>
    <w:p>
      <w:pPr>
        <w:spacing w:after="240"/>
      </w:pPr>
    </w:p>
    <w:p>
      <w:pPr>
        <w:pStyle w:val="Heading1"/>
      </w:pPr>
      <w:r>
        <w:rPr>
          <w:color w:val="0F172A"/>
        </w:rPr>
        <w:t>4. CSS3 Concepts &amp; Modern Design System</w:t>
      </w:r>
    </w:p>
    <w:p>
      <w:pPr>
        <w:pStyle w:val="Heading2"/>
      </w:pPr>
      <w:r>
        <w:rPr>
          <w:color w:val="4F46E5"/>
        </w:rPr>
        <w:t>A. CSS Custom Properties (Variables)</w:t>
      </w:r>
    </w:p>
    <w:p>
      <w:r>
        <w:t>All visual tokens are defined in the :root pseudo-class in style.css for instantaneous theme-wide adjustments:</w:t>
      </w:r>
    </w:p>
    <w:p>
      <w:pPr>
        <w:ind w:left="576"/>
      </w:pPr>
      <w:r>
        <w:rPr>
          <w:rFonts w:ascii="Consolas" w:hAnsi="Consolas"/>
          <w:color w:val="1E293B"/>
          <w:sz w:val="19"/>
        </w:rPr>
        <w:t>:root {</w:t>
        <w:br/>
        <w:t xml:space="preserve">    --primary: #4f46e5;       /* FinTech Indigo */</w:t>
        <w:br/>
        <w:t xml:space="preserve">    --success: #10b981;       /* Inflow Emerald */</w:t>
        <w:br/>
        <w:t xml:space="preserve">    --danger: #ef4444;        /* Outflow Rose */</w:t>
        <w:br/>
        <w:t xml:space="preserve">    --slate: #334155;</w:t>
        <w:br/>
        <w:t xml:space="preserve">    --border: #e2e8f0;</w:t>
        <w:br/>
        <w:t xml:space="preserve">    --radius-md: 14px;</w:t>
        <w:br/>
        <w:t xml:space="preserve">    --shadow-md: 0 4px 12px -1px rgba(15, 23, 42, 0.08);</w:t>
        <w:br/>
        <w:t xml:space="preserve">    --transition: all 0.25s cubic-bezier(0.16, 1, 0.3, 1);</w:t>
        <w:br/>
        <w:t>}</w:t>
      </w:r>
    </w:p>
    <w:p>
      <w:pPr>
        <w:pStyle w:val="Heading2"/>
      </w:pPr>
      <w:r>
        <w:rPr>
          <w:color w:val="4F46E5"/>
        </w:rPr>
        <w:t>B. Flexbox &amp; Grid Architecture</w:t>
      </w:r>
    </w:p>
    <w:p>
      <w:r>
        <w:t>• .app-wrapper { display: flex; }: Seamless side-by-side dock of sidebar and scrollable viewports.</w:t>
      </w:r>
    </w:p>
    <w:p>
      <w:r>
        <w:t>• Card Headers &amp; Stat Tops: display: flex; justify-content: space-between; align-items: center;</w:t>
      </w:r>
    </w:p>
    <w:p>
      <w:r>
        <w:t>• Modern gap property: Uses gap: 0.85rem instead of deprecated margin offsets.</w:t>
      </w:r>
    </w:p>
    <w:p>
      <w:r>
        <w:t>• Bootstrap 12-Column Grid: Multi-tiered responsive layout (col-12, col-sm-6, col-lg-4, col-xl-3).</w:t>
      </w:r>
    </w:p>
    <w:p>
      <w:pPr>
        <w:pStyle w:val="Heading2"/>
      </w:pPr>
      <w:r>
        <w:rPr>
          <w:color w:val="4F46E5"/>
        </w:rPr>
        <w:t>C. CSS Positioning &amp; Layout Strategies</w:t>
      </w:r>
    </w:p>
    <w:p>
      <w:r>
        <w:t>• position: fixed; top: 0; left: 0; bottom: 0;: Locks the navigation sidebar into place.</w:t>
      </w:r>
    </w:p>
    <w:p>
      <w:r>
        <w:t>• position: sticky; top: 0;: Retains the top bar navigation during deep page scrolling.</w:t>
      </w:r>
    </w:p>
    <w:p>
      <w:r>
        <w:t>• position: sticky; top: 90px;: Pinpoints the transaction input form in place while browsing long ledgers.</w:t>
      </w:r>
    </w:p>
    <w:p>
      <w:pPr>
        <w:pStyle w:val="Heading2"/>
      </w:pPr>
      <w:r>
        <w:rPr>
          <w:color w:val="4F46E5"/>
        </w:rPr>
        <w:t>D. Visual Polish: Gradients, Shadows &amp; Micro-Interactions</w:t>
      </w:r>
    </w:p>
    <w:p>
      <w:r>
        <w:t>• Ambient Box Shadows: Multi-tiered shadows simulating real lighting depth without harsh borders.</w:t>
      </w:r>
    </w:p>
    <w:p>
      <w:r>
        <w:t>• ::before Pseudo-Elements: 4px gradient stripes atop stat cards designating income, expense, balance, and volume.</w:t>
      </w:r>
    </w:p>
    <w:p>
      <w:r>
        <w:t>• Micro-Transitions: transform: translateY(-4px) and cubic-bezier easing providing immediate tactile user feedback.</w:t>
      </w:r>
    </w:p>
    <w:p>
      <w:pPr>
        <w:pStyle w:val="Heading2"/>
      </w:pPr>
      <w:r>
        <w:rPr>
          <w:color w:val="4F46E5"/>
        </w:rPr>
        <w:t>E. Media Queries &amp; Responsive Design</w:t>
      </w:r>
    </w:p>
    <w:p>
      <w:r>
        <w:t>At viewport widths under 992px (@media (max-width: 991px)):</w:t>
      </w:r>
    </w:p>
    <w:p>
      <w:pPr>
        <w:pStyle w:val="ListBullet"/>
      </w:pPr>
      <w:r>
        <w:t>1. Sidebar shifts to transform: translateX(-100%) (hidden off-canvas).</w:t>
      </w:r>
    </w:p>
    <w:p>
      <w:pPr>
        <w:pStyle w:val="ListBullet"/>
      </w:pPr>
      <w:r>
        <w:t>2. Mobile hamburger button appears (.sidebar-toggle-btn { display: block; }).</w:t>
      </w:r>
    </w:p>
    <w:p>
      <w:pPr>
        <w:pStyle w:val="ListBullet"/>
      </w:pPr>
      <w:r>
        <w:t>3. Clicking toggle adds .show class (transform: translateX(0)) with overlay auto-dismissal.</w:t>
      </w:r>
    </w:p>
    <w:p>
      <w:pPr>
        <w:spacing w:after="240"/>
      </w:pPr>
    </w:p>
    <w:p>
      <w:pPr>
        <w:pStyle w:val="Heading1"/>
      </w:pPr>
      <w:r>
        <w:rPr>
          <w:color w:val="0F172A"/>
        </w:rPr>
        <w:t>5. Comprehensive UI Components Breakdown</w:t>
      </w:r>
    </w:p>
    <w:tbl>
      <w:tblPr>
        <w:tblW w:type="auto" w:w="0"/>
        <w:jc w:val="center"/>
        <w:tblLook w:firstColumn="1" w:firstRow="1" w:lastColumn="0" w:lastRow="0" w:noHBand="0" w:noVBand="1" w:val="04A0"/>
      </w:tblPr>
      <w:tblGrid>
        <w:gridCol w:w="2592"/>
        <w:gridCol w:w="2592"/>
        <w:gridCol w:w="4176"/>
      </w:tblGrid>
      <w:tr>
        <w:tc>
          <w:tcPr>
            <w:tcW w:type="dxa" w:w="3120"/>
            <w:shd w:fill="F1F5F9"/>
            <w:tcMar>
              <w:top w:w="120" w:type="dxa"/>
              <w:bottom w:w="120" w:type="dxa"/>
              <w:left w:w="150" w:type="dxa"/>
              <w:right w:w="150" w:type="dxa"/>
            </w:tcMar>
          </w:tcPr>
          <w:p>
            <w:r>
              <w:rPr>
                <w:b/>
                <w:color w:val="0F172A"/>
              </w:rPr>
              <w:t>Component</w:t>
            </w:r>
          </w:p>
        </w:tc>
        <w:tc>
          <w:tcPr>
            <w:tcW w:type="dxa" w:w="3120"/>
            <w:shd w:fill="F1F5F9"/>
            <w:tcMar>
              <w:top w:w="120" w:type="dxa"/>
              <w:bottom w:w="120" w:type="dxa"/>
              <w:left w:w="150" w:type="dxa"/>
              <w:right w:w="150" w:type="dxa"/>
            </w:tcMar>
          </w:tcPr>
          <w:p>
            <w:r>
              <w:rPr>
                <w:b/>
                <w:color w:val="0F172A"/>
              </w:rPr>
              <w:t>Files Involved</w:t>
            </w:r>
          </w:p>
        </w:tc>
        <w:tc>
          <w:tcPr>
            <w:tcW w:type="dxa" w:w="3120"/>
            <w:shd w:fill="F1F5F9"/>
            <w:tcMar>
              <w:top w:w="120" w:type="dxa"/>
              <w:bottom w:w="120" w:type="dxa"/>
              <w:left w:w="150" w:type="dxa"/>
              <w:right w:w="150" w:type="dxa"/>
            </w:tcMar>
          </w:tcPr>
          <w:p>
            <w:r>
              <w:rPr>
                <w:b/>
                <w:color w:val="0F172A"/>
              </w:rPr>
              <w:t>Core HTML / CSS Techniques</w:t>
            </w:r>
          </w:p>
        </w:tc>
      </w:tr>
      <w:tr>
        <w:tc>
          <w:tcPr>
            <w:tcW w:type="dxa" w:w="3120"/>
            <w:tcMar>
              <w:top w:w="100" w:type="dxa"/>
              <w:bottom w:w="100" w:type="dxa"/>
              <w:left w:w="150" w:type="dxa"/>
              <w:right w:w="150" w:type="dxa"/>
            </w:tcMar>
          </w:tcPr>
          <w:p>
            <w:r>
              <w:rPr>
                <w:b/>
              </w:rPr>
              <w:t>Off-Canvas Sidebar</w:t>
            </w:r>
          </w:p>
        </w:tc>
        <w:tc>
          <w:tcPr>
            <w:tcW w:type="dxa" w:w="3120"/>
            <w:tcMar>
              <w:top w:w="100" w:type="dxa"/>
              <w:bottom w:w="100" w:type="dxa"/>
              <w:left w:w="150" w:type="dxa"/>
              <w:right w:w="150" w:type="dxa"/>
            </w:tcMar>
          </w:tcPr>
          <w:p>
            <w:r>
              <w:t>base.html, style.css, script.js</w:t>
            </w:r>
          </w:p>
        </w:tc>
        <w:tc>
          <w:tcPr>
            <w:tcW w:type="dxa" w:w="3120"/>
            <w:tcMar>
              <w:top w:w="100" w:type="dxa"/>
              <w:bottom w:w="100" w:type="dxa"/>
              <w:left w:w="150" w:type="dxa"/>
              <w:right w:w="150" w:type="dxa"/>
            </w:tcMar>
          </w:tcPr>
          <w:p>
            <w:r>
              <w:t>position: fixed, flex-direction: column, CSS cubic-bezier translate, active route highlight</w:t>
            </w:r>
          </w:p>
        </w:tc>
      </w:tr>
      <w:tr>
        <w:tc>
          <w:tcPr>
            <w:tcW w:type="dxa" w:w="3120"/>
            <w:tcMar>
              <w:top w:w="100" w:type="dxa"/>
              <w:bottom w:w="100" w:type="dxa"/>
              <w:left w:w="150" w:type="dxa"/>
              <w:right w:w="150" w:type="dxa"/>
            </w:tcMar>
            <w:shd w:fill="F8FAFC"/>
          </w:tcPr>
          <w:p>
            <w:r>
              <w:rPr>
                <w:b/>
              </w:rPr>
              <w:t>KPI Stat Cards</w:t>
            </w:r>
          </w:p>
        </w:tc>
        <w:tc>
          <w:tcPr>
            <w:tcW w:type="dxa" w:w="3120"/>
            <w:tcMar>
              <w:top w:w="100" w:type="dxa"/>
              <w:bottom w:w="100" w:type="dxa"/>
              <w:left w:w="150" w:type="dxa"/>
              <w:right w:w="150" w:type="dxa"/>
            </w:tcMar>
            <w:shd w:fill="F8FAFC"/>
          </w:tcPr>
          <w:p>
            <w:r>
              <w:t>dashboard.html, style.css</w:t>
            </w:r>
          </w:p>
        </w:tc>
        <w:tc>
          <w:tcPr>
            <w:tcW w:type="dxa" w:w="3120"/>
            <w:tcMar>
              <w:top w:w="100" w:type="dxa"/>
              <w:bottom w:w="100" w:type="dxa"/>
              <w:left w:w="150" w:type="dxa"/>
              <w:right w:w="150" w:type="dxa"/>
            </w:tcMar>
            <w:shd w:fill="F8FAFC"/>
          </w:tcPr>
          <w:p>
            <w:r>
              <w:t>::before top accent line, flex-between headers, ambient elevation shadow, typography hierarchy</w:t>
            </w:r>
          </w:p>
        </w:tc>
      </w:tr>
      <w:tr>
        <w:tc>
          <w:tcPr>
            <w:tcW w:type="dxa" w:w="3120"/>
            <w:tcMar>
              <w:top w:w="100" w:type="dxa"/>
              <w:bottom w:w="100" w:type="dxa"/>
              <w:left w:w="150" w:type="dxa"/>
              <w:right w:w="150" w:type="dxa"/>
            </w:tcMar>
          </w:tcPr>
          <w:p>
            <w:r>
              <w:rPr>
                <w:b/>
              </w:rPr>
              <w:t>Interactive Graphs</w:t>
            </w:r>
          </w:p>
        </w:tc>
        <w:tc>
          <w:tcPr>
            <w:tcW w:type="dxa" w:w="3120"/>
            <w:tcMar>
              <w:top w:w="100" w:type="dxa"/>
              <w:bottom w:w="100" w:type="dxa"/>
              <w:left w:w="150" w:type="dxa"/>
              <w:right w:w="150" w:type="dxa"/>
            </w:tcMar>
          </w:tcPr>
          <w:p>
            <w:r>
              <w:t>dashboard.html, script.js</w:t>
            </w:r>
          </w:p>
        </w:tc>
        <w:tc>
          <w:tcPr>
            <w:tcW w:type="dxa" w:w="3120"/>
            <w:tcMar>
              <w:top w:w="100" w:type="dxa"/>
              <w:bottom w:w="100" w:type="dxa"/>
              <w:left w:w="150" w:type="dxa"/>
              <w:right w:w="150" w:type="dxa"/>
            </w:tcMar>
          </w:tcPr>
          <w:p>
            <w:r>
              <w:t>&lt;canvas&gt;, Chart.js custom datasets, responsive aspect ratios, canvas background linear-gradients</w:t>
            </w:r>
          </w:p>
        </w:tc>
      </w:tr>
      <w:tr>
        <w:tc>
          <w:tcPr>
            <w:tcW w:type="dxa" w:w="3120"/>
            <w:tcMar>
              <w:top w:w="100" w:type="dxa"/>
              <w:bottom w:w="100" w:type="dxa"/>
              <w:left w:w="150" w:type="dxa"/>
              <w:right w:w="150" w:type="dxa"/>
            </w:tcMar>
            <w:shd w:fill="F8FAFC"/>
          </w:tcPr>
          <w:p>
            <w:r>
              <w:rPr>
                <w:b/>
              </w:rPr>
              <w:t>Category Quick Pills</w:t>
            </w:r>
          </w:p>
        </w:tc>
        <w:tc>
          <w:tcPr>
            <w:tcW w:type="dxa" w:w="3120"/>
            <w:tcMar>
              <w:top w:w="100" w:type="dxa"/>
              <w:bottom w:w="100" w:type="dxa"/>
              <w:left w:w="150" w:type="dxa"/>
              <w:right w:w="150" w:type="dxa"/>
            </w:tcMar>
            <w:shd w:fill="F8FAFC"/>
          </w:tcPr>
          <w:p>
            <w:r>
              <w:t>transactions.html, script.js</w:t>
            </w:r>
          </w:p>
        </w:tc>
        <w:tc>
          <w:tcPr>
            <w:tcW w:type="dxa" w:w="3120"/>
            <w:tcMar>
              <w:top w:w="100" w:type="dxa"/>
              <w:bottom w:w="100" w:type="dxa"/>
              <w:left w:w="150" w:type="dxa"/>
              <w:right w:w="150" w:type="dxa"/>
            </w:tcMar>
            <w:shd w:fill="F8FAFC"/>
          </w:tcPr>
          <w:p>
            <w:r>
              <w:t>data-category, .cat-pill:hover, JS click listener auto-populating input fields</w:t>
            </w:r>
          </w:p>
        </w:tc>
      </w:tr>
      <w:tr>
        <w:tc>
          <w:tcPr>
            <w:tcW w:type="dxa" w:w="3120"/>
            <w:tcMar>
              <w:top w:w="100" w:type="dxa"/>
              <w:bottom w:w="100" w:type="dxa"/>
              <w:left w:w="150" w:type="dxa"/>
              <w:right w:w="150" w:type="dxa"/>
            </w:tcMar>
          </w:tcPr>
          <w:p>
            <w:r>
              <w:rPr>
                <w:b/>
              </w:rPr>
              <w:t>Budget Progress Bar</w:t>
            </w:r>
          </w:p>
        </w:tc>
        <w:tc>
          <w:tcPr>
            <w:tcW w:type="dxa" w:w="3120"/>
            <w:tcMar>
              <w:top w:w="100" w:type="dxa"/>
              <w:bottom w:w="100" w:type="dxa"/>
              <w:left w:w="150" w:type="dxa"/>
              <w:right w:w="150" w:type="dxa"/>
            </w:tcMar>
          </w:tcPr>
          <w:p>
            <w:r>
              <w:t>budget.html, style.css</w:t>
            </w:r>
          </w:p>
        </w:tc>
        <w:tc>
          <w:tcPr>
            <w:tcW w:type="dxa" w:w="3120"/>
            <w:tcMar>
              <w:top w:w="100" w:type="dxa"/>
              <w:bottom w:w="100" w:type="dxa"/>
              <w:left w:w="150" w:type="dxa"/>
              <w:right w:w="150" w:type="dxa"/>
            </w:tcMar>
          </w:tcPr>
          <w:p>
            <w:r>
              <w:t>.progress-bar-modern, dynamic inline width, status color thresholds (green/yellow/red)</w:t>
            </w:r>
          </w:p>
        </w:tc>
      </w:tr>
      <w:tr>
        <w:tc>
          <w:tcPr>
            <w:tcW w:type="dxa" w:w="3120"/>
            <w:tcMar>
              <w:top w:w="100" w:type="dxa"/>
              <w:bottom w:w="100" w:type="dxa"/>
              <w:left w:w="150" w:type="dxa"/>
              <w:right w:w="150" w:type="dxa"/>
            </w:tcMar>
            <w:shd w:fill="F8FAFC"/>
          </w:tcPr>
          <w:p>
            <w:r>
              <w:rPr>
                <w:b/>
              </w:rPr>
              <w:t>Auth Modals / Cards</w:t>
            </w:r>
          </w:p>
        </w:tc>
        <w:tc>
          <w:tcPr>
            <w:tcW w:type="dxa" w:w="3120"/>
            <w:tcMar>
              <w:top w:w="100" w:type="dxa"/>
              <w:bottom w:w="100" w:type="dxa"/>
              <w:left w:w="150" w:type="dxa"/>
              <w:right w:w="150" w:type="dxa"/>
            </w:tcMar>
            <w:shd w:fill="F8FAFC"/>
          </w:tcPr>
          <w:p>
            <w:r>
              <w:t>login.html, register.html</w:t>
            </w:r>
          </w:p>
        </w:tc>
        <w:tc>
          <w:tcPr>
            <w:tcW w:type="dxa" w:w="3120"/>
            <w:tcMar>
              <w:top w:w="100" w:type="dxa"/>
              <w:bottom w:w="100" w:type="dxa"/>
              <w:left w:w="150" w:type="dxa"/>
              <w:right w:w="150" w:type="dxa"/>
            </w:tcMar>
            <w:shd w:fill="F8FAFC"/>
          </w:tcPr>
          <w:p>
            <w:r>
              <w:t>Centered flex layout, input groups, password reveal eye buttons, radial background gradient</w:t>
            </w:r>
          </w:p>
        </w:tc>
      </w:tr>
    </w:tbl>
    <w:p>
      <w:pPr>
        <w:spacing w:after="240"/>
      </w:pPr>
    </w:p>
    <w:p>
      <w:pPr>
        <w:pStyle w:val="Heading1"/>
      </w:pPr>
      <w:r>
        <w:rPr>
          <w:color w:val="0F172A"/>
        </w:rPr>
        <w:t>6. Viva &amp; Presentation Questions &amp; Answers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pPr>
            <w:r>
              <w:rPr>
                <w:b/>
                <w:color w:val="4338CA"/>
              </w:rPr>
              <w:t>Q1: Why is Jinja2 Template Inheritance preferred over traditional multiple HTML files?</w:t>
            </w:r>
          </w:p>
          <w:p>
            <w:pPr>
              <w:spacing w:after="0"/>
            </w:pPr>
            <w:r>
              <w:rPr>
                <w:color w:val="1E293B"/>
              </w:rPr>
              <w:t>Answer: Template inheritance (using {% extends 'base.html' %} and {% block content %}) ensures DRY (Don't Repeat Yourself) compliance. Common assets like CSS libraries, fonts, header bars, and sidebars are maintained in one place (base.html). If a navigation link or styling changes, updating base.html reflects across every screen immediately.</w:t>
            </w:r>
          </w:p>
        </w:tc>
      </w:tr>
    </w:tbl>
    <w:p>
      <w:pPr>
        <w:spacing w:after="12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pPr>
            <w:r>
              <w:rPr>
                <w:b/>
                <w:color w:val="4338CA"/>
              </w:rPr>
              <w:t>Q2: How is responsiveness implemented for mobile devices?</w:t>
            </w:r>
          </w:p>
          <w:p>
            <w:pPr>
              <w:spacing w:after="0"/>
            </w:pPr>
            <w:r>
              <w:rPr>
                <w:color w:val="1E293B"/>
              </w:rPr>
              <w:t>Answer: Responsiveness is achieved by marrying Bootstrap's 12-column flexbox grid system with custom CSS3 media queries (@media (max-width: 991px)). On mobile, the desktop sidebar transforms into an off-canvas drawer that slides out when the user taps the hamburger menu, optimizing view space.</w:t>
            </w:r>
          </w:p>
        </w:tc>
      </w:tr>
    </w:tbl>
    <w:p>
      <w:pPr>
        <w:spacing w:after="12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pPr>
            <w:r>
              <w:rPr>
                <w:b/>
                <w:color w:val="4338CA"/>
              </w:rPr>
              <w:t>Q3: What are the benefits of using CSS Custom Properties (:root variables)?</w:t>
            </w:r>
          </w:p>
          <w:p>
            <w:pPr>
              <w:spacing w:after="0"/>
            </w:pPr>
            <w:r>
              <w:rPr>
                <w:color w:val="1E293B"/>
              </w:rPr>
              <w:t>Answer: CSS Variables enable centralized design tokens (brand colors, radius standards, shadows). Updating the primary accent color or font stack in one place automatically harmonizes the entire application, making maintenance and theme changes effortless.</w:t>
            </w:r>
          </w:p>
        </w:tc>
      </w:tr>
    </w:tbl>
    <w:p>
      <w:pPr>
        <w:spacing w:after="12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pPr>
            <w:r>
              <w:rPr>
                <w:b/>
                <w:color w:val="4338CA"/>
              </w:rPr>
              <w:t>Q4: Why use HTML5 semantic elements instead of standard &lt;div&gt; tags?</w:t>
            </w:r>
          </w:p>
          <w:p>
            <w:pPr>
              <w:spacing w:after="0"/>
            </w:pPr>
            <w:r>
              <w:rPr>
                <w:color w:val="1E293B"/>
              </w:rPr>
              <w:t>Answer: Semantic tags (&lt;aside&gt;, &lt;header&gt;, &lt;main&gt;, &lt;nav&gt;, &lt;details&gt;) provide semantic meaning to search engines and screen readers (a11y), improve code readability, and establish standard document landmark regions.</w:t>
            </w:r>
          </w:p>
        </w:tc>
      </w:tr>
    </w:tbl>
    <w:p>
      <w:pPr>
        <w:spacing w:after="12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pPr>
            <w:r>
              <w:rPr>
                <w:b/>
                <w:color w:val="4338CA"/>
              </w:rPr>
              <w:t>Q5: How are graphs rendered in the frontend?</w:t>
            </w:r>
          </w:p>
          <w:p>
            <w:pPr>
              <w:spacing w:after="0"/>
            </w:pPr>
            <w:r>
              <w:rPr>
                <w:color w:val="1E293B"/>
              </w:rPr>
              <w:t>Answer: The templates define HTML5 &lt;canvas&gt; elements. A lightweight client-side library (Chart.js) binds to these canvas contexts, pulling aggregated JSON data passed from Python models, and rendering hardware-accelerated SVG/canvas doughnut, bar, and area charts.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