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b w:val="1"/>
          <w:bCs w:val="1"/>
          <w:color w:val="f54a23"/>
          <w:sz w:val="56"/>
          <w:szCs w:val="56"/>
        </w:rPr>
      </w:pPr>
      <w:r w:rsidDel="00000000" w:rsidR="00000000" w:rsidRPr="00000000">
        <w:rPr>
          <w:b w:val="1"/>
          <w:bCs w:val="1"/>
          <w:color w:val="f54a23"/>
          <w:sz w:val="56"/>
          <w:szCs w:val="56"/>
          <w:rtl w:val="0"/>
        </w:rPr>
        <w:t xml:space="preserve">CADIENT TALENT</w:t>
      </w:r>
    </w:p>
    <w:p w:rsidR="00000000" w:rsidDel="00000000" w:rsidP="00000000" w:rsidRDefault="00000000" w:rsidRPr="00000000" w14:paraId="00000003">
      <w:pPr>
        <w:spacing w:before="200" w:lineRule="auto"/>
        <w:jc w:val="center"/>
        <w:rPr>
          <w:color w:val="1e3a5f"/>
          <w:sz w:val="36"/>
          <w:szCs w:val="36"/>
        </w:rPr>
      </w:pPr>
      <w:r w:rsidDel="00000000" w:rsidR="00000000" w:rsidRPr="00000000">
        <w:rPr>
          <w:color w:val="1e3a5f"/>
          <w:sz w:val="36"/>
          <w:szCs w:val="36"/>
          <w:rtl w:val="0"/>
        </w:rPr>
        <w:t xml:space="preserve">Complete Knowledge Base Document</w:t>
      </w:r>
    </w:p>
    <w:p w:rsidR="00000000" w:rsidDel="00000000" w:rsidP="00000000" w:rsidRDefault="00000000" w:rsidRPr="00000000" w14:paraId="00000004">
      <w:pPr>
        <w:spacing w:before="400" w:lineRule="auto"/>
        <w:jc w:val="center"/>
        <w:rPr>
          <w:i w:val="1"/>
          <w:iCs w:val="1"/>
          <w:color w:val="666666"/>
          <w:sz w:val="24"/>
          <w:szCs w:val="24"/>
        </w:rPr>
      </w:pPr>
      <w:r w:rsidDel="00000000" w:rsidR="00000000" w:rsidRPr="00000000">
        <w:rPr>
          <w:i w:val="1"/>
          <w:iCs w:val="1"/>
          <w:color w:val="666666"/>
          <w:sz w:val="24"/>
          <w:szCs w:val="24"/>
          <w:rtl w:val="0"/>
        </w:rPr>
        <w:t xml:space="preserve">Comprehensive Information for Chatbot Training</w:t>
      </w:r>
    </w:p>
    <w:p w:rsidR="00000000" w:rsidDel="00000000" w:rsidP="00000000" w:rsidRDefault="00000000" w:rsidRPr="00000000" w14:paraId="00000005">
      <w:pPr>
        <w:spacing w:before="300" w:lineRule="auto"/>
        <w:jc w:val="center"/>
        <w:rPr>
          <w:color w:val="444444"/>
          <w:sz w:val="20"/>
          <w:szCs w:val="20"/>
        </w:rPr>
      </w:pPr>
      <w:r w:rsidDel="00000000" w:rsidR="00000000" w:rsidRPr="00000000">
        <w:rPr>
          <w:color w:val="444444"/>
          <w:sz w:val="20"/>
          <w:szCs w:val="20"/>
          <w:rtl w:val="0"/>
        </w:rPr>
        <w:t xml:space="preserve">Including: Company Overview, Products, Policies, Brand Guidelines &amp; FAQs</w:t>
      </w:r>
    </w:p>
    <w:p w:rsidR="00000000" w:rsidDel="00000000" w:rsidP="00000000" w:rsidRDefault="00000000" w:rsidRPr="00000000" w14:paraId="00000006">
      <w:pPr>
        <w:spacing w:before="1200" w:lineRule="auto"/>
        <w:jc w:val="center"/>
        <w:rPr>
          <w:color w:val="1e3a5f"/>
          <w:sz w:val="20"/>
          <w:szCs w:val="20"/>
        </w:rPr>
      </w:pPr>
      <w:r w:rsidDel="00000000" w:rsidR="00000000" w:rsidRPr="00000000">
        <w:rPr>
          <w:color w:val="1e3a5f"/>
          <w:sz w:val="20"/>
          <w:szCs w:val="20"/>
          <w:rtl w:val="0"/>
        </w:rPr>
        <w:t xml:space="preserve">Website: https://cadienttalent.com</w:t>
      </w:r>
    </w:p>
    <w:p w:rsidR="00000000" w:rsidDel="00000000" w:rsidP="00000000" w:rsidRDefault="00000000" w:rsidRPr="00000000" w14:paraId="00000007">
      <w:pPr>
        <w:spacing w:before="100" w:lineRule="auto"/>
        <w:jc w:val="center"/>
        <w:rPr>
          <w:color w:val="1e3a5f"/>
          <w:sz w:val="20"/>
          <w:szCs w:val="20"/>
        </w:rPr>
      </w:pPr>
      <w:r w:rsidDel="00000000" w:rsidR="00000000" w:rsidRPr="00000000">
        <w:rPr>
          <w:color w:val="1e3a5f"/>
          <w:sz w:val="20"/>
          <w:szCs w:val="20"/>
          <w:rtl w:val="0"/>
        </w:rPr>
        <w:t xml:space="preserve">Email: sales@cadienttalent.com | Privacy: privacy@cadienttalent.com</w:t>
      </w:r>
    </w:p>
    <w:p w:rsidR="00000000" w:rsidDel="00000000" w:rsidP="00000000" w:rsidRDefault="00000000" w:rsidRPr="00000000" w14:paraId="00000008">
      <w:pPr>
        <w:spacing w:before="100" w:lineRule="auto"/>
        <w:jc w:val="center"/>
        <w:rPr>
          <w:color w:val="1e3a5f"/>
          <w:sz w:val="20"/>
          <w:szCs w:val="20"/>
        </w:rPr>
      </w:pPr>
      <w:r w:rsidDel="00000000" w:rsidR="00000000" w:rsidRPr="00000000">
        <w:rPr>
          <w:color w:val="1e3a5f"/>
          <w:sz w:val="20"/>
          <w:szCs w:val="20"/>
          <w:rtl w:val="0"/>
        </w:rPr>
        <w:t xml:space="preserve">Support: 866-332-1771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pStyle w:val="Heading1"/>
        <w:keepNext w:val="0"/>
        <w:keepLines w:val="0"/>
        <w:spacing w:after="200" w:before="0" w:lineRule="auto"/>
        <w:rPr>
          <w:b w:val="1"/>
          <w:bCs w:val="1"/>
          <w:color w:val="1e3a5f"/>
          <w:sz w:val="36"/>
          <w:szCs w:val="36"/>
        </w:rPr>
      </w:pPr>
      <w:bookmarkStart w:colFirst="0" w:colLast="0" w:name="_1c7pqj3cralb" w:id="0"/>
      <w:bookmarkEnd w:id="0"/>
      <w:r w:rsidDel="00000000" w:rsidR="00000000" w:rsidRPr="00000000">
        <w:rPr>
          <w:rtl w:val="0"/>
        </w:rPr>
      </w:r>
    </w:p>
    <w:p w:rsidR="00000000" w:rsidDel="00000000" w:rsidP="00000000" w:rsidRDefault="00000000" w:rsidRPr="00000000" w14:paraId="0000000C">
      <w:pPr>
        <w:pStyle w:val="Heading1"/>
        <w:keepNext w:val="0"/>
        <w:keepLines w:val="0"/>
        <w:spacing w:after="200" w:before="0" w:lineRule="auto"/>
        <w:rPr>
          <w:b w:val="1"/>
          <w:bCs w:val="1"/>
          <w:color w:val="1e3a5f"/>
          <w:sz w:val="36"/>
          <w:szCs w:val="36"/>
        </w:rPr>
      </w:pPr>
      <w:bookmarkStart w:colFirst="0" w:colLast="0" w:name="_iyq0x08eakyd" w:id="1"/>
      <w:bookmarkEnd w:id="1"/>
      <w:r w:rsidDel="00000000" w:rsidR="00000000" w:rsidRPr="00000000">
        <w:rPr>
          <w:rtl w:val="0"/>
        </w:rPr>
      </w:r>
    </w:p>
    <w:p w:rsidR="00000000" w:rsidDel="00000000" w:rsidP="00000000" w:rsidRDefault="00000000" w:rsidRPr="00000000" w14:paraId="0000000D">
      <w:pPr>
        <w:pStyle w:val="Heading1"/>
        <w:keepNext w:val="0"/>
        <w:keepLines w:val="0"/>
        <w:spacing w:after="200" w:before="0" w:lineRule="auto"/>
        <w:rPr>
          <w:b w:val="1"/>
          <w:bCs w:val="1"/>
          <w:color w:val="1e3a5f"/>
          <w:sz w:val="36"/>
          <w:szCs w:val="36"/>
        </w:rPr>
      </w:pPr>
      <w:bookmarkStart w:colFirst="0" w:colLast="0" w:name="_rtzfm2adx9rk" w:id="2"/>
      <w:bookmarkEnd w:id="2"/>
      <w:r w:rsidDel="00000000" w:rsidR="00000000" w:rsidRPr="00000000">
        <w:rPr>
          <w:b w:val="1"/>
          <w:bCs w:val="1"/>
          <w:color w:val="1e3a5f"/>
          <w:sz w:val="36"/>
          <w:szCs w:val="36"/>
          <w:rtl w:val="0"/>
        </w:rPr>
        <w:t xml:space="preserve">Table of Contents</w:t>
      </w:r>
    </w:p>
    <w:p w:rsidR="00000000" w:rsidDel="00000000" w:rsidP="00000000" w:rsidRDefault="00000000" w:rsidRPr="00000000" w14:paraId="0000000E">
      <w:pPr>
        <w:numPr>
          <w:ilvl w:val="0"/>
          <w:numId w:val="1"/>
        </w:numPr>
        <w:spacing w:after="0" w:afterAutospacing="0" w:lineRule="auto"/>
        <w:ind w:left="1440" w:hanging="360"/>
      </w:pPr>
      <w:r w:rsidDel="00000000" w:rsidR="00000000" w:rsidRPr="00000000">
        <w:rPr>
          <w:rtl w:val="0"/>
        </w:rPr>
        <w:t xml:space="preserve">3rd Party Assessments</w:t>
      </w:r>
    </w:p>
    <w:p w:rsidR="00000000" w:rsidDel="00000000" w:rsidP="00000000" w:rsidRDefault="00000000" w:rsidRPr="00000000" w14:paraId="0000000F">
      <w:pPr>
        <w:numPr>
          <w:ilvl w:val="0"/>
          <w:numId w:val="1"/>
        </w:numPr>
        <w:spacing w:after="0" w:afterAutospacing="0" w:lineRule="auto"/>
        <w:ind w:left="1440" w:hanging="360"/>
      </w:pPr>
      <w:r w:rsidDel="00000000" w:rsidR="00000000" w:rsidRPr="00000000">
        <w:rPr>
          <w:rtl w:val="0"/>
        </w:rPr>
        <w:t xml:space="preserve">What is it ?</w:t>
      </w:r>
    </w:p>
    <w:p w:rsidR="00000000" w:rsidDel="00000000" w:rsidP="00000000" w:rsidRDefault="00000000" w:rsidRPr="00000000" w14:paraId="00000010">
      <w:pPr>
        <w:numPr>
          <w:ilvl w:val="0"/>
          <w:numId w:val="1"/>
        </w:numPr>
        <w:spacing w:after="0" w:afterAutospacing="0" w:lineRule="auto"/>
        <w:ind w:left="1440" w:hanging="360"/>
        <w:rPr>
          <w:u w:val="none"/>
        </w:rPr>
      </w:pPr>
      <w:r w:rsidDel="00000000" w:rsidR="00000000" w:rsidRPr="00000000">
        <w:rPr>
          <w:rtl w:val="0"/>
        </w:rPr>
        <w:t xml:space="preserve">Key Uses &amp; Features</w:t>
      </w:r>
    </w:p>
    <w:p w:rsidR="00000000" w:rsidDel="00000000" w:rsidP="00000000" w:rsidRDefault="00000000" w:rsidRPr="00000000" w14:paraId="00000011">
      <w:pPr>
        <w:numPr>
          <w:ilvl w:val="0"/>
          <w:numId w:val="1"/>
        </w:numPr>
        <w:spacing w:after="100" w:lineRule="auto"/>
        <w:ind w:left="1440" w:hanging="360"/>
        <w:rPr>
          <w:u w:val="none"/>
        </w:rPr>
      </w:pPr>
      <w:r w:rsidDel="00000000" w:rsidR="00000000" w:rsidRPr="00000000">
        <w:rPr>
          <w:rtl w:val="0"/>
        </w:rPr>
        <w:t xml:space="preserve">THe Business Advantage</w:t>
      </w:r>
    </w:p>
    <w:p w:rsidR="00000000" w:rsidDel="00000000" w:rsidP="00000000" w:rsidRDefault="00000000" w:rsidRPr="00000000" w14:paraId="00000012">
      <w:pPr>
        <w:spacing w:after="100" w:lineRule="auto"/>
        <w:ind w:left="1440" w:firstLine="0"/>
        <w:rPr/>
      </w:pP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rhagd6bd3tf" w:id="3"/>
      <w:bookmarkEnd w:id="3"/>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boy0p248pcl" w:id="4"/>
      <w:bookmarkEnd w:id="4"/>
      <w:r w:rsidDel="00000000" w:rsidR="00000000" w:rsidRPr="00000000">
        <w:rPr>
          <w:b w:val="1"/>
          <w:bCs w:val="1"/>
          <w:sz w:val="34"/>
          <w:szCs w:val="34"/>
          <w:rtl w:val="0"/>
        </w:rPr>
        <w:t xml:space="preserve">3rd Party Assessments (Existing Integration)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Pricing Model:</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Subscription:</w:t>
      </w:r>
      <w:r w:rsidDel="00000000" w:rsidR="00000000" w:rsidRPr="00000000">
        <w:rPr>
          <w:rtl w:val="0"/>
        </w:rPr>
        <w:t xml:space="preserve"> </w:t>
      </w:r>
      <w:r w:rsidDel="00000000" w:rsidR="00000000" w:rsidRPr="00000000">
        <w:rPr>
          <w:b w:val="1"/>
          <w:bCs w:val="1"/>
          <w:rtl w:val="0"/>
        </w:rPr>
        <w:t xml:space="preserve">$3,000/year</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Scaled by count based on job families or locations.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yuj49q9q9g2" w:id="5"/>
      <w:bookmarkEnd w:id="5"/>
      <w:r w:rsidDel="00000000" w:rsidR="00000000" w:rsidRPr="00000000">
        <w:rPr>
          <w:b w:val="1"/>
          <w:bCs w:val="1"/>
          <w:color w:val="000000"/>
          <w:sz w:val="26"/>
          <w:szCs w:val="26"/>
          <w:rtl w:val="0"/>
        </w:rPr>
        <w:t xml:space="preserve">What is it?</w:t>
      </w:r>
    </w:p>
    <w:p w:rsidR="00000000" w:rsidDel="00000000" w:rsidP="00000000" w:rsidRDefault="00000000" w:rsidRPr="00000000" w14:paraId="0000001B">
      <w:pPr>
        <w:spacing w:after="240" w:before="240" w:lineRule="auto"/>
        <w:rPr/>
      </w:pPr>
      <w:r w:rsidDel="00000000" w:rsidR="00000000" w:rsidRPr="00000000">
        <w:rPr>
          <w:rtl w:val="0"/>
        </w:rPr>
        <w:t xml:space="preserve">For organizations that have already invested in a preferred assessment provider, we offer a high-speed, pre-built bridge that pulls external data directly into the Hiring Management Console (HMC). This allows your team to maintain their existing testing standards and historical data while benefiting from our unified, automated hiring workflow.</w:t>
      </w:r>
    </w:p>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yuph3udrzrq" w:id="6"/>
      <w:bookmarkEnd w:id="6"/>
      <w:r w:rsidDel="00000000" w:rsidR="00000000" w:rsidRPr="00000000">
        <w:rPr>
          <w:b w:val="1"/>
          <w:bCs w:val="1"/>
          <w:color w:val="000000"/>
          <w:sz w:val="26"/>
          <w:szCs w:val="26"/>
          <w:rtl w:val="0"/>
        </w:rPr>
        <w:t xml:space="preserve">Key Uses &amp; Features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Centralized Decision Making:</w:t>
      </w:r>
      <w:r w:rsidDel="00000000" w:rsidR="00000000" w:rsidRPr="00000000">
        <w:rPr>
          <w:rtl w:val="0"/>
        </w:rPr>
        <w:t xml:space="preserve"> View 3rd-party scores (e.g., numeric, color-coded, or band-level) alongside our standard candidate data for a complete view of applicant quality.</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Optimized Screening:</w:t>
      </w:r>
      <w:r w:rsidDel="00000000" w:rsidR="00000000" w:rsidRPr="00000000">
        <w:rPr>
          <w:rtl w:val="0"/>
        </w:rPr>
        <w:t xml:space="preserve"> Use established vendor data to filter out applicants who do not meet your performance thresholds, ensuring managers only spend time on high-potential leads.</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Flexible Placement:</w:t>
      </w:r>
      <w:r w:rsidDel="00000000" w:rsidR="00000000" w:rsidRPr="00000000">
        <w:rPr>
          <w:rtl w:val="0"/>
        </w:rPr>
        <w:t xml:space="preserve"> We can insert the third-party assessment call at any phase of your selection process, whether it’s at the initial application or a post-interview verification step.</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Cross-Platform Reporting:</w:t>
      </w:r>
      <w:r w:rsidDel="00000000" w:rsidR="00000000" w:rsidRPr="00000000">
        <w:rPr>
          <w:rtl w:val="0"/>
        </w:rPr>
        <w:t xml:space="preserve"> Generate statistical compliance and usage reports that include your third-party data to monitor hiring consistency across all divisions.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fz3yll2ksrxb" w:id="7"/>
      <w:bookmarkEnd w:id="7"/>
      <w:r w:rsidDel="00000000" w:rsidR="00000000" w:rsidRPr="00000000">
        <w:rPr>
          <w:b w:val="1"/>
          <w:bCs w:val="1"/>
          <w:color w:val="000000"/>
          <w:sz w:val="26"/>
          <w:szCs w:val="26"/>
          <w:rtl w:val="0"/>
        </w:rPr>
        <w:t xml:space="preserve">The Business Advantage</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Management Efficiency:</w:t>
      </w:r>
      <w:r w:rsidDel="00000000" w:rsidR="00000000" w:rsidRPr="00000000">
        <w:rPr>
          <w:rtl w:val="0"/>
        </w:rPr>
        <w:t xml:space="preserve"> By using proven assessments to filter applications, managers are twice as likely to save over 3 hours per week that would otherwise be spent managing low-scoring, "at-risk" employees.</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Legal Defensibility:</w:t>
      </w:r>
      <w:r w:rsidDel="00000000" w:rsidR="00000000" w:rsidRPr="00000000">
        <w:rPr>
          <w:rtl w:val="0"/>
        </w:rPr>
        <w:t xml:space="preserve"> Leveraging established 3rd-party tools within our secure framework provides greater defensibility for your pre-employment screening processes.</w:t>
      </w:r>
    </w:p>
    <w:p w:rsidR="00000000" w:rsidDel="00000000" w:rsidP="00000000" w:rsidRDefault="00000000" w:rsidRPr="00000000" w14:paraId="00000025">
      <w:pPr>
        <w:spacing w:after="1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