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wrke54o7209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Text Campaigns — Pricing &amp; Service Guide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xjzqclt8uzg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Pricing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2850"/>
        <w:gridCol w:w="2835"/>
        <w:tblGridChange w:id="0">
          <w:tblGrid>
            <w:gridCol w:w="2850"/>
            <w:gridCol w:w="2850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Ad‑hoc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Priced separately (“Not included” by default) (client-provided)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nt0mgd9kcsg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What are Text Campaigns (Cadient-aligned)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Cadient describes the use of SMS recruiting as reaching targeted candidates at scale using automated campaigns (e.g., sharing job openings and relevant information).​</w:t>
        <w:br w:type="textWrapping"/>
        <w:t xml:space="preserve">Cadient also explains “campaigns and tags” as a way to segment candidates into specific audiences so you can send individualized messages at the best time, automating repetitive tasks.​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412znfloyk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What Text Campaigns are used for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Text Campaigns when you need outreach to a group (not 1:1 messaging), for example: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Announce job openings or hiring events to a targeted audience.​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Nurture potential applicants and keep candidates engaged through scheduled messaging.​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Segment audiences using tags and deliver the “right message to the right candidate at the right time.”​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ijrciu0eau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Key capabilities (from Cadient content)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Campaign-based outreach: Send messages to targeted audiences, including automated campaigns at scale.​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Segmentation &amp; targeting: Use tags to assign people to specific campaigns and segment candidates into audiences.​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Automation support: Cadient positions campaign messaging as a way to automate repetitive communication tasks while maintaining individualized messaging.​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56qbrduwqp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When to sell as “Ad-hoc”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Recommended scenarios where “priced separately” add‑on makes sense (packaging logic):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Seasonal hiring surges (bulk outreach needed).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Job fair or walk‑in drive promotions (event-based campaign).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Re‑engaging past candidates using segmented lists/tags.​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