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f54a23"/>
          <w:sz w:val="56"/>
          <w:szCs w:val="56"/>
        </w:rPr>
      </w:pPr>
      <w:r w:rsidDel="00000000" w:rsidR="00000000" w:rsidRPr="00000000">
        <w:rPr>
          <w:b w:val="1"/>
          <w:bCs w:val="1"/>
          <w:color w:val="f54a23"/>
          <w:sz w:val="56"/>
          <w:szCs w:val="56"/>
          <w:rtl w:val="0"/>
        </w:rPr>
        <w:t xml:space="preserve">CADIENT TALENT</w:t>
      </w:r>
    </w:p>
    <w:p w:rsidR="00000000" w:rsidDel="00000000" w:rsidP="00000000" w:rsidRDefault="00000000" w:rsidRPr="00000000" w14:paraId="00000003">
      <w:pPr>
        <w:spacing w:before="200" w:lineRule="auto"/>
        <w:jc w:val="center"/>
        <w:rPr>
          <w:color w:val="1e3a5f"/>
          <w:sz w:val="36"/>
          <w:szCs w:val="36"/>
        </w:rPr>
      </w:pPr>
      <w:r w:rsidDel="00000000" w:rsidR="00000000" w:rsidRPr="00000000">
        <w:rPr>
          <w:color w:val="1e3a5f"/>
          <w:sz w:val="36"/>
          <w:szCs w:val="36"/>
          <w:rtl w:val="0"/>
        </w:rPr>
        <w:t xml:space="preserve">Complete Knowledge Base Document</w:t>
      </w:r>
    </w:p>
    <w:p w:rsidR="00000000" w:rsidDel="00000000" w:rsidP="00000000" w:rsidRDefault="00000000" w:rsidRPr="00000000" w14:paraId="00000004">
      <w:pPr>
        <w:spacing w:before="400" w:lineRule="auto"/>
        <w:jc w:val="center"/>
        <w:rPr>
          <w:i w:val="1"/>
          <w:iCs w:val="1"/>
          <w:color w:val="666666"/>
          <w:sz w:val="24"/>
          <w:szCs w:val="24"/>
        </w:rPr>
      </w:pPr>
      <w:r w:rsidDel="00000000" w:rsidR="00000000" w:rsidRPr="00000000">
        <w:rPr>
          <w:i w:val="1"/>
          <w:iCs w:val="1"/>
          <w:color w:val="666666"/>
          <w:sz w:val="24"/>
          <w:szCs w:val="24"/>
          <w:rtl w:val="0"/>
        </w:rPr>
        <w:t xml:space="preserve">Comprehensive Information for Chatbot Training</w:t>
      </w:r>
    </w:p>
    <w:p w:rsidR="00000000" w:rsidDel="00000000" w:rsidP="00000000" w:rsidRDefault="00000000" w:rsidRPr="00000000" w14:paraId="00000005">
      <w:pPr>
        <w:spacing w:before="300" w:lineRule="auto"/>
        <w:jc w:val="center"/>
        <w:rPr>
          <w:color w:val="444444"/>
          <w:sz w:val="20"/>
          <w:szCs w:val="20"/>
        </w:rPr>
      </w:pPr>
      <w:r w:rsidDel="00000000" w:rsidR="00000000" w:rsidRPr="00000000">
        <w:rPr>
          <w:color w:val="444444"/>
          <w:sz w:val="20"/>
          <w:szCs w:val="20"/>
          <w:rtl w:val="0"/>
        </w:rPr>
        <w:t xml:space="preserve">Including: Company Overview, Products, Policies, Brand Guidelines &amp; FAQs</w:t>
      </w:r>
    </w:p>
    <w:p w:rsidR="00000000" w:rsidDel="00000000" w:rsidP="00000000" w:rsidRDefault="00000000" w:rsidRPr="00000000" w14:paraId="00000006">
      <w:pPr>
        <w:spacing w:before="1200" w:lineRule="auto"/>
        <w:jc w:val="center"/>
        <w:rPr>
          <w:color w:val="1e3a5f"/>
          <w:sz w:val="20"/>
          <w:szCs w:val="20"/>
        </w:rPr>
      </w:pPr>
      <w:r w:rsidDel="00000000" w:rsidR="00000000" w:rsidRPr="00000000">
        <w:rPr>
          <w:color w:val="1e3a5f"/>
          <w:sz w:val="20"/>
          <w:szCs w:val="20"/>
          <w:rtl w:val="0"/>
        </w:rPr>
        <w:t xml:space="preserve">Website: https://cadienttalent.com</w:t>
      </w:r>
    </w:p>
    <w:p w:rsidR="00000000" w:rsidDel="00000000" w:rsidP="00000000" w:rsidRDefault="00000000" w:rsidRPr="00000000" w14:paraId="00000007">
      <w:pPr>
        <w:spacing w:before="100" w:lineRule="auto"/>
        <w:jc w:val="center"/>
        <w:rPr>
          <w:color w:val="1e3a5f"/>
          <w:sz w:val="20"/>
          <w:szCs w:val="20"/>
        </w:rPr>
      </w:pPr>
      <w:r w:rsidDel="00000000" w:rsidR="00000000" w:rsidRPr="00000000">
        <w:rPr>
          <w:color w:val="1e3a5f"/>
          <w:sz w:val="20"/>
          <w:szCs w:val="20"/>
          <w:rtl w:val="0"/>
        </w:rPr>
        <w:t xml:space="preserve">Email: sales@cadienttalent.com | Privacy: privacy@cadienttalent.com</w:t>
      </w:r>
    </w:p>
    <w:p w:rsidR="00000000" w:rsidDel="00000000" w:rsidP="00000000" w:rsidRDefault="00000000" w:rsidRPr="00000000" w14:paraId="00000008">
      <w:pPr>
        <w:spacing w:before="100" w:lineRule="auto"/>
        <w:jc w:val="center"/>
        <w:rPr>
          <w:color w:val="1e3a5f"/>
          <w:sz w:val="20"/>
          <w:szCs w:val="20"/>
        </w:rPr>
      </w:pPr>
      <w:r w:rsidDel="00000000" w:rsidR="00000000" w:rsidRPr="00000000">
        <w:rPr>
          <w:color w:val="1e3a5f"/>
          <w:sz w:val="20"/>
          <w:szCs w:val="20"/>
          <w:rtl w:val="0"/>
        </w:rPr>
        <w:t xml:space="preserve">Support: 866-332-1771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200" w:before="0" w:lineRule="auto"/>
        <w:rPr>
          <w:b w:val="1"/>
          <w:bCs w:val="1"/>
          <w:color w:val="1e3a5f"/>
          <w:sz w:val="36"/>
          <w:szCs w:val="36"/>
        </w:rPr>
      </w:pPr>
      <w:bookmarkStart w:colFirst="0" w:colLast="0" w:name="_1c7pqj3cral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200" w:before="0" w:lineRule="auto"/>
        <w:rPr>
          <w:b w:val="1"/>
          <w:bCs w:val="1"/>
          <w:color w:val="1e3a5f"/>
          <w:sz w:val="36"/>
          <w:szCs w:val="36"/>
        </w:rPr>
      </w:pPr>
      <w:bookmarkStart w:colFirst="0" w:colLast="0" w:name="_iyq0x08eaky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200" w:before="0" w:lineRule="auto"/>
        <w:rPr>
          <w:b w:val="1"/>
          <w:bCs w:val="1"/>
          <w:color w:val="1e3a5f"/>
          <w:sz w:val="36"/>
          <w:szCs w:val="36"/>
        </w:rPr>
      </w:pPr>
      <w:bookmarkStart w:colFirst="0" w:colLast="0" w:name="_rtzfm2adx9rk" w:id="2"/>
      <w:bookmarkEnd w:id="2"/>
      <w:r w:rsidDel="00000000" w:rsidR="00000000" w:rsidRPr="00000000">
        <w:rPr>
          <w:b w:val="1"/>
          <w:bCs w:val="1"/>
          <w:color w:val="1e3a5f"/>
          <w:sz w:val="36"/>
          <w:szCs w:val="36"/>
          <w:rtl w:val="0"/>
        </w:rPr>
        <w:t xml:space="preserve">Table of Contents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Partnership Integration Guide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 Overview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We Support 3rd Party &amp; New Vendors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Universal XML &amp; HTTPS Standards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Configurable Integration LIbraries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Location Based Routing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Example Implementations: The Yum Brands Model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1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Resilience and Maintenance</w:t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rshe4g02i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Partner Integration Guide: WOTC Check (Standard) &amp; Vendor Support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Annual Investment:</w:t>
      </w:r>
      <w:r w:rsidDel="00000000" w:rsidR="00000000" w:rsidRPr="00000000">
        <w:rPr>
          <w:rtl w:val="0"/>
        </w:rPr>
        <w:t xml:space="preserve"> $3,500/year</w:t>
      </w:r>
    </w:p>
    <w:p w:rsidR="00000000" w:rsidDel="00000000" w:rsidP="00000000" w:rsidRDefault="00000000" w:rsidRPr="00000000" w14:paraId="0000001A">
      <w:pPr>
        <w:spacing w:after="1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6zdbm5auz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Overview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WOTC Check (Standard)</w:t>
      </w:r>
      <w:r w:rsidDel="00000000" w:rsidR="00000000" w:rsidRPr="00000000">
        <w:rPr>
          <w:rtl w:val="0"/>
        </w:rPr>
        <w:t xml:space="preserve"> is a robust, automated integration framework designed to identify federal tax credit eligibility during the hiring lifecycle. By connecting your Applicant Tracking System (ATS) with a Work Opportunity Tax Credit (WOTC) provider, businesses can capture significant tax savings—up to $9,600 per eligible hire—without manual administrative overhead.</w:t>
      </w:r>
    </w:p>
    <w:p w:rsidR="00000000" w:rsidDel="00000000" w:rsidP="00000000" w:rsidRDefault="00000000" w:rsidRPr="00000000" w14:paraId="0000001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our baseline integration is optimized for </w:t>
      </w:r>
      <w:r w:rsidDel="00000000" w:rsidR="00000000" w:rsidRPr="00000000">
        <w:rPr>
          <w:b w:val="1"/>
          <w:bCs w:val="1"/>
          <w:rtl w:val="0"/>
        </w:rPr>
        <w:t xml:space="preserve">ADP WOTC</w:t>
      </w:r>
      <w:r w:rsidDel="00000000" w:rsidR="00000000" w:rsidRPr="00000000">
        <w:rPr>
          <w:rtl w:val="0"/>
        </w:rPr>
        <w:t xml:space="preserve">, our architecture is built to be vendor-agnostic, allowing us to support a wide range of third-party tax credit processors.</w:t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req71mhig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We Support Third-Party &amp; New Vendors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system is designed with a "pluggable" architecture. This means we don't just offer a static connection; we provide a flexible framework that can be adapted to your preferred vendor’s specifications.</w:t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lj5yig09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Universal XML &amp; HTTPS Standards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 Compatibility:</w:t>
      </w:r>
      <w:r w:rsidDel="00000000" w:rsidR="00000000" w:rsidRPr="00000000">
        <w:rPr>
          <w:rtl w:val="0"/>
        </w:rPr>
        <w:t xml:space="preserve"> We utilize industry-standard </w:t>
      </w:r>
      <w:r w:rsidDel="00000000" w:rsidR="00000000" w:rsidRPr="00000000">
        <w:rPr>
          <w:b w:val="1"/>
          <w:bCs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XML</w:t>
      </w:r>
      <w:r w:rsidDel="00000000" w:rsidR="00000000" w:rsidRPr="00000000">
        <w:rPr>
          <w:rtl w:val="0"/>
        </w:rPr>
        <w:t xml:space="preserve"> file formats for data exchange. This ensures that any modern third-party vendor can receive and process our data packets without proprietary hardware or software.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Frequency:</w:t>
      </w:r>
      <w:r w:rsidDel="00000000" w:rsidR="00000000" w:rsidRPr="00000000">
        <w:rPr>
          <w:rtl w:val="0"/>
        </w:rPr>
        <w:t xml:space="preserve"> Our system is capable of </w:t>
      </w:r>
      <w:r w:rsidDel="00000000" w:rsidR="00000000" w:rsidRPr="00000000">
        <w:rPr>
          <w:b w:val="1"/>
          <w:bCs w:val="1"/>
          <w:rtl w:val="0"/>
        </w:rPr>
        <w:t xml:space="preserve">Real-time</w:t>
      </w:r>
      <w:r w:rsidDel="00000000" w:rsidR="00000000" w:rsidRPr="00000000">
        <w:rPr>
          <w:rtl w:val="0"/>
        </w:rPr>
        <w:t xml:space="preserve"> triggers, meaning we can push data to a new vendor the second an action occurs in your workflow.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oku2giv3z5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Configurable Integration Libraries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Agnostic Logic:</w:t>
      </w:r>
      <w:r w:rsidDel="00000000" w:rsidR="00000000" w:rsidRPr="00000000">
        <w:rPr>
          <w:rtl w:val="0"/>
        </w:rPr>
        <w:t xml:space="preserve"> We store integration logic in dedicated libraries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BiLoLLC_Integrations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IntegrationADPWOTC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Field Mapping:</w:t>
      </w:r>
      <w:r w:rsidDel="00000000" w:rsidR="00000000" w:rsidRPr="00000000">
        <w:rPr>
          <w:rtl w:val="0"/>
        </w:rPr>
        <w:t xml:space="preserve"> We use "System Variables"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WOTCProvider</w:t>
      </w:r>
      <w:r w:rsidDel="00000000" w:rsidR="00000000" w:rsidRPr="00000000">
        <w:rPr>
          <w:rtl w:val="0"/>
        </w:rPr>
        <w:t xml:space="preserve"> to tell the system which vendor to talk to. For new vendors, we simply update the provider variable and point the stylesheet to the new endpoint.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wgjaj4z4l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Location-Based Routing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system supports complex organizational structures where different branches might use different vendors or participation levels.</w:t>
      </w:r>
    </w:p>
    <w:p w:rsidR="00000000" w:rsidDel="00000000" w:rsidP="00000000" w:rsidRDefault="00000000" w:rsidRPr="00000000" w14:paraId="0000002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Security Logic:</w:t>
      </w:r>
      <w:r w:rsidDel="00000000" w:rsidR="00000000" w:rsidRPr="00000000">
        <w:rPr>
          <w:rtl w:val="0"/>
        </w:rPr>
        <w:t xml:space="preserve"> We use fields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adpSecurityCode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adpURLSuffix</w:t>
      </w:r>
      <w:r w:rsidDel="00000000" w:rsidR="00000000" w:rsidRPr="00000000">
        <w:rPr>
          <w:rtl w:val="0"/>
        </w:rPr>
        <w:t xml:space="preserve"> to ensure data is routed to the correct vendor account.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Participation Checks:</w:t>
      </w:r>
      <w:r w:rsidDel="00000000" w:rsidR="00000000" w:rsidRPr="00000000">
        <w:rPr>
          <w:rtl w:val="0"/>
        </w:rPr>
        <w:t xml:space="preserve"> If a specific location is not yet ready for a new vendor, our logic automatically bypasses the request to prevent errors, as seen in our Yum! Brands implementation.</w:t>
      </w:r>
    </w:p>
    <w:p w:rsidR="00000000" w:rsidDel="00000000" w:rsidP="00000000" w:rsidRDefault="00000000" w:rsidRPr="00000000" w14:paraId="0000002F">
      <w:pPr>
        <w:spacing w:after="1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tsic8dbxg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Implementation: The Yum! Brands Model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successfully manage high-volume integrations for </w:t>
      </w:r>
      <w:r w:rsidDel="00000000" w:rsidR="00000000" w:rsidRPr="00000000">
        <w:rPr>
          <w:b w:val="1"/>
          <w:bCs w:val="1"/>
          <w:rtl w:val="0"/>
        </w:rPr>
        <w:t xml:space="preserve">Taco Bell, Pizza Hut, and KFC</w:t>
      </w:r>
      <w:r w:rsidDel="00000000" w:rsidR="00000000" w:rsidRPr="00000000">
        <w:rPr>
          <w:rtl w:val="0"/>
        </w:rPr>
        <w:t xml:space="preserve">. This model serves as the blueprint for how we onboard new vendor support: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 Points:</w:t>
      </w:r>
      <w:r w:rsidDel="00000000" w:rsidR="00000000" w:rsidRPr="00000000">
        <w:rPr>
          <w:rtl w:val="0"/>
        </w:rPr>
        <w:t xml:space="preserve"> The system initiates a check at the completion of the Job Application Form (JAF) and again during the hiring workflow.</w:t>
        <w:br w:type="textWrapping"/>
        <w:t xml:space="preserve">+2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Hiring Workflow Nodes:</w:t>
      </w:r>
      <w:r w:rsidDel="00000000" w:rsidR="00000000" w:rsidRPr="00000000">
        <w:rPr>
          <w:rtl w:val="0"/>
        </w:rPr>
        <w:t xml:space="preserve"> We can map vendor calls to specific "nodes" such as </w:t>
      </w:r>
      <w:r w:rsidDel="00000000" w:rsidR="00000000" w:rsidRPr="00000000">
        <w:rPr>
          <w:b w:val="1"/>
          <w:bCs w:val="1"/>
          <w:rtl w:val="0"/>
        </w:rPr>
        <w:t xml:space="preserve">"Hired"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"Arrived at Work"</w:t>
      </w:r>
      <w:r w:rsidDel="00000000" w:rsidR="00000000" w:rsidRPr="00000000">
        <w:rPr>
          <w:rtl w:val="0"/>
        </w:rPr>
        <w:t xml:space="preserve"> depending on the vendor's requirement for a "Hire Check" vs. an "Initial Check".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Styling:</w:t>
      </w:r>
      <w:r w:rsidDel="00000000" w:rsidR="00000000" w:rsidRPr="00000000">
        <w:rPr>
          <w:rtl w:val="0"/>
        </w:rPr>
        <w:t xml:space="preserve"> We utilize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.xsl</w:t>
      </w:r>
      <w:r w:rsidDel="00000000" w:rsidR="00000000" w:rsidRPr="00000000">
        <w:rPr>
          <w:rtl w:val="0"/>
        </w:rPr>
        <w:t xml:space="preserve"> stylesheets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AdpHireXml.xsl</w:t>
      </w:r>
      <w:r w:rsidDel="00000000" w:rsidR="00000000" w:rsidRPr="00000000">
        <w:rPr>
          <w:rtl w:val="0"/>
        </w:rPr>
        <w:t xml:space="preserve">) which can be customized to transform our data into the specific format required by a new third-party vendor.</w:t>
      </w:r>
    </w:p>
    <w:p w:rsidR="00000000" w:rsidDel="00000000" w:rsidP="00000000" w:rsidRDefault="00000000" w:rsidRPr="00000000" w14:paraId="0000003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a4t36aejy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Resilience and Maintenance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moving to a new third-party vendor, data integrity is our priority.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Retry Logic:</w:t>
      </w:r>
      <w:r w:rsidDel="00000000" w:rsidR="00000000" w:rsidRPr="00000000">
        <w:rPr>
          <w:rtl w:val="0"/>
        </w:rPr>
        <w:t xml:space="preserve"> Our "Retry Failed Requests" trigger runs every </w:t>
      </w:r>
      <w:r w:rsidDel="00000000" w:rsidR="00000000" w:rsidRPr="00000000">
        <w:rPr>
          <w:b w:val="1"/>
          <w:bCs w:val="1"/>
          <w:rtl w:val="0"/>
        </w:rPr>
        <w:t xml:space="preserve">1,200 seconds</w:t>
      </w:r>
      <w:r w:rsidDel="00000000" w:rsidR="00000000" w:rsidRPr="00000000">
        <w:rPr>
          <w:rtl w:val="0"/>
        </w:rPr>
        <w:t xml:space="preserve">. If a third-party vendor's server is briefly down, our system will automatically attempt to resend the applicant data until the credit is captured.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Comprehensive Logging:</w:t>
      </w:r>
      <w:r w:rsidDel="00000000" w:rsidR="00000000" w:rsidRPr="00000000">
        <w:rPr>
          <w:rtl w:val="0"/>
        </w:rPr>
        <w:t xml:space="preserve"> We provide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[INFORM]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[ERROR]</w:t>
      </w:r>
      <w:r w:rsidDel="00000000" w:rsidR="00000000" w:rsidRPr="00000000">
        <w:rPr>
          <w:rtl w:val="0"/>
        </w:rPr>
        <w:t xml:space="preserve"> logs that track every interaction with the vendor, allowing for rapid troubleshooting during the transition to a new provider.</w:t>
      </w:r>
    </w:p>
    <w:p w:rsidR="00000000" w:rsidDel="00000000" w:rsidP="00000000" w:rsidRDefault="00000000" w:rsidRPr="00000000" w14:paraId="0000003E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6570"/>
        <w:tblGridChange w:id="0">
          <w:tblGrid>
            <w:gridCol w:w="2250"/>
            <w:gridCol w:w="65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Vendor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444746"/>
                <w:sz w:val="20"/>
                <w:szCs w:val="20"/>
                <w:shd w:fill="f0f4f9" w:val="clear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Native ADP support; Customizable for any XML/HTTPS provider.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Workflow 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 trigger from any hiring node (Offer, Hired, etc.).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Automatic 20-minute interval retry for failed transmissions.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Global 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Supports specific eligibility codes (WTW, CAEZ, etc.) with the ability to add more via stylesheets.</w:t>
            </w:r>
          </w:p>
        </w:tc>
      </w:tr>
    </w:tbl>
    <w:p w:rsidR="00000000" w:rsidDel="00000000" w:rsidP="00000000" w:rsidRDefault="00000000" w:rsidRPr="00000000" w14:paraId="00000049">
      <w:pPr>
        <w:spacing w:after="1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