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32"/>
                <w:szCs w:val="32"/>
              </w:rPr>
              <w:t xml:space="preserve">Cadient Talent</w:t>
            </w:r>
          </w:p>
          <w:p>
            <w:pPr>
              <w:spacing w:before="40"/>
            </w:pPr>
            <w:r>
              <w:rPr>
                <w:rFonts w:ascii="Poppins" w:cs="Poppins" w:eastAsia="Poppins" w:hAnsi="Poppins"/>
                <w:color w:val="BBBBBB"/>
                <w:sz w:val="20"/>
                <w:szCs w:val="20"/>
              </w:rPr>
              <w:t xml:space="preserve">SmartSuite™ Platform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4A23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PRICING SHEET</w:t>
            </w:r>
          </w:p>
          <w:p>
            <w:pPr>
              <w:spacing w:before="40"/>
              <w:jc w:val="center"/>
            </w:pPr>
            <w:r>
              <w:rPr>
                <w:rFonts w:ascii="Poppins" w:cs="Poppins" w:eastAsia="Poppins" w:hAnsi="Poppins"/>
                <w:color w:val="FFD0C4"/>
                <w:sz w:val="16"/>
                <w:szCs w:val="16"/>
              </w:rPr>
              <w:t xml:space="preserve">Professional Services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rFonts w:ascii="Poppins" w:cs="Poppins" w:eastAsia="Poppins" w:hAnsi="Poppins"/>
          <w:b/>
          <w:bCs/>
          <w:color w:val="0D0D0D"/>
          <w:sz w:val="36"/>
          <w:szCs w:val="36"/>
        </w:rPr>
        <w:t xml:space="preserve">Professional Services: ATS Implementation</w:t>
      </w:r>
    </w:p>
    <w:p>
      <w:pPr>
        <w:pBdr>
          <w:bottom w:val="single" w:color="F54A23" w:sz="8" w:space="1"/>
        </w:pBdr>
        <w:spacing w:before="0" w:after="200"/>
      </w:pPr>
    </w:p>
    <w:p>
      <w:pPr>
        <w:spacing w:before="60" w:after="20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0D0D0D"/>
          <w:sz w:val="20"/>
          <w:szCs w:val="20"/>
        </w:rPr>
        <w:t xml:space="preserve">Cadient's one-time ATS Implementation fee covers the complete end-to-end deployment of SmartHire™ and the full SmartSuite™ platform. Pricing scales with your organization's size, ensuring you receive the right level of resources and support for a fast, confident go-live.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F54A23"/>
          <w:sz w:val="26"/>
          <w:szCs w:val="26"/>
        </w:rPr>
        <w:t xml:space="preserve">Implementation Fee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4A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Organization Size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4A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One-Time Implementation Fee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&lt; 500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$13,750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500 – 2,499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$16,500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2,500 – 4,999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$19,250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D0D0D"/>
                <w:sz w:val="20"/>
                <w:szCs w:val="20"/>
              </w:rPr>
              <w:t xml:space="preserve">5,000 – 9,999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C85A00"/>
                <w:sz w:val="20"/>
                <w:szCs w:val="20"/>
              </w:rPr>
              <w:t xml:space="preserve">$22,000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10,000 – 24,999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$24,750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25,000 – 49,999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$26,000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50,000 – 99,999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$26,130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100,000 – 249,999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BC17F"/>
                <w:sz w:val="20"/>
                <w:szCs w:val="20"/>
              </w:rPr>
              <w:t xml:space="preserve">$26,260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0D0D0D"/>
                <w:sz w:val="20"/>
                <w:szCs w:val="20"/>
              </w:rPr>
              <w:t xml:space="preserve">250,000+ Employees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54A23"/>
                <w:sz w:val="20"/>
                <w:szCs w:val="20"/>
              </w:rPr>
              <w:t xml:space="preserve">Custom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94E" w:sz="4"/>
              <w:left w:val="thick" w:color="FFC94E" w:sz="12"/>
              <w:bottom w:val="single" w:color="FFC94E" w:sz="4"/>
              <w:right w:val="single" w:color="FFC94E" w:sz="4"/>
            </w:tcBorders>
            <w:shd w:fill="FFFB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C08000"/>
                <w:sz w:val="18"/>
                <w:szCs w:val="18"/>
              </w:rPr>
              <w:t xml:space="preserve">Note: </w:t>
            </w: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All fees are one-time charges billed at contract execution. Enterprise accounts (250,000+ employees) receive a custom scoped proposal based on complexity, number of locations, and integration requirements.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rPr>
          <w:rFonts w:ascii="Poppins" w:cs="Poppins" w:eastAsia="Poppins" w:hAnsi="Poppins"/>
          <w:b/>
          <w:bCs/>
          <w:color w:val="F54A23"/>
          <w:sz w:val="26"/>
          <w:szCs w:val="26"/>
        </w:rPr>
        <w:t xml:space="preserve">What's Included in Every Implementation</w:t>
      </w:r>
    </w:p>
    <w:p>
      <w:pPr>
        <w:spacing w:before="60" w:after="12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0D0D0D"/>
          <w:sz w:val="19"/>
          <w:szCs w:val="19"/>
        </w:rPr>
        <w:t xml:space="preserve">Every implementation engagement includes the following services regardless of organization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Project kickoff and discovery session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System configuration and workflow setup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Data migration and integration with existing HRIS/ATS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Custom branding and portal configuration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Dedicated implementation consultant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Admin and hiring manager training (live sessions)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Go-live support and hypercare period (30 days)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Poppins" w:cs="Poppins" w:eastAsia="Poppins" w:hAnsi="Poppins"/>
                <w:color w:val="0D0D0D"/>
                <w:sz w:val="18"/>
                <w:szCs w:val="18"/>
              </w:rPr>
              <w:t xml:space="preserve">Documentation and knowledge transfer</w:t>
            </w:r>
          </w:p>
        </w:tc>
      </w:tr>
    </w:tbl>
    <w:p>
      <w:pPr>
        <w:spacing w:before="220" w:after="0"/>
      </w:pPr>
    </w:p>
    <w:p>
      <w:pPr>
        <w:pStyle w:val="Heading2"/>
      </w:pPr>
      <w:r>
        <w:rPr>
          <w:rFonts w:ascii="Poppins" w:cs="Poppins" w:eastAsia="Poppins" w:hAnsi="Poppins"/>
          <w:b/>
          <w:bCs/>
          <w:color w:val="F54A23"/>
          <w:sz w:val="26"/>
          <w:szCs w:val="26"/>
        </w:rPr>
        <w:t xml:space="preserve">Pricing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💳</w:t>
            </w:r>
          </w:p>
          <w:p>
            <w:pPr>
              <w:spacing w:before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0D0D0D"/>
                <w:sz w:val="20"/>
                <w:szCs w:val="20"/>
              </w:rPr>
              <w:t xml:space="preserve">One-Time Fee</w:t>
            </w:r>
          </w:p>
          <w:p>
            <w:pPr>
              <w:spacing w:before="60"/>
              <w:jc w:val="center"/>
            </w:pPr>
            <w:r>
              <w:rPr>
                <w:rFonts w:ascii="Poppins" w:cs="Poppins" w:eastAsia="Poppins" w:hAnsi="Poppins"/>
                <w:color w:val="747373"/>
                <w:sz w:val="17"/>
                <w:szCs w:val="17"/>
              </w:rPr>
              <w:t xml:space="preserve">No recurring implementation charges — ever.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📈</w:t>
            </w:r>
          </w:p>
          <w:p>
            <w:pPr>
              <w:spacing w:before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0D0D0D"/>
                <w:sz w:val="20"/>
                <w:szCs w:val="20"/>
              </w:rPr>
              <w:t xml:space="preserve">Scales by Size</w:t>
            </w:r>
          </w:p>
          <w:p>
            <w:pPr>
              <w:spacing w:before="60"/>
              <w:jc w:val="center"/>
            </w:pPr>
            <w:r>
              <w:rPr>
                <w:rFonts w:ascii="Poppins" w:cs="Poppins" w:eastAsia="Poppins" w:hAnsi="Poppins"/>
                <w:color w:val="747373"/>
                <w:sz w:val="17"/>
                <w:szCs w:val="17"/>
              </w:rPr>
              <w:t xml:space="preserve">From $13,750 (SMB) up to $26,260 (enterprise).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🚀</w:t>
            </w:r>
          </w:p>
          <w:p>
            <w:pPr>
              <w:spacing w:before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0D0D0D"/>
                <w:sz w:val="20"/>
                <w:szCs w:val="20"/>
              </w:rPr>
              <w:t xml:space="preserve">Fast Go-Live</w:t>
            </w:r>
          </w:p>
          <w:p>
            <w:pPr>
              <w:spacing w:before="60"/>
              <w:jc w:val="center"/>
            </w:pPr>
            <w:r>
              <w:rPr>
                <w:rFonts w:ascii="Poppins" w:cs="Poppins" w:eastAsia="Poppins" w:hAnsi="Poppins"/>
                <w:color w:val="747373"/>
                <w:sz w:val="17"/>
                <w:szCs w:val="17"/>
              </w:rPr>
              <w:t xml:space="preserve">Up to 50% faster time-to-hire post-implementation.</w:t>
            </w:r>
          </w:p>
        </w:tc>
      </w:tr>
    </w:tbl>
    <w:p>
      <w:pPr>
        <w:spacing w:before="3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single" w:color="F54A23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747373"/>
                <w:sz w:val="17"/>
                <w:szCs w:val="17"/>
              </w:rPr>
              <w:t xml:space="preserve">cadienttalent.com  |  sales@cadienttalent.com  |  866-332-1771</w:t>
            </w:r>
          </w:p>
        </w:tc>
        <w:tc>
          <w:tcPr>
            <w:tcW w:type="dxa" w:w="2880"/>
            <w:tcBorders>
              <w:top w:val="single" w:color="F54A23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color w:val="AAAAAA"/>
                <w:sz w:val="15"/>
                <w:szCs w:val="15"/>
              </w:rPr>
              <w:t xml:space="preserve">© 2025 Cadient, LLC. All rights reserved.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280"/>
      </w:pPr>
      <w:rPr>
        <w:rFonts w:ascii="Poppins" w:cs="Poppins" w:eastAsia="Poppins" w:hAnsi="Poppins"/>
        <w:b/>
        <w:bCs/>
        <w:color w:val="2BC17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D0D0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Poppins" w:cs="Poppins" w:eastAsia="Poppins" w:hAnsi="Poppins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Poppins" w:cs="Poppins" w:eastAsia="Poppins" w:hAnsi="Poppins"/>
      <w:b/>
      <w:bCs/>
      <w:color w:val="F54A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2026-02-14T08:45:49.758Z</dcterms:created>
  <dcterms:modified xsi:type="dcterms:W3CDTF">2026-02-14T08:45:49.759Z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