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400"/>
              <w:left w:type="dxa" w:w="480"/>
              <w:bottom w:type="dxa" w:w="200"/>
              <w:right w:type="dxa" w:w="480"/>
            </w:tcMar>
          </w:tcPr>
          <w:p>
            <w:r>
              <w:rPr>
                <w:rFonts w:ascii="Arial" w:cs="Arial" w:eastAsia="Arial" w:hAnsi="Arial"/>
                <w:b/>
                <w:bCs/>
                <w:color w:val="7FB3D3"/>
                <w:sz w:val="20"/>
                <w:szCs w:val="20"/>
              </w:rPr>
              <w:t xml:space="preserve">CADIENT MAINTENANCE FEATURES  ·  MODULE 01 OF 03</w:t>
            </w:r>
          </w:p>
          <w:p>
            <w:pPr>
              <w:spacing w:before="10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Data Pull Fee</w:t>
            </w:r>
          </w:p>
          <w:p>
            <w:pPr>
              <w:spacing w:before="0" w:after="300"/>
            </w:pPr>
            <w:r>
              <w:rPr>
                <w:rFonts w:ascii="Arial" w:cs="Arial" w:eastAsia="Arial" w:hAnsi="Arial"/>
                <w:color w:val="B8D4EC"/>
                <w:sz w:val="23"/>
                <w:szCs w:val="23"/>
              </w:rPr>
              <w:t xml:space="preserve">Understanding how data extraction charges work within Cadient’s SmartSuite™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6FA4" w:sz="6"/>
        </w:pBdr>
        <w:spacing w:before="24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What Is the Data Pull Fee?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The Data Pull Fee is a transactional maintenance charge applied whenever data is extracted, exported, or retrieved in bulk from Cadient’s platform databases, reporting engine, or integration layer. As organizations run SmartSuite™ at scale—processing thousands of applicants and managing integrations with HRIS systems—data retrieval activity becomes a significant and billable operational event.</w:t>
      </w:r>
    </w:p>
    <w:p>
      <w:pPr>
        <w:spacing w:before="60" w:after="18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This fee exists because large-scale data extraction consumes backend compute, storage I/O, and network bandwidth. Cadient’s pricing model separates base platform access from data retrieval intensity, ensuring that clients who extract data infrequently are not subsidizing the infrastructure costs of high-volume data consumers.</w:t>
      </w:r>
    </w:p>
    <w:p>
      <w:pPr>
        <w:pBdr>
          <w:bottom w:val="single" w:color="1D6FA4" w:sz="6"/>
        </w:pBdr>
        <w:spacing w:before="24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How the Fee Is Structured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360"/>
        <w:gridCol w:w="2600"/>
      </w:tblGrid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Per-Event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Charged once per distinct pull request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compliance export = 1 event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Per-Record Volume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Charged based on number of records returned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 applicant records = tiered rate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Frequency Tier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Monthly pull count affects per-event pricing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&lt;10 pulls vs. &gt;50 pulls per month</w:t>
            </w:r>
          </w:p>
        </w:tc>
      </w:tr>
      <w:tr>
        <w:tc>
          <w:tcPr>
            <w:tcW w:type="dxa" w:w="24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Complexity</w:t>
            </w:r>
          </w:p>
        </w:tc>
        <w:tc>
          <w:tcPr>
            <w:tcW w:type="dxa" w:w="4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record vs. summary affects cost</w:t>
            </w:r>
          </w:p>
        </w:tc>
        <w:tc>
          <w:tcPr>
            <w:tcW w:type="dxa" w:w="26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profile export vs. summary CSV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6FA4" w:sz="6"/>
        </w:pBdr>
        <w:spacing w:before="24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Common Scenarios That Trigger This Fee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Scheduled or manual exports of applicant tracking records from SmartHire™ or SmartMatch™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Integration sync operations pushing candidate or hire data to external HRIS platforms such as Kronos, Workday, UKG, or Oracle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Bulk candidate profile downloads or batch report generation via SmartScore™ analytics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API-driven data pulls for business intelligence tools, data warehouses, or custom analytics dashboards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Compliance and audit report generation including EEO-1, OFCCP, and state-mandated hiring documentation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Talent pipeline exports requested by leadership or shared with regional HR teams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SmartTenure™ retention data pulls for workforce planning models</w:t>
      </w:r>
    </w:p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8"/>
              <w:left w:val="single" w:color="1D6FA4" w:sz="24"/>
              <w:bottom w:val="single" w:color="1D6FA4" w:sz="8"/>
              <w:right w:val="none" w:color="FFFFFF" w:sz="0"/>
            </w:tcBorders>
            <w:shd w:fill="E3F0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Key Facts 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Data Pull Fees are separate from the base platform subscription and Renewal Fee.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Each contract defines a baseline monthly or quarterly allotment of included pulls.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Pulls exceeding the allotment are billed at a per-event or per-record overage rate.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Automated integration syncs count toward the same allotment as manual exports.</w:t>
            </w:r>
          </w:p>
        </w:tc>
      </w:tr>
    </w:tbl>
    <w:p>
      <w:r>
        <w:br w:type="page"/>
      </w:r>
    </w:p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D6FA4" w:sz="6"/>
        </w:pBdr>
        <w:spacing w:before="8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Calculation Methodology</w:t>
      </w:r>
    </w:p>
    <w:p>
      <w:pPr>
        <w:spacing w:before="60" w:after="14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Cadient calculates Data Pull Fees using a tiered model that accounts for both frequency and volume. The baseline contract tier typically includes a defined number of pull events per month—commonly 10–20 for mid-market clients, up to 50 for enterprise. Pull events beyond this threshold are rated at the contracted overage rate.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Record-volume charges apply when a single pull event exceeds a defined record threshold (e.g., 5,000 records). Clients with complex multi-region HRIS integrations should work with their Cadient account team to model expected monthly extraction volumes and negotiate a right-sized allotment upfront.</w:t>
      </w:r>
    </w:p>
    <w:p>
      <w:pPr>
        <w:pBdr>
          <w:bottom w:val="single" w:color="1D6FA4" w:sz="6"/>
        </w:pBdr>
        <w:spacing w:before="24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Factors That Increase Your Data Pull Cost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360"/>
        <w:gridCol w:w="3500"/>
      </w:tblGrid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1B3A5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High integration frequency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Sync every hour vs. daily multiplies pull events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Consolidate syncs to daily or weekly schedules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Large applicant volume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More records per pull triggers volume tiers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exports to active or relevant records only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Multiple systems receiving data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Each integration counts independently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Use a middleware ETL layer to pull once, fan out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Ad-hoc reporting culture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Unplanned exports add unpredictable pull events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Establish a scheduled reporting cadence</w:t>
            </w:r>
          </w:p>
        </w:tc>
      </w:tr>
      <w:tr>
        <w:tc>
          <w:tcPr>
            <w:tcW w:type="dxa" w:w="2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Full-record vs. delta exports</w:t>
            </w:r>
          </w:p>
        </w:tc>
        <w:tc>
          <w:tcPr>
            <w:tcW w:type="dxa" w:w="336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pulls cost more than incremental deltas</w:t>
            </w:r>
          </w:p>
        </w:tc>
        <w:tc>
          <w:tcPr>
            <w:tcW w:type="dxa" w:w="3500"/>
            <w:tcBorders>
              <w:top w:val="single" w:color="BBCCDD" w:sz="1"/>
              <w:left w:val="single" w:color="BBCCDD" w:sz="1"/>
              <w:bottom w:val="single" w:color="BBCCDD" w:sz="1"/>
              <w:right w:val="single" w:color="BBCCDD" w:sz="1"/>
            </w:tcBorders>
            <w:shd w:fill="F0F7FD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Configure integrations for delta or change-only sync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D6FA4" w:sz="6"/>
        </w:pBdr>
        <w:spacing w:before="24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Best Practices for Cost Control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Audit all active integration connections annually and disable any that are no longer needed.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Switch HRIS integrations from full-record syncs to delta (change-only) exports wherever the receiving system supports it.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Schedule large compliance reports to run monthly rather than on-demand to consolidate pull events.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Use Cadient’s built-in analytics dashboards for real-time metrics—these do not count as billable data pulls.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Before launching a new integration, review the pull volume impact with your account manager.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Centralize data request workflows through a single BI team to prevent duplicative pulls across departments.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Request a mid-year Data Pull usage report from Cadient to validate that your allotment is appropriately sized.</w:t>
      </w:r>
    </w:p>
    <w:p>
      <w:pPr>
        <w:spacing w:before="0" w:after="160"/>
      </w:pPr>
      <w:r>
        <w:t xml:space="preserve"/>
      </w:r>
    </w:p>
    <w:p>
      <w:pPr>
        <w:pBdr>
          <w:bottom w:val="single" w:color="1D6FA4" w:sz="6"/>
        </w:pBdr>
        <w:spacing w:before="240" w:after="16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Frequently Asked Questions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Does viewing a candidate profile in SmartHire™ count as a Data Pull?</w:t>
      </w:r>
    </w:p>
    <w:p>
      <w:pPr>
        <w:spacing w:before="60" w:after="1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No. Standard in-platform browsing, searching, and record viewing do not trigger Data Pull Fees. The fee applies only to bulk exports, API extractions, and scheduled integration syncs.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Are real-time dashboards in SmartScore™ billable?</w:t>
      </w:r>
    </w:p>
    <w:p>
      <w:pPr>
        <w:spacing w:before="60" w:after="1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No. Cadient’s native reporting dashboards are included in the platform subscription. Data Pull Fees apply when data leaves the platform via export, API, or integration—not when it is consumed within it.</w:t>
      </w:r>
    </w:p>
    <w:p>
      <w:pPr>
        <w:spacing w:before="60" w:after="60"/>
        <w:jc w:val="left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Q: What happens if we exceed our monthly pull allotment?</w:t>
      </w:r>
    </w:p>
    <w:p>
      <w:pPr>
        <w:spacing w:before="60" w:after="20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Overage pulls are automatically logged and billed at the contracted per-event or per-record rate at the end of the billing period. Usage alert notifications fire when you approach 80% of your allotment.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6FA4" w:sz="8"/>
              <w:left w:val="single" w:color="1D6FA4" w:sz="24"/>
              <w:bottom w:val="single" w:color="1D6FA4" w:sz="8"/>
              <w:right w:val="none" w:color="FFFFFF" w:sz="0"/>
            </w:tcBorders>
            <w:shd w:fill="E3F0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Contact &amp; Next Steps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To review your current Data Pull usage, adjust your allotment tier, or optimize your integration architecture, contact your Cadient Account Manager: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6FA4"/>
                <w:sz w:val="22"/>
                <w:szCs w:val="22"/>
              </w:rPr>
              <w:t xml:space="preserve">sales@cadienttalent.com  ·  cadienttalent.com</w:t>
            </w:r>
          </w:p>
        </w:tc>
      </w:tr>
    </w:tbl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CDD" w:sz="4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Cadient Talent  ·  Confidential &amp; Proprietary  ·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CDD" w:sz="4"/>
      </w:pBdr>
      <w:spacing w:before="120"/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Cadient Talent  ·  Confidential &amp; Proprietary  ·  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single" w:color="1D6FA4" w:sz="6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1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5C"/>
              <w:sz w:val="20"/>
              <w:szCs w:val="20"/>
            </w:rPr>
            <w:t xml:space="preserve">Cadient Talent  </w:t>
          </w:r>
          <w:r>
            <w:rPr>
              <w:rFonts w:ascii="Arial" w:cs="Arial" w:eastAsia="Arial" w:hAnsi="Arial"/>
              <w:color w:val="555555"/>
              <w:sz w:val="20"/>
              <w:szCs w:val="20"/>
            </w:rPr>
            <w:t xml:space="preserve">| Data Pull Fee Guide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single" w:color="1D6FA4" w:sz="6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1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cadienttalent.com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single" w:color="1D6FA4" w:sz="6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1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B3A5C"/>
              <w:sz w:val="20"/>
              <w:szCs w:val="20"/>
            </w:rPr>
            <w:t xml:space="preserve">Cadient Talent  </w:t>
          </w:r>
          <w:r>
            <w:rPr>
              <w:rFonts w:ascii="Arial" w:cs="Arial" w:eastAsia="Arial" w:hAnsi="Arial"/>
              <w:color w:val="555555"/>
              <w:sz w:val="20"/>
              <w:szCs w:val="20"/>
            </w:rPr>
            <w:t xml:space="preserve">| Data Pull Fee Guide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single" w:color="1D6FA4" w:sz="6"/>
            <w:right w:val="none" w:color="FFFFFF" w:sz="0"/>
          </w:tcBorders>
          <w:shd w:fill="FFFFFF" w:val="clear"/>
          <w:tcMar>
            <w:top w:type="dxa" w:w="80"/>
            <w:left w:type="dxa" w:w="0"/>
            <w:bottom w:type="dxa" w:w="1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cadienttalent.com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00" w:after="2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2026-02-14T09:03:19.241Z</dcterms:created>
  <dcterms:modified xsi:type="dcterms:W3CDTF">2026-02-14T09:03:19.242Z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