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400"/>
              <w:left w:type="dxa" w:w="480"/>
              <w:bottom w:type="dxa" w:w="200"/>
              <w:right w:type="dxa" w:w="480"/>
            </w:tcMar>
          </w:tcPr>
          <w:p>
            <w:r>
              <w:rPr>
                <w:rFonts w:ascii="Arial" w:cs="Arial" w:eastAsia="Arial" w:hAnsi="Arial"/>
                <w:b/>
                <w:bCs/>
                <w:color w:val="7FB3D3"/>
                <w:sz w:val="20"/>
                <w:szCs w:val="20"/>
              </w:rPr>
              <w:t xml:space="preserve">CADIENT MAINTENANCE FEATURES  ·  MODULE 02 OF 03</w:t>
            </w:r>
          </w:p>
          <w:p>
            <w:pPr>
              <w:spacing w:before="100" w:after="80"/>
            </w:pPr>
            <w:r>
              <w:rPr>
                <w:rFonts w:ascii="Arial" w:cs="Arial" w:eastAsia="Arial" w:hAnsi="Arial"/>
                <w:b/>
                <w:bCs/>
                <w:color w:val="FFFFFF"/>
                <w:sz w:val="52"/>
                <w:szCs w:val="52"/>
              </w:rPr>
              <w:t xml:space="preserve">Renewal Fee</w:t>
            </w:r>
          </w:p>
          <w:p>
            <w:pPr>
              <w:spacing w:before="0" w:after="300"/>
            </w:pPr>
            <w:r>
              <w:rPr>
                <w:rFonts w:ascii="Arial" w:cs="Arial" w:eastAsia="Arial" w:hAnsi="Arial"/>
                <w:color w:val="B8D4EC"/>
                <w:sz w:val="23"/>
                <w:szCs w:val="23"/>
              </w:rPr>
              <w:t xml:space="preserve">A complete guide to Cadient platform contract renewals, what’s included, and how to negotiate effectively</w:t>
            </w:r>
          </w:p>
        </w:tc>
      </w:tr>
    </w:tbl>
    <w:p>
      <w:pPr>
        <w:spacing w:before="0" w:after="160"/>
      </w:pPr>
      <w:r>
        <w:t xml:space="preserve"/>
      </w:r>
    </w:p>
    <w:p>
      <w:pPr>
        <w:pBdr>
          <w:bottom w:val="single" w:color="217A4E" w:sz="6"/>
        </w:pBdr>
        <w:spacing w:before="240" w:after="160"/>
      </w:pPr>
      <w:r>
        <w:rPr>
          <w:rFonts w:ascii="Arial" w:cs="Arial" w:eastAsia="Arial" w:hAnsi="Arial"/>
          <w:b/>
          <w:bCs/>
          <w:color w:val="1B3A5C"/>
          <w:sz w:val="28"/>
          <w:szCs w:val="28"/>
        </w:rPr>
        <w:t xml:space="preserve">What Is the Renewal Fee?</w:t>
      </w:r>
    </w:p>
    <w:p>
      <w:pPr>
        <w:spacing w:before="60" w:after="140"/>
        <w:jc w:val="left"/>
      </w:pPr>
      <w:r>
        <w:rPr>
          <w:rFonts w:ascii="Arial" w:cs="Arial" w:eastAsia="Arial" w:hAnsi="Arial"/>
          <w:b w:val="false"/>
          <w:bCs w:val="false"/>
          <w:color w:val="1A1A2E"/>
          <w:sz w:val="22"/>
          <w:szCs w:val="22"/>
        </w:rPr>
        <w:t xml:space="preserve">The Renewal Fee is the recurring charge assessed at the end of each contract term—typically annual—to maintain continuous, uninterrupted access to Cadient’s SmartSuite™ platform and all its associated services. It is the foundational cost of the ongoing vendor relationship: it keeps your licensed modules active, your data environment operational, your support commitments in place, and your access to platform improvements current.</w:t>
      </w:r>
    </w:p>
    <w:p>
      <w:pPr>
        <w:spacing w:before="60" w:after="180"/>
        <w:jc w:val="left"/>
      </w:pPr>
      <w:r>
        <w:rPr>
          <w:rFonts w:ascii="Arial" w:cs="Arial" w:eastAsia="Arial" w:hAnsi="Arial"/>
          <w:b w:val="false"/>
          <w:bCs w:val="false"/>
          <w:color w:val="1A1A2E"/>
          <w:sz w:val="22"/>
          <w:szCs w:val="22"/>
        </w:rPr>
        <w:t xml:space="preserve">Unlike the Data Pull Fee (which is usage-triggered) or the Overage Fee (which is volume-triggered), the Renewal Fee is a predictable, fixed obligation that recurs on a defined schedule. For most clients, this is the largest single line item in the annual Cadient budget, making it the most important fee to manage proactively.</w:t>
      </w:r>
    </w:p>
    <w:p>
      <w:pPr>
        <w:pBdr>
          <w:bottom w:val="single" w:color="217A4E" w:sz="6"/>
        </w:pBdr>
        <w:spacing w:before="240" w:after="160"/>
      </w:pPr>
      <w:r>
        <w:rPr>
          <w:rFonts w:ascii="Arial" w:cs="Arial" w:eastAsia="Arial" w:hAnsi="Arial"/>
          <w:b/>
          <w:bCs/>
          <w:color w:val="1B3A5C"/>
          <w:sz w:val="28"/>
          <w:szCs w:val="28"/>
        </w:rPr>
        <w:t xml:space="preserve">What the Renewal Fee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AACBB8" w:sz="1"/>
              <w:left w:val="single" w:color="AACBB8" w:sz="1"/>
              <w:bottom w:val="single" w:color="AACBB8" w:sz="1"/>
              <w:right w:val="single" w:color="AACBB8"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Component</w:t>
            </w:r>
          </w:p>
        </w:tc>
        <w:tc>
          <w:tcPr>
            <w:tcW w:type="dxa" w:w="4000"/>
            <w:tcBorders>
              <w:top w:val="single" w:color="AACBB8" w:sz="1"/>
              <w:left w:val="single" w:color="AACBB8" w:sz="1"/>
              <w:bottom w:val="single" w:color="AACBB8" w:sz="1"/>
              <w:right w:val="single" w:color="AACBB8"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What It Includes</w:t>
            </w:r>
          </w:p>
        </w:tc>
        <w:tc>
          <w:tcPr>
            <w:tcW w:type="dxa" w:w="2760"/>
            <w:tcBorders>
              <w:top w:val="single" w:color="AACBB8" w:sz="1"/>
              <w:left w:val="single" w:color="AACBB8" w:sz="1"/>
              <w:bottom w:val="single" w:color="AACBB8" w:sz="1"/>
              <w:right w:val="single" w:color="AACBB8"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Why It Matters</w:t>
            </w:r>
          </w:p>
        </w:tc>
      </w:tr>
      <w:tr>
        <w:tc>
          <w:tcPr>
            <w:tcW w:type="dxa" w:w="260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bCs/>
                <w:color w:val="1A1A2E"/>
                <w:sz w:val="20"/>
                <w:szCs w:val="20"/>
              </w:rPr>
              <w:t xml:space="preserve">Platform Licensing</w:t>
            </w:r>
          </w:p>
        </w:tc>
        <w:tc>
          <w:tcPr>
            <w:tcW w:type="dxa" w:w="400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Right-to-use all contracted SmartSuite™ modules for another term</w:t>
            </w:r>
          </w:p>
        </w:tc>
        <w:tc>
          <w:tcPr>
            <w:tcW w:type="dxa" w:w="276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Without renewal, module access is suspended</w:t>
            </w:r>
          </w:p>
        </w:tc>
      </w:tr>
      <w:tr>
        <w:tc>
          <w:tcPr>
            <w:tcW w:type="dxa" w:w="260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bCs/>
                <w:color w:val="1A1A2E"/>
                <w:sz w:val="20"/>
                <w:szCs w:val="20"/>
              </w:rPr>
              <w:t xml:space="preserve">AI Model Improvements</w:t>
            </w:r>
          </w:p>
        </w:tc>
        <w:tc>
          <w:tcPr>
            <w:tcW w:type="dxa" w:w="400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Updated scoring models, SmartTenure™ retrains, SmartMatch™ updates</w:t>
            </w:r>
          </w:p>
        </w:tc>
        <w:tc>
          <w:tcPr>
            <w:tcW w:type="dxa" w:w="276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Keeps your hiring intelligence current</w:t>
            </w:r>
          </w:p>
        </w:tc>
      </w:tr>
      <w:tr>
        <w:tc>
          <w:tcPr>
            <w:tcW w:type="dxa" w:w="260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bCs/>
                <w:color w:val="1A1A2E"/>
                <w:sz w:val="20"/>
                <w:szCs w:val="20"/>
              </w:rPr>
              <w:t xml:space="preserve">Cloud Hosting &amp; Infrastructure</w:t>
            </w:r>
          </w:p>
        </w:tc>
        <w:tc>
          <w:tcPr>
            <w:tcW w:type="dxa" w:w="400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Secure servers, redundancy, data backups, and disaster recovery</w:t>
            </w:r>
          </w:p>
        </w:tc>
        <w:tc>
          <w:tcPr>
            <w:tcW w:type="dxa" w:w="276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Ensures uptime and data protection</w:t>
            </w:r>
          </w:p>
        </w:tc>
      </w:tr>
      <w:tr>
        <w:tc>
          <w:tcPr>
            <w:tcW w:type="dxa" w:w="260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bCs/>
                <w:color w:val="1A1A2E"/>
                <w:sz w:val="20"/>
                <w:szCs w:val="20"/>
              </w:rPr>
              <w:t xml:space="preserve">Support &amp; SLA</w:t>
            </w:r>
          </w:p>
        </w:tc>
        <w:tc>
          <w:tcPr>
            <w:tcW w:type="dxa" w:w="400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Dedicated account management, tiered technical support, uptime guarantees</w:t>
            </w:r>
          </w:p>
        </w:tc>
        <w:tc>
          <w:tcPr>
            <w:tcW w:type="dxa" w:w="276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Ensures fast resolution when issues arise</w:t>
            </w:r>
          </w:p>
        </w:tc>
      </w:tr>
      <w:tr>
        <w:tc>
          <w:tcPr>
            <w:tcW w:type="dxa" w:w="260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bCs/>
                <w:color w:val="1A1A2E"/>
                <w:sz w:val="20"/>
                <w:szCs w:val="20"/>
              </w:rPr>
              <w:t xml:space="preserve">Security &amp; Compliance Updates</w:t>
            </w:r>
          </w:p>
        </w:tc>
        <w:tc>
          <w:tcPr>
            <w:tcW w:type="dxa" w:w="400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SOC 2 Type II maintenance, audit logging, data governance</w:t>
            </w:r>
          </w:p>
        </w:tc>
        <w:tc>
          <w:tcPr>
            <w:tcW w:type="dxa" w:w="276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Required for enterprise security posture</w:t>
            </w:r>
          </w:p>
        </w:tc>
      </w:tr>
      <w:tr>
        <w:tc>
          <w:tcPr>
            <w:tcW w:type="dxa" w:w="260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bCs/>
                <w:color w:val="1A1A2E"/>
                <w:sz w:val="20"/>
                <w:szCs w:val="20"/>
              </w:rPr>
              <w:t xml:space="preserve">Legal &amp; Regulatory Updates</w:t>
            </w:r>
          </w:p>
        </w:tc>
        <w:tc>
          <w:tcPr>
            <w:tcW w:type="dxa" w:w="400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EEO, OFCCP, state hiring law compliance updates baked into platform</w:t>
            </w:r>
          </w:p>
        </w:tc>
        <w:tc>
          <w:tcPr>
            <w:tcW w:type="dxa" w:w="276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Protects against regulatory exposure</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A4E" w:sz="8"/>
              <w:left w:val="single" w:color="217A4E" w:sz="24"/>
              <w:bottom w:val="single" w:color="217A4E" w:sz="8"/>
              <w:right w:val="none" w:color="FFFFFF" w:sz="0"/>
            </w:tcBorders>
            <w:shd w:fill="E3F5EC" w:val="clear"/>
            <w:tcMar>
              <w:top w:type="dxa" w:w="200"/>
              <w:left w:type="dxa" w:w="300"/>
              <w:bottom w:type="dxa" w:w="200"/>
              <w:right w:type="dxa" w:w="300"/>
            </w:tcMar>
          </w:tcPr>
          <w:p>
            <w:pPr>
              <w:spacing w:after="120"/>
            </w:pPr>
            <w:r>
              <w:rPr>
                <w:rFonts w:ascii="Arial" w:cs="Arial" w:eastAsia="Arial" w:hAnsi="Arial"/>
                <w:b/>
                <w:bCs/>
                <w:color w:val="1B3A5C"/>
                <w:sz w:val="24"/>
                <w:szCs w:val="24"/>
              </w:rPr>
              <w:t xml:space="preserve">Important: What Renewal Does NOT Cover</w:t>
            </w:r>
          </w:p>
          <w:p>
            <w:pPr>
              <w:pStyle w:val="ListParagraph"/>
              <w:numPr>
                <w:ilvl w:val="0"/>
                <w:numId w:val="2"/>
              </w:numPr>
              <w:spacing w:after="80"/>
            </w:pPr>
            <w:r>
              <w:rPr>
                <w:rFonts w:ascii="Arial" w:cs="Arial" w:eastAsia="Arial" w:hAnsi="Arial"/>
                <w:color w:val="1A1A2E"/>
                <w:sz w:val="21"/>
                <w:szCs w:val="21"/>
              </w:rPr>
              <w:t xml:space="preserve">Additional SmartSuite™ modules not contracted in the prior term require a separate add-on purchase.</w:t>
            </w:r>
          </w:p>
          <w:p>
            <w:pPr>
              <w:pStyle w:val="ListParagraph"/>
              <w:numPr>
                <w:ilvl w:val="0"/>
                <w:numId w:val="2"/>
              </w:numPr>
              <w:spacing w:after="80"/>
            </w:pPr>
            <w:r>
              <w:rPr>
                <w:rFonts w:ascii="Arial" w:cs="Arial" w:eastAsia="Arial" w:hAnsi="Arial"/>
                <w:color w:val="1A1A2E"/>
                <w:sz w:val="21"/>
                <w:szCs w:val="21"/>
              </w:rPr>
              <w:t xml:space="preserve">Data Pull fees remain separately metered and are not bundled into the Renewal Fee.</w:t>
            </w:r>
          </w:p>
          <w:p>
            <w:pPr>
              <w:pStyle w:val="ListParagraph"/>
              <w:numPr>
                <w:ilvl w:val="0"/>
                <w:numId w:val="2"/>
              </w:numPr>
              <w:spacing w:after="80"/>
            </w:pPr>
            <w:r>
              <w:rPr>
                <w:rFonts w:ascii="Arial" w:cs="Arial" w:eastAsia="Arial" w:hAnsi="Arial"/>
                <w:color w:val="1A1A2E"/>
                <w:sz w:val="21"/>
                <w:szCs w:val="21"/>
              </w:rPr>
              <w:t xml:space="preserve">Overage charges incurred during the expiring term are billed separately before or at renewal.</w:t>
            </w:r>
          </w:p>
          <w:p>
            <w:pPr>
              <w:pStyle w:val="ListParagraph"/>
              <w:numPr>
                <w:ilvl w:val="0"/>
                <w:numId w:val="2"/>
              </w:numPr>
              <w:spacing w:after="80"/>
            </w:pPr>
            <w:r>
              <w:rPr>
                <w:rFonts w:ascii="Arial" w:cs="Arial" w:eastAsia="Arial" w:hAnsi="Arial"/>
                <w:color w:val="1A1A2E"/>
                <w:sz w:val="21"/>
                <w:szCs w:val="21"/>
              </w:rPr>
              <w:t xml:space="preserve">Professional services, custom integrations, and implementation work are scoped independently.</w:t>
            </w:r>
          </w:p>
        </w:tc>
      </w:tr>
    </w:tbl>
    <w:p>
      <w:r>
        <w:br w:type="page"/>
      </w:r>
    </w:p>
    <w:p>
      <w:pPr>
        <w:sectPr>
          <w:headerReference w:type="default" r:id="rId6"/>
          <w:footerReference w:type="default" r:id="rId7"/>
          <w:pgSz w:w="12240" w:h="15840" w:orient="portrait"/>
          <w:pgMar w:top="1440" w:right="1440" w:bottom="1440" w:left="1440" w:header="708" w:footer="708" w:gutter="0"/>
          <w:pgNumType/>
          <w:docGrid w:linePitch="360"/>
        </w:sectPr>
      </w:pPr>
    </w:p>
    <w:p>
      <w:pPr>
        <w:pBdr>
          <w:bottom w:val="single" w:color="217A4E" w:sz="6"/>
        </w:pBdr>
        <w:spacing w:before="80" w:after="160"/>
      </w:pPr>
      <w:r>
        <w:rPr>
          <w:rFonts w:ascii="Arial" w:cs="Arial" w:eastAsia="Arial" w:hAnsi="Arial"/>
          <w:b/>
          <w:bCs/>
          <w:color w:val="1B3A5C"/>
          <w:sz w:val="28"/>
          <w:szCs w:val="28"/>
        </w:rPr>
        <w:t xml:space="preserve">Pricing Factors &amp; Escalation Clauses</w:t>
      </w:r>
    </w:p>
    <w:p>
      <w:pPr>
        <w:spacing w:before="60" w:after="140"/>
        <w:jc w:val="left"/>
      </w:pPr>
      <w:r>
        <w:rPr>
          <w:rFonts w:ascii="Arial" w:cs="Arial" w:eastAsia="Arial" w:hAnsi="Arial"/>
          <w:b w:val="false"/>
          <w:bCs w:val="false"/>
          <w:color w:val="1A1A2E"/>
          <w:sz w:val="22"/>
          <w:szCs w:val="22"/>
        </w:rPr>
        <w:t xml:space="preserve">Renewal fees are not static. Most Cadient agreements include an Annual Price Escalator (APE) that adjusts the renewal fee each year. Understanding these escalators is critical for accurate multi-year budgeting.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AACBB8" w:sz="1"/>
              <w:left w:val="single" w:color="AACBB8" w:sz="1"/>
              <w:bottom w:val="single" w:color="AACBB8" w:sz="1"/>
              <w:right w:val="single" w:color="AACBB8"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Escalator Type</w:t>
            </w:r>
          </w:p>
        </w:tc>
        <w:tc>
          <w:tcPr>
            <w:tcW w:type="dxa" w:w="3000"/>
            <w:tcBorders>
              <w:top w:val="single" w:color="AACBB8" w:sz="1"/>
              <w:left w:val="single" w:color="AACBB8" w:sz="1"/>
              <w:bottom w:val="single" w:color="AACBB8" w:sz="1"/>
              <w:right w:val="single" w:color="AACBB8"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Typical Range</w:t>
            </w:r>
          </w:p>
        </w:tc>
        <w:tc>
          <w:tcPr>
            <w:tcW w:type="dxa" w:w="3560"/>
            <w:tcBorders>
              <w:top w:val="single" w:color="AACBB8" w:sz="1"/>
              <w:left w:val="single" w:color="AACBB8" w:sz="1"/>
              <w:bottom w:val="single" w:color="AACBB8" w:sz="1"/>
              <w:right w:val="single" w:color="AACBB8"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How to Mitigate</w:t>
            </w:r>
          </w:p>
        </w:tc>
      </w:tr>
      <w:tr>
        <w:tc>
          <w:tcPr>
            <w:tcW w:type="dxa" w:w="280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bCs/>
                <w:color w:val="1A1A2E"/>
                <w:sz w:val="20"/>
                <w:szCs w:val="20"/>
              </w:rPr>
              <w:t xml:space="preserve">CPI-Linked Escalator</w:t>
            </w:r>
          </w:p>
        </w:tc>
        <w:tc>
          <w:tcPr>
            <w:tcW w:type="dxa" w:w="300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3%–5% per year tied to Consumer Price Index</w:t>
            </w:r>
          </w:p>
        </w:tc>
        <w:tc>
          <w:tcPr>
            <w:tcW w:type="dxa" w:w="356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Negotiate a cap (e.g., not to exceed 5% regardless of CPI)</w:t>
            </w:r>
          </w:p>
        </w:tc>
      </w:tr>
      <w:tr>
        <w:tc>
          <w:tcPr>
            <w:tcW w:type="dxa" w:w="280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bCs/>
                <w:color w:val="1A1A2E"/>
                <w:sz w:val="20"/>
                <w:szCs w:val="20"/>
              </w:rPr>
              <w:t xml:space="preserve">Vendor Discretionary</w:t>
            </w:r>
          </w:p>
        </w:tc>
        <w:tc>
          <w:tcPr>
            <w:tcW w:type="dxa" w:w="300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Up to 8%–10% at vendor’s sole discretion</w:t>
            </w:r>
          </w:p>
        </w:tc>
        <w:tc>
          <w:tcPr>
            <w:tcW w:type="dxa" w:w="356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Push for fixed-rate language in multi-year agreements</w:t>
            </w:r>
          </w:p>
        </w:tc>
      </w:tr>
      <w:tr>
        <w:tc>
          <w:tcPr>
            <w:tcW w:type="dxa" w:w="280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bCs/>
                <w:color w:val="1A1A2E"/>
                <w:sz w:val="20"/>
                <w:szCs w:val="20"/>
              </w:rPr>
              <w:t xml:space="preserve">Module Expansion Uplift</w:t>
            </w:r>
          </w:p>
        </w:tc>
        <w:tc>
          <w:tcPr>
            <w:tcW w:type="dxa" w:w="300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Variable, based on new module additions</w:t>
            </w:r>
          </w:p>
        </w:tc>
        <w:tc>
          <w:tcPr>
            <w:tcW w:type="dxa" w:w="356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Bundle new modules at renewal for better blended rates</w:t>
            </w:r>
          </w:p>
        </w:tc>
      </w:tr>
      <w:tr>
        <w:tc>
          <w:tcPr>
            <w:tcW w:type="dxa" w:w="280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bCs/>
                <w:color w:val="1A1A2E"/>
                <w:sz w:val="20"/>
                <w:szCs w:val="20"/>
              </w:rPr>
              <w:t xml:space="preserve">Market Rate Adjustment</w:t>
            </w:r>
          </w:p>
        </w:tc>
        <w:tc>
          <w:tcPr>
            <w:tcW w:type="dxa" w:w="300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Benchmarked to industry pricing surveys</w:t>
            </w:r>
          </w:p>
        </w:tc>
        <w:tc>
          <w:tcPr>
            <w:tcW w:type="dxa" w:w="356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Request most-favored-nation (MFN) pricing clauses</w:t>
            </w:r>
          </w:p>
        </w:tc>
      </w:tr>
    </w:tbl>
    <w:p>
      <w:pPr>
        <w:spacing w:before="0" w:after="160"/>
      </w:pPr>
      <w:r>
        <w:t xml:space="preserve"/>
      </w:r>
    </w:p>
    <w:p>
      <w:pPr>
        <w:pBdr>
          <w:bottom w:val="single" w:color="217A4E" w:sz="6"/>
        </w:pBdr>
        <w:spacing w:before="240" w:after="160"/>
      </w:pPr>
      <w:r>
        <w:rPr>
          <w:rFonts w:ascii="Arial" w:cs="Arial" w:eastAsia="Arial" w:hAnsi="Arial"/>
          <w:b/>
          <w:bCs/>
          <w:color w:val="1B3A5C"/>
          <w:sz w:val="28"/>
          <w:szCs w:val="28"/>
        </w:rPr>
        <w:t xml:space="preserve">Renewal Negotiation Strategy</w:t>
      </w:r>
    </w:p>
    <w:p>
      <w:pPr>
        <w:spacing w:before="60" w:after="140"/>
        <w:jc w:val="left"/>
      </w:pPr>
      <w:r>
        <w:rPr>
          <w:rFonts w:ascii="Arial" w:cs="Arial" w:eastAsia="Arial" w:hAnsi="Arial"/>
          <w:b w:val="false"/>
          <w:bCs w:val="false"/>
          <w:color w:val="1A1A2E"/>
          <w:sz w:val="22"/>
          <w:szCs w:val="22"/>
        </w:rPr>
        <w:t xml:space="preserve">The single most impactful factor in Renewal Fee management is timing. Organizations that begin the renewal conversation 90–120 days before contract expiry retain maximum negotiating leverage. Waiting until 30 days before expiry—or allowing auto-renewal to trigger—typically results in paying the vendor’s listed escalator rate with no discount consideration.</w:t>
      </w:r>
    </w:p>
    <w:p>
      <w:pPr>
        <w:pStyle w:val="ListParagraph"/>
        <w:numPr>
          <w:ilvl w:val="0"/>
          <w:numId w:val="2"/>
        </w:numPr>
        <w:spacing w:after="100"/>
      </w:pPr>
      <w:r>
        <w:rPr>
          <w:rFonts w:ascii="Arial" w:cs="Arial" w:eastAsia="Arial" w:hAnsi="Arial"/>
          <w:color w:val="1A1A2E"/>
          <w:sz w:val="22"/>
          <w:szCs w:val="22"/>
        </w:rPr>
        <w:t xml:space="preserve">Start Early: Initiate the conversation 90–120 days before contract end and share your budget constraints and expansion roadmap.</w:t>
      </w:r>
    </w:p>
    <w:p>
      <w:pPr>
        <w:pStyle w:val="ListParagraph"/>
        <w:numPr>
          <w:ilvl w:val="0"/>
          <w:numId w:val="2"/>
        </w:numPr>
        <w:spacing w:after="100"/>
      </w:pPr>
      <w:r>
        <w:rPr>
          <w:rFonts w:ascii="Arial" w:cs="Arial" w:eastAsia="Arial" w:hAnsi="Arial"/>
          <w:color w:val="1A1A2E"/>
          <w:sz w:val="22"/>
          <w:szCs w:val="22"/>
        </w:rPr>
        <w:t xml:space="preserve">Commit to Multi-Year Terms: A 2–3 year commitment almost always yields a lower annual rate (typically 8–18% savings) and often freezes the escalator.</w:t>
      </w:r>
    </w:p>
    <w:p>
      <w:pPr>
        <w:pStyle w:val="ListParagraph"/>
        <w:numPr>
          <w:ilvl w:val="0"/>
          <w:numId w:val="2"/>
        </w:numPr>
        <w:spacing w:after="100"/>
      </w:pPr>
      <w:r>
        <w:rPr>
          <w:rFonts w:ascii="Arial" w:cs="Arial" w:eastAsia="Arial" w:hAnsi="Arial"/>
          <w:color w:val="1A1A2E"/>
          <w:sz w:val="22"/>
          <w:szCs w:val="22"/>
        </w:rPr>
        <w:t xml:space="preserve">Bundle New Modules at Renewal: Adding modules mid-term costs more than bundling them into a renewal deal at once.</w:t>
      </w:r>
    </w:p>
    <w:p>
      <w:pPr>
        <w:pStyle w:val="ListParagraph"/>
        <w:numPr>
          <w:ilvl w:val="0"/>
          <w:numId w:val="2"/>
        </w:numPr>
        <w:spacing w:after="100"/>
      </w:pPr>
      <w:r>
        <w:rPr>
          <w:rFonts w:ascii="Arial" w:cs="Arial" w:eastAsia="Arial" w:hAnsi="Arial"/>
          <w:color w:val="1A1A2E"/>
          <w:sz w:val="22"/>
          <w:szCs w:val="22"/>
        </w:rPr>
        <w:t xml:space="preserve">Benchmark Against Alternatives: Even if you intend to renew, obtaining comparison quotes from competitors creates negotiating leverage.</w:t>
      </w:r>
    </w:p>
    <w:p>
      <w:pPr>
        <w:pStyle w:val="ListParagraph"/>
        <w:numPr>
          <w:ilvl w:val="0"/>
          <w:numId w:val="2"/>
        </w:numPr>
        <w:spacing w:after="100"/>
      </w:pPr>
      <w:r>
        <w:rPr>
          <w:rFonts w:ascii="Arial" w:cs="Arial" w:eastAsia="Arial" w:hAnsi="Arial"/>
          <w:color w:val="1A1A2E"/>
          <w:sz w:val="22"/>
          <w:szCs w:val="22"/>
        </w:rPr>
        <w:t xml:space="preserve">Audit Your Module Usage: If certain modules have low adoption, right-size your contract or swap underused features for higher-value ones.</w:t>
      </w:r>
    </w:p>
    <w:p>
      <w:pPr>
        <w:pStyle w:val="ListParagraph"/>
        <w:numPr>
          <w:ilvl w:val="0"/>
          <w:numId w:val="2"/>
        </w:numPr>
        <w:spacing w:after="100"/>
      </w:pPr>
      <w:r>
        <w:rPr>
          <w:rFonts w:ascii="Arial" w:cs="Arial" w:eastAsia="Arial" w:hAnsi="Arial"/>
          <w:color w:val="1A1A2E"/>
          <w:sz w:val="22"/>
          <w:szCs w:val="22"/>
        </w:rPr>
        <w:t xml:space="preserve">Request a SaaS Pricing Addendum: Lock in the renewal rate formula (e.g., CPI + 2%, capped at 5%) contractually to eliminate future surprises.</w:t>
      </w:r>
    </w:p>
    <w:p>
      <w:pPr>
        <w:pStyle w:val="ListParagraph"/>
        <w:numPr>
          <w:ilvl w:val="0"/>
          <w:numId w:val="2"/>
        </w:numPr>
        <w:spacing w:after="100"/>
      </w:pPr>
      <w:r>
        <w:rPr>
          <w:rFonts w:ascii="Arial" w:cs="Arial" w:eastAsia="Arial" w:hAnsi="Arial"/>
          <w:color w:val="1A1A2E"/>
          <w:sz w:val="22"/>
          <w:szCs w:val="22"/>
        </w:rPr>
        <w:t xml:space="preserve">Leverage Your Retention Data: If retention metrics have improved since onboarding Cadient, frame the ROI case to negotiate from a position of demonstrated value.</w:t>
      </w:r>
    </w:p>
    <w:p>
      <w:pPr>
        <w:spacing w:before="0" w:after="160"/>
      </w:pPr>
      <w:r>
        <w:t xml:space="preserve"/>
      </w:r>
    </w:p>
    <w:p>
      <w:pPr>
        <w:pBdr>
          <w:bottom w:val="single" w:color="217A4E" w:sz="6"/>
        </w:pBdr>
        <w:spacing w:before="240" w:after="160"/>
      </w:pPr>
      <w:r>
        <w:rPr>
          <w:rFonts w:ascii="Arial" w:cs="Arial" w:eastAsia="Arial" w:hAnsi="Arial"/>
          <w:b/>
          <w:bCs/>
          <w:color w:val="1B3A5C"/>
          <w:sz w:val="28"/>
          <w:szCs w:val="28"/>
        </w:rPr>
        <w:t xml:space="preserve">Renewal Timeline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40"/>
        <w:gridCol w:w="2520"/>
      </w:tblGrid>
      <w:tr>
        <w:tc>
          <w:tcPr>
            <w:tcW w:type="dxa" w:w="1800"/>
            <w:tcBorders>
              <w:top w:val="single" w:color="AACBB8" w:sz="1"/>
              <w:left w:val="single" w:color="AACBB8" w:sz="1"/>
              <w:bottom w:val="single" w:color="AACBB8" w:sz="1"/>
              <w:right w:val="single" w:color="AACBB8"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Timeline</w:t>
            </w:r>
          </w:p>
        </w:tc>
        <w:tc>
          <w:tcPr>
            <w:tcW w:type="dxa" w:w="5040"/>
            <w:tcBorders>
              <w:top w:val="single" w:color="AACBB8" w:sz="1"/>
              <w:left w:val="single" w:color="AACBB8" w:sz="1"/>
              <w:bottom w:val="single" w:color="AACBB8" w:sz="1"/>
              <w:right w:val="single" w:color="AACBB8"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Action Item</w:t>
            </w:r>
          </w:p>
        </w:tc>
        <w:tc>
          <w:tcPr>
            <w:tcW w:type="dxa" w:w="2520"/>
            <w:tcBorders>
              <w:top w:val="single" w:color="AACBB8" w:sz="1"/>
              <w:left w:val="single" w:color="AACBB8" w:sz="1"/>
              <w:bottom w:val="single" w:color="AACBB8" w:sz="1"/>
              <w:right w:val="single" w:color="AACBB8" w:sz="1"/>
            </w:tcBorders>
            <w:shd w:fill="1B3A5C" w:val="clear"/>
            <w:tcMar>
              <w:top w:type="dxa" w:w="120"/>
              <w:left w:type="dxa" w:w="160"/>
              <w:bottom w:type="dxa" w:w="120"/>
              <w:right w:type="dxa" w:w="160"/>
            </w:tcMar>
            <w:vAlign w:val="center"/>
          </w:tcPr>
          <w:p>
            <w:r>
              <w:rPr>
                <w:rFonts w:ascii="Arial" w:cs="Arial" w:eastAsia="Arial" w:hAnsi="Arial"/>
                <w:b/>
                <w:bCs/>
                <w:color w:val="FFFFFF"/>
                <w:sz w:val="20"/>
                <w:szCs w:val="20"/>
              </w:rPr>
              <w:t xml:space="preserve">Owner</w:t>
            </w:r>
          </w:p>
        </w:tc>
      </w:tr>
      <w:tr>
        <w:tc>
          <w:tcPr>
            <w:tcW w:type="dxa" w:w="180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bCs/>
                <w:color w:val="1A1A2E"/>
                <w:sz w:val="20"/>
                <w:szCs w:val="20"/>
              </w:rPr>
              <w:t xml:space="preserve">120 Days Before</w:t>
            </w:r>
          </w:p>
        </w:tc>
        <w:tc>
          <w:tcPr>
            <w:tcW w:type="dxa" w:w="504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Pull current contract terms, note auto-renewal date and escalator clauses</w:t>
            </w:r>
          </w:p>
        </w:tc>
        <w:tc>
          <w:tcPr>
            <w:tcW w:type="dxa" w:w="252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Procurement / HR Ops</w:t>
            </w:r>
          </w:p>
        </w:tc>
      </w:tr>
      <w:tr>
        <w:tc>
          <w:tcPr>
            <w:tcW w:type="dxa" w:w="180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bCs/>
                <w:color w:val="1A1A2E"/>
                <w:sz w:val="20"/>
                <w:szCs w:val="20"/>
              </w:rPr>
              <w:t xml:space="preserve">90 Days Before</w:t>
            </w:r>
          </w:p>
        </w:tc>
        <w:tc>
          <w:tcPr>
            <w:tcW w:type="dxa" w:w="504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Request a renewal proposal from Cadient account manager</w:t>
            </w:r>
          </w:p>
        </w:tc>
        <w:tc>
          <w:tcPr>
            <w:tcW w:type="dxa" w:w="252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HR / TA Leadership</w:t>
            </w:r>
          </w:p>
        </w:tc>
      </w:tr>
      <w:tr>
        <w:tc>
          <w:tcPr>
            <w:tcW w:type="dxa" w:w="180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bCs/>
                <w:color w:val="1A1A2E"/>
                <w:sz w:val="20"/>
                <w:szCs w:val="20"/>
              </w:rPr>
              <w:t xml:space="preserve">75 Days Before</w:t>
            </w:r>
          </w:p>
        </w:tc>
        <w:tc>
          <w:tcPr>
            <w:tcW w:type="dxa" w:w="504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Review module usage reports; identify underused or high-demand modules</w:t>
            </w:r>
          </w:p>
        </w:tc>
        <w:tc>
          <w:tcPr>
            <w:tcW w:type="dxa" w:w="252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HR Technology</w:t>
            </w:r>
          </w:p>
        </w:tc>
      </w:tr>
      <w:tr>
        <w:tc>
          <w:tcPr>
            <w:tcW w:type="dxa" w:w="180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bCs/>
                <w:color w:val="1A1A2E"/>
                <w:sz w:val="20"/>
                <w:szCs w:val="20"/>
              </w:rPr>
              <w:t xml:space="preserve">60 Days Before</w:t>
            </w:r>
          </w:p>
        </w:tc>
        <w:tc>
          <w:tcPr>
            <w:tcW w:type="dxa" w:w="504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Begin negotiations; submit counter-proposal if rates are above budget</w:t>
            </w:r>
          </w:p>
        </w:tc>
        <w:tc>
          <w:tcPr>
            <w:tcW w:type="dxa" w:w="252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Procurement</w:t>
            </w:r>
          </w:p>
        </w:tc>
      </w:tr>
      <w:tr>
        <w:tc>
          <w:tcPr>
            <w:tcW w:type="dxa" w:w="180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bCs/>
                <w:color w:val="1A1A2E"/>
                <w:sz w:val="20"/>
                <w:szCs w:val="20"/>
              </w:rPr>
              <w:t xml:space="preserve">30 Days Before</w:t>
            </w:r>
          </w:p>
        </w:tc>
        <w:tc>
          <w:tcPr>
            <w:tcW w:type="dxa" w:w="504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Finalize terms, obtain legal review, and execute new agreement</w:t>
            </w:r>
          </w:p>
        </w:tc>
        <w:tc>
          <w:tcPr>
            <w:tcW w:type="dxa" w:w="2520"/>
            <w:tcBorders>
              <w:top w:val="single" w:color="AACBB8" w:sz="1"/>
              <w:left w:val="single" w:color="AACBB8" w:sz="1"/>
              <w:bottom w:val="single" w:color="AACBB8" w:sz="1"/>
              <w:right w:val="single" w:color="AACBB8" w:sz="1"/>
            </w:tcBorders>
            <w:shd w:fill="F0FAF4"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Legal / Finance</w:t>
            </w:r>
          </w:p>
        </w:tc>
      </w:tr>
      <w:tr>
        <w:tc>
          <w:tcPr>
            <w:tcW w:type="dxa" w:w="180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bCs/>
                <w:color w:val="1A1A2E"/>
                <w:sz w:val="20"/>
                <w:szCs w:val="20"/>
              </w:rPr>
              <w:t xml:space="preserve">At Renewal</w:t>
            </w:r>
          </w:p>
        </w:tc>
        <w:tc>
          <w:tcPr>
            <w:tcW w:type="dxa" w:w="504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Confirm all module access remains active post-execution</w:t>
            </w:r>
          </w:p>
        </w:tc>
        <w:tc>
          <w:tcPr>
            <w:tcW w:type="dxa" w:w="2520"/>
            <w:tcBorders>
              <w:top w:val="single" w:color="AACBB8" w:sz="1"/>
              <w:left w:val="single" w:color="AACBB8" w:sz="1"/>
              <w:bottom w:val="single" w:color="AACBB8" w:sz="1"/>
              <w:right w:val="single" w:color="AACBB8" w:sz="1"/>
            </w:tcBorders>
            <w:shd w:fill="FFFFFF" w:val="clear"/>
            <w:tcMar>
              <w:top w:type="dxa" w:w="120"/>
              <w:left w:type="dxa" w:w="160"/>
              <w:bottom w:type="dxa" w:w="120"/>
              <w:right w:type="dxa" w:w="160"/>
            </w:tcMar>
            <w:vAlign w:val="center"/>
          </w:tcPr>
          <w:p>
            <w:r>
              <w:rPr>
                <w:rFonts w:ascii="Arial" w:cs="Arial" w:eastAsia="Arial" w:hAnsi="Arial"/>
                <w:b w:val="false"/>
                <w:bCs w:val="false"/>
                <w:color w:val="1A1A2E"/>
                <w:sz w:val="20"/>
                <w:szCs w:val="20"/>
              </w:rPr>
              <w:t xml:space="preserve">IT / HR Technology</w:t>
            </w:r>
          </w:p>
        </w:tc>
      </w:tr>
    </w:tbl>
    <w:p>
      <w:pPr>
        <w:spacing w:before="0" w:after="160"/>
      </w:pPr>
      <w:r>
        <w:t xml:space="preserve"/>
      </w:r>
    </w:p>
    <w:p>
      <w:pPr>
        <w:pBdr>
          <w:bottom w:val="single" w:color="217A4E" w:sz="6"/>
        </w:pBdr>
        <w:spacing w:before="240" w:after="160"/>
      </w:pPr>
      <w:r>
        <w:rPr>
          <w:rFonts w:ascii="Arial" w:cs="Arial" w:eastAsia="Arial" w:hAnsi="Arial"/>
          <w:b/>
          <w:bCs/>
          <w:color w:val="1B3A5C"/>
          <w:sz w:val="28"/>
          <w:szCs w:val="28"/>
        </w:rPr>
        <w:t xml:space="preserve">Frequently Asked Questions</w:t>
      </w:r>
    </w:p>
    <w:p>
      <w:pPr>
        <w:spacing w:before="60" w:after="60"/>
        <w:jc w:val="left"/>
      </w:pPr>
      <w:r>
        <w:rPr>
          <w:rFonts w:ascii="Arial" w:cs="Arial" w:eastAsia="Arial" w:hAnsi="Arial"/>
          <w:b/>
          <w:bCs/>
          <w:color w:val="1A1A2E"/>
          <w:sz w:val="22"/>
          <w:szCs w:val="22"/>
        </w:rPr>
        <w:t xml:space="preserve">Q: Can we add modules mid-contract and have them prorate into the Renewal Fee?</w:t>
      </w:r>
    </w:p>
    <w:p>
      <w:pPr>
        <w:spacing w:before="60" w:after="180"/>
        <w:jc w:val="left"/>
      </w:pPr>
      <w:r>
        <w:rPr>
          <w:rFonts w:ascii="Arial" w:cs="Arial" w:eastAsia="Arial" w:hAnsi="Arial"/>
          <w:b w:val="false"/>
          <w:bCs w:val="false"/>
          <w:color w:val="555555"/>
          <w:sz w:val="22"/>
          <w:szCs w:val="22"/>
        </w:rPr>
        <w:t xml:space="preserve">Yes, modules added mid-term are typically prorated for the remaining contract period and then folded into the renewal at the standard module rate. Negotiate the renewal-year module rate at the time of mid-term addition, not at renewal, for the best pricing.</w:t>
      </w:r>
    </w:p>
    <w:p>
      <w:pPr>
        <w:spacing w:before="60" w:after="60"/>
        <w:jc w:val="left"/>
      </w:pPr>
      <w:r>
        <w:rPr>
          <w:rFonts w:ascii="Arial" w:cs="Arial" w:eastAsia="Arial" w:hAnsi="Arial"/>
          <w:b/>
          <w:bCs/>
          <w:color w:val="1A1A2E"/>
          <w:sz w:val="22"/>
          <w:szCs w:val="22"/>
        </w:rPr>
        <w:t xml:space="preserve">Q: What happens if we don’t renew before the expiry date?</w:t>
      </w:r>
    </w:p>
    <w:p>
      <w:pPr>
        <w:spacing w:before="60" w:after="200"/>
        <w:jc w:val="left"/>
      </w:pPr>
      <w:r>
        <w:rPr>
          <w:rFonts w:ascii="Arial" w:cs="Arial" w:eastAsia="Arial" w:hAnsi="Arial"/>
          <w:b w:val="false"/>
          <w:bCs w:val="false"/>
          <w:color w:val="555555"/>
          <w:sz w:val="22"/>
          <w:szCs w:val="22"/>
        </w:rPr>
        <w:t xml:space="preserve">Most Cadient agreements include an auto-renewal clause that activates 30–60 days before expiry if no action is taken. Auto-renewal typically applies the standard escalator rate without any negotiation discount. Review your contract’s auto-renewal language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A4E" w:sz="8"/>
              <w:left w:val="single" w:color="217A4E" w:sz="24"/>
              <w:bottom w:val="single" w:color="217A4E" w:sz="8"/>
              <w:right w:val="none" w:color="FFFFFF" w:sz="0"/>
            </w:tcBorders>
            <w:shd w:fill="E3F5EC" w:val="clear"/>
            <w:tcMar>
              <w:top w:type="dxa" w:w="200"/>
              <w:left w:type="dxa" w:w="300"/>
              <w:bottom w:type="dxa" w:w="200"/>
              <w:right w:type="dxa" w:w="300"/>
            </w:tcMar>
          </w:tcPr>
          <w:p>
            <w:pPr>
              <w:spacing w:after="120"/>
            </w:pPr>
            <w:r>
              <w:rPr>
                <w:rFonts w:ascii="Arial" w:cs="Arial" w:eastAsia="Arial" w:hAnsi="Arial"/>
                <w:b/>
                <w:bCs/>
                <w:color w:val="1B3A5C"/>
                <w:sz w:val="24"/>
                <w:szCs w:val="24"/>
              </w:rPr>
              <w:t xml:space="preserve">Contact Your Account Manager</w:t>
            </w:r>
          </w:p>
          <w:p>
            <w:pPr>
              <w:spacing w:after="80"/>
            </w:pPr>
            <w:r>
              <w:rPr>
                <w:rFonts w:ascii="Arial" w:cs="Arial" w:eastAsia="Arial" w:hAnsi="Arial"/>
                <w:color w:val="1A1A2E"/>
                <w:sz w:val="21"/>
                <w:szCs w:val="21"/>
              </w:rPr>
              <w:t xml:space="preserve">For renewal quotes, contract term reviews, or escalator benchmarking, contact Cadient directly:</w:t>
            </w:r>
          </w:p>
          <w:p>
            <w:pPr>
              <w:spacing w:after="60"/>
            </w:pPr>
            <w:r>
              <w:rPr>
                <w:rFonts w:ascii="Arial" w:cs="Arial" w:eastAsia="Arial" w:hAnsi="Arial"/>
                <w:b/>
                <w:bCs/>
                <w:color w:val="217A4E"/>
                <w:sz w:val="22"/>
                <w:szCs w:val="22"/>
              </w:rPr>
              <w:t xml:space="preserve">sales@cadienttalent.com  ·  cadienttalent.com</w:t>
            </w:r>
          </w:p>
        </w:tc>
      </w:tr>
    </w:tbl>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CBB8" w:sz="4"/>
      </w:pBdr>
      <w:spacing w:before="120"/>
      <w:jc w:val="center"/>
    </w:pPr>
    <w:r>
      <w:rPr>
        <w:rFonts w:ascii="Arial" w:cs="Arial" w:eastAsia="Arial" w:hAnsi="Arial"/>
        <w:color w:val="555555"/>
        <w:sz w:val="18"/>
        <w:szCs w:val="18"/>
      </w:rPr>
      <w:t xml:space="preserve">Cadient Talent  ·  Confidential &amp; Proprietary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CBB8" w:sz="4"/>
      </w:pBdr>
      <w:spacing w:before="120"/>
      <w:jc w:val="center"/>
    </w:pPr>
    <w:r>
      <w:rPr>
        <w:rFonts w:ascii="Arial" w:cs="Arial" w:eastAsia="Arial" w:hAnsi="Arial"/>
        <w:color w:val="555555"/>
        <w:sz w:val="18"/>
        <w:szCs w:val="18"/>
      </w:rPr>
      <w:t xml:space="preserve">Cadient Talent  ·  Confidential &amp; Proprietary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single" w:color="217A4E" w:sz="6"/>
            <w:right w:val="none" w:color="FFFFFF" w:sz="0"/>
          </w:tcBorders>
          <w:shd w:fill="FFFFFF" w:val="clear"/>
          <w:tcMar>
            <w:top w:type="dxa" w:w="80"/>
            <w:left w:type="dxa" w:w="0"/>
            <w:bottom w:type="dxa" w:w="160"/>
            <w:right w:type="dxa" w:w="0"/>
          </w:tcMar>
        </w:tcPr>
        <w:p>
          <w:r>
            <w:rPr>
              <w:rFonts w:ascii="Arial" w:cs="Arial" w:eastAsia="Arial" w:hAnsi="Arial"/>
              <w:b/>
              <w:bCs/>
              <w:color w:val="1B3A5C"/>
              <w:sz w:val="20"/>
              <w:szCs w:val="20"/>
            </w:rPr>
            <w:t xml:space="preserve">Cadient Talent  </w:t>
          </w:r>
          <w:r>
            <w:rPr>
              <w:rFonts w:ascii="Arial" w:cs="Arial" w:eastAsia="Arial" w:hAnsi="Arial"/>
              <w:color w:val="555555"/>
              <w:sz w:val="20"/>
              <w:szCs w:val="20"/>
            </w:rPr>
            <w:t xml:space="preserve">| Renewal Fee Guide</w:t>
          </w:r>
        </w:p>
      </w:tc>
      <w:tc>
        <w:tcPr>
          <w:tcW w:type="dxa" w:w="2860"/>
          <w:tcBorders>
            <w:top w:val="none" w:color="FFFFFF" w:sz="0"/>
            <w:left w:val="none" w:color="FFFFFF" w:sz="0"/>
            <w:bottom w:val="single" w:color="217A4E" w:sz="6"/>
            <w:right w:val="none" w:color="FFFFFF" w:sz="0"/>
          </w:tcBorders>
          <w:shd w:fill="FFFFFF" w:val="clear"/>
          <w:tcMar>
            <w:top w:type="dxa" w:w="80"/>
            <w:left w:type="dxa" w:w="0"/>
            <w:bottom w:type="dxa" w:w="160"/>
            <w:right w:type="dxa" w:w="0"/>
          </w:tcMar>
        </w:tcPr>
        <w:p>
          <w:pPr>
            <w:jc w:val="right"/>
          </w:pPr>
          <w:r>
            <w:rPr>
              <w:rFonts w:ascii="Arial" w:cs="Arial" w:eastAsia="Arial" w:hAnsi="Arial"/>
              <w:color w:val="555555"/>
              <w:sz w:val="18"/>
              <w:szCs w:val="18"/>
            </w:rPr>
            <w:t xml:space="preserve">cadienttalent.com</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single" w:color="217A4E" w:sz="6"/>
            <w:right w:val="none" w:color="FFFFFF" w:sz="0"/>
          </w:tcBorders>
          <w:shd w:fill="FFFFFF" w:val="clear"/>
          <w:tcMar>
            <w:top w:type="dxa" w:w="80"/>
            <w:left w:type="dxa" w:w="0"/>
            <w:bottom w:type="dxa" w:w="160"/>
            <w:right w:type="dxa" w:w="0"/>
          </w:tcMar>
        </w:tcPr>
        <w:p>
          <w:r>
            <w:rPr>
              <w:rFonts w:ascii="Arial" w:cs="Arial" w:eastAsia="Arial" w:hAnsi="Arial"/>
              <w:b/>
              <w:bCs/>
              <w:color w:val="1B3A5C"/>
              <w:sz w:val="20"/>
              <w:szCs w:val="20"/>
            </w:rPr>
            <w:t xml:space="preserve">Cadient Talent  </w:t>
          </w:r>
          <w:r>
            <w:rPr>
              <w:rFonts w:ascii="Arial" w:cs="Arial" w:eastAsia="Arial" w:hAnsi="Arial"/>
              <w:color w:val="555555"/>
              <w:sz w:val="20"/>
              <w:szCs w:val="20"/>
            </w:rPr>
            <w:t xml:space="preserve">| Renewal Fee Guide</w:t>
          </w:r>
        </w:p>
      </w:tc>
      <w:tc>
        <w:tcPr>
          <w:tcW w:type="dxa" w:w="2860"/>
          <w:tcBorders>
            <w:top w:val="none" w:color="FFFFFF" w:sz="0"/>
            <w:left w:val="none" w:color="FFFFFF" w:sz="0"/>
            <w:bottom w:val="single" w:color="217A4E" w:sz="6"/>
            <w:right w:val="none" w:color="FFFFFF" w:sz="0"/>
          </w:tcBorders>
          <w:shd w:fill="FFFFFF" w:val="clear"/>
          <w:tcMar>
            <w:top w:type="dxa" w:w="80"/>
            <w:left w:type="dxa" w:w="0"/>
            <w:bottom w:type="dxa" w:w="160"/>
            <w:right w:type="dxa" w:w="0"/>
          </w:tcMar>
        </w:tcPr>
        <w:p>
          <w:pPr>
            <w:jc w:val="right"/>
          </w:pPr>
          <w:r>
            <w:rPr>
              <w:rFonts w:ascii="Arial" w:cs="Arial" w:eastAsia="Arial" w:hAnsi="Arial"/>
              <w:color w:val="555555"/>
              <w:sz w:val="18"/>
              <w:szCs w:val="18"/>
            </w:rPr>
            <w:t xml:space="preserve">cadienttalent.com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2026-02-14T09:06:00.131Z</dcterms:created>
  <dcterms:modified xsi:type="dcterms:W3CDTF">2026-02-14T09:06:00.132Z</dcterms:modified>
</cp:coreProperties>
</file>

<file path=docProps/custom.xml><?xml version="1.0" encoding="utf-8"?>
<Properties xmlns="http://schemas.openxmlformats.org/officeDocument/2006/custom-properties" xmlns:vt="http://schemas.openxmlformats.org/officeDocument/2006/docPropsVTypes"/>
</file>